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r>
        <w:t>4.2 Erträge</w:t>
      </w:r>
    </w:p>
    <w:p w:rsidR="00C03D1E" w:rsidRDefault="00C03D1E" w:rsidP="00C03D1E">
      <w:pPr>
        <w:pStyle w:val="berschrift2"/>
      </w:pPr>
      <w:r>
        <w:t xml:space="preserve">4.2.1 </w:t>
      </w:r>
      <w:r w:rsidRPr="00C03D1E">
        <w:t>Steuern</w:t>
      </w:r>
      <w:r>
        <w:t xml:space="preserve"> und allgemeine Finanzen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3"/>
        <w:gridCol w:w="5084"/>
        <w:gridCol w:w="1265"/>
        <w:gridCol w:w="1130"/>
      </w:tblGrid>
      <w:tr w:rsidR="00C03D1E" w:rsidRPr="00506940" w:rsidTr="00611E5B">
        <w:trPr>
          <w:trHeight w:val="300"/>
        </w:trPr>
        <w:tc>
          <w:tcPr>
            <w:tcW w:w="1735"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9" w:type="dxa"/>
            <w:tcBorders>
              <w:top w:val="single" w:sz="4" w:space="0" w:color="auto"/>
              <w:bottom w:val="single" w:sz="4" w:space="0" w:color="auto"/>
            </w:tcBorders>
            <w:shd w:val="clear" w:color="auto" w:fill="auto"/>
            <w:noWrap/>
            <w:hideMark/>
          </w:tcPr>
          <w:p w:rsidR="00C03D1E" w:rsidRPr="004A416B" w:rsidRDefault="00C03D1E" w:rsidP="002C256C">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1" w:type="dxa"/>
            <w:tcBorders>
              <w:top w:val="single" w:sz="4" w:space="0" w:color="auto"/>
              <w:bottom w:val="single" w:sz="4" w:space="0" w:color="auto"/>
            </w:tcBorders>
            <w:shd w:val="clear" w:color="auto" w:fill="auto"/>
            <w:noWrap/>
            <w:hideMark/>
          </w:tcPr>
          <w:p w:rsidR="00C03D1E"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1339A" w:rsidRPr="004A416B" w:rsidRDefault="0071339A" w:rsidP="0071339A">
            <w:pPr>
              <w:spacing w:after="0"/>
              <w:jc w:val="center"/>
              <w:rPr>
                <w:rFonts w:eastAsia="Times New Roman" w:cs="Arial"/>
                <w:color w:val="000000"/>
                <w:lang w:eastAsia="de-DE"/>
              </w:rPr>
            </w:pPr>
            <w:r>
              <w:rPr>
                <w:rFonts w:eastAsia="Times New Roman" w:cs="Arial"/>
                <w:color w:val="000000"/>
                <w:lang w:eastAsia="de-DE"/>
              </w:rPr>
              <w:t>{{</w:t>
            </w:r>
            <w:proofErr w:type="spellStart"/>
            <w:r>
              <w:rPr>
                <w:rFonts w:eastAsia="Times New Roman" w:cs="Arial"/>
                <w:color w:val="000000"/>
                <w:lang w:eastAsia="de-DE"/>
              </w:rPr>
              <w:t>hhj</w:t>
            </w:r>
            <w:proofErr w:type="spellEnd"/>
            <w:r>
              <w:rPr>
                <w:rFonts w:eastAsia="Times New Roman" w:cs="Arial"/>
                <w:color w:val="000000"/>
                <w:lang w:eastAsia="de-DE"/>
              </w:rPr>
              <w:t>}}</w:t>
            </w:r>
          </w:p>
        </w:tc>
        <w:tc>
          <w:tcPr>
            <w:tcW w:w="1127" w:type="dxa"/>
            <w:tcBorders>
              <w:top w:val="single" w:sz="4" w:space="0" w:color="auto"/>
              <w:bottom w:val="single" w:sz="4" w:space="0" w:color="auto"/>
            </w:tcBorders>
            <w:shd w:val="clear" w:color="auto" w:fill="auto"/>
            <w:noWrap/>
            <w:hideMark/>
          </w:tcPr>
          <w:p w:rsidR="00C03D1E" w:rsidRPr="004A416B"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71339A">
              <w:rPr>
                <w:rFonts w:eastAsia="Times New Roman" w:cs="Arial"/>
                <w:color w:val="000000"/>
                <w:lang w:eastAsia="de-DE"/>
              </w:rPr>
              <w:t>{{hhj-1}}</w:t>
            </w:r>
          </w:p>
        </w:tc>
      </w:tr>
      <w:tr w:rsidR="00611E5B" w:rsidRPr="00611E5B" w:rsidTr="00F96E13">
        <w:trPr>
          <w:trHeight w:val="345"/>
        </w:trPr>
        <w:tc>
          <w:tcPr>
            <w:tcW w:w="9212" w:type="dxa"/>
            <w:gridSpan w:val="4"/>
            <w:tcBorders>
              <w:top w:val="single" w:sz="4" w:space="0" w:color="auto"/>
              <w:bottom w:val="single" w:sz="4" w:space="0" w:color="D9D9D9" w:themeColor="background1" w:themeShade="D9"/>
            </w:tcBorders>
            <w:shd w:val="clear" w:color="auto" w:fill="auto"/>
            <w:noWrap/>
            <w:vAlign w:val="bottom"/>
          </w:tcPr>
          <w:p w:rsidR="00611E5B" w:rsidRPr="00611E5B" w:rsidRDefault="00611E5B" w:rsidP="00C611C4">
            <w:pPr>
              <w:spacing w:after="0"/>
              <w:jc w:val="left"/>
              <w:rPr>
                <w:rFonts w:eastAsia="Times New Roman" w:cs="Arial"/>
                <w:color w:val="000000"/>
                <w:lang w:val="en-US" w:eastAsia="de-DE"/>
              </w:rPr>
            </w:pPr>
            <w:r>
              <w:rPr>
                <w:b/>
                <w:bCs/>
                <w:lang w:val="en-US"/>
              </w:rPr>
              <w:t>{%</w:t>
            </w:r>
            <w:proofErr w:type="spellStart"/>
            <w:r>
              <w:rPr>
                <w:b/>
                <w:bCs/>
                <w:lang w:val="en-US"/>
              </w:rPr>
              <w:t>tr</w:t>
            </w:r>
            <w:proofErr w:type="spellEnd"/>
            <w:r>
              <w:rPr>
                <w:b/>
                <w:bCs/>
                <w:lang w:val="en-US"/>
              </w:rPr>
              <w:t xml:space="preserve"> for item in </w:t>
            </w:r>
            <w:proofErr w:type="spellStart"/>
            <w:r>
              <w:rPr>
                <w:b/>
                <w:bCs/>
                <w:lang w:val="en-US"/>
              </w:rPr>
              <w:t>steuertbl</w:t>
            </w:r>
            <w:proofErr w:type="spellEnd"/>
            <w:r w:rsidR="00280B21">
              <w:rPr>
                <w:b/>
                <w:bCs/>
                <w:lang w:val="en-US"/>
              </w:rPr>
              <w:t xml:space="preserve"> </w:t>
            </w:r>
            <w:r>
              <w:rPr>
                <w:b/>
                <w:bCs/>
                <w:lang w:val="en-US"/>
              </w:rPr>
              <w:t>%}</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item.hhs</w:t>
            </w:r>
            <w:proofErr w:type="spellEnd"/>
            <w:r>
              <w:rPr>
                <w:rFonts w:eastAsia="Times New Roman" w:cs="Arial"/>
                <w:color w:val="000000"/>
                <w:lang w:val="en-US" w:eastAsia="de-DE"/>
              </w:rPr>
              <w:t xml:space="preserve"> }}</w:t>
            </w: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w:t>
            </w:r>
            <w:proofErr w:type="spellStart"/>
            <w:r>
              <w:rPr>
                <w:rFonts w:eastAsia="Times New Roman" w:cs="Arial"/>
                <w:color w:val="000000"/>
                <w:lang w:val="en-US" w:eastAsia="de-DE"/>
              </w:rPr>
              <w:t>item.bez</w:t>
            </w:r>
            <w:proofErr w:type="spellEnd"/>
            <w:r>
              <w:rPr>
                <w:rFonts w:eastAsia="Times New Roman" w:cs="Arial"/>
                <w:color w:val="000000"/>
                <w:lang w:val="en-US" w:eastAsia="de-DE"/>
              </w:rPr>
              <w:t>}}</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w:t>
            </w:r>
            <w:r w:rsidRPr="00611E5B">
              <w:rPr>
                <w:rFonts w:eastAsia="Times New Roman" w:cs="Arial"/>
                <w:color w:val="000000"/>
                <w:lang w:val="en-US" w:eastAsia="de-DE"/>
              </w:rPr>
              <w:t>nshhj</w:t>
            </w:r>
            <w:proofErr w:type="spellEnd"/>
            <w:r>
              <w:rPr>
                <w:rFonts w:eastAsia="Times New Roman" w:cs="Arial"/>
                <w:color w:val="000000"/>
                <w:lang w:val="en-US" w:eastAsia="de-DE"/>
              </w:rPr>
              <w:t xml:space="preserve"> }}</w:t>
            </w: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item.ansvj</w:t>
            </w:r>
            <w:proofErr w:type="spellEnd"/>
            <w:r>
              <w:rPr>
                <w:rFonts w:eastAsia="Times New Roman" w:cs="Arial"/>
                <w:color w:val="000000"/>
                <w:lang w:val="en-US" w:eastAsia="de-DE"/>
              </w:rPr>
              <w:t xml:space="preserve"> }}</w:t>
            </w:r>
          </w:p>
        </w:tc>
      </w:tr>
      <w:tr w:rsidR="00C03D1E" w:rsidRPr="00611E5B" w:rsidTr="00611E5B">
        <w:trPr>
          <w:trHeight w:val="345"/>
        </w:trPr>
        <w:tc>
          <w:tcPr>
            <w:tcW w:w="1735"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left"/>
              <w:rPr>
                <w:rFonts w:eastAsia="Times New Roman" w:cs="Arial"/>
                <w:color w:val="000000"/>
                <w:lang w:val="en-US" w:eastAsia="de-DE"/>
              </w:rPr>
            </w:pPr>
          </w:p>
        </w:tc>
        <w:tc>
          <w:tcPr>
            <w:tcW w:w="5089"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2C256C">
            <w:pPr>
              <w:spacing w:after="0"/>
              <w:jc w:val="left"/>
              <w:rPr>
                <w:rFonts w:eastAsia="Times New Roman" w:cs="Arial"/>
                <w:color w:val="000000"/>
                <w:lang w:val="en-US" w:eastAsia="de-DE"/>
              </w:rPr>
            </w:pPr>
            <w:r>
              <w:rPr>
                <w:rFonts w:eastAsia="Times New Roman" w:cs="Arial"/>
                <w:color w:val="000000"/>
                <w:lang w:val="en-US" w:eastAsia="de-DE"/>
              </w:rPr>
              <w:t xml:space="preserve">{{ </w:t>
            </w:r>
            <w:proofErr w:type="spellStart"/>
            <w:r>
              <w:rPr>
                <w:rFonts w:eastAsia="Times New Roman" w:cs="Arial"/>
                <w:color w:val="000000"/>
                <w:lang w:val="en-US" w:eastAsia="de-DE"/>
              </w:rPr>
              <w:t>item.erl</w:t>
            </w:r>
            <w:proofErr w:type="spellEnd"/>
            <w:r>
              <w:rPr>
                <w:rFonts w:eastAsia="Times New Roman" w:cs="Arial"/>
                <w:color w:val="000000"/>
                <w:lang w:val="en-US" w:eastAsia="de-DE"/>
              </w:rPr>
              <w:t xml:space="preserve"> }}</w:t>
            </w:r>
          </w:p>
        </w:tc>
        <w:tc>
          <w:tcPr>
            <w:tcW w:w="126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c>
          <w:tcPr>
            <w:tcW w:w="1127"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C03D1E" w:rsidP="002C256C">
            <w:pPr>
              <w:spacing w:after="0"/>
              <w:jc w:val="right"/>
              <w:rPr>
                <w:rFonts w:eastAsia="Times New Roman" w:cs="Arial"/>
                <w:color w:val="000000"/>
                <w:lang w:val="en-US" w:eastAsia="de-DE"/>
              </w:rPr>
            </w:pPr>
          </w:p>
        </w:tc>
      </w:tr>
      <w:tr w:rsidR="00611E5B" w:rsidRPr="00611E5B" w:rsidTr="00F30964">
        <w:trPr>
          <w:trHeight w:val="345"/>
        </w:trPr>
        <w:tc>
          <w:tcPr>
            <w:tcW w:w="9212" w:type="dxa"/>
            <w:gridSpan w:val="4"/>
            <w:tcBorders>
              <w:top w:val="single" w:sz="4" w:space="0" w:color="D9D9D9" w:themeColor="background1" w:themeShade="D9"/>
              <w:bottom w:val="single" w:sz="4" w:space="0" w:color="D9D9D9" w:themeColor="background1" w:themeShade="D9"/>
            </w:tcBorders>
            <w:shd w:val="clear" w:color="auto" w:fill="auto"/>
            <w:noWrap/>
            <w:vAlign w:val="bottom"/>
          </w:tcPr>
          <w:p w:rsidR="00611E5B" w:rsidRPr="00611E5B" w:rsidRDefault="00611E5B" w:rsidP="00280B21">
            <w:pPr>
              <w:spacing w:after="0"/>
              <w:jc w:val="left"/>
              <w:rPr>
                <w:rFonts w:eastAsia="Times New Roman" w:cs="Arial"/>
                <w:b/>
                <w:color w:val="000000"/>
                <w:lang w:val="en-US" w:eastAsia="de-DE"/>
              </w:rPr>
            </w:pPr>
            <w:r w:rsidRPr="00611E5B">
              <w:rPr>
                <w:rFonts w:eastAsia="Times New Roman" w:cs="Arial"/>
                <w:b/>
                <w:color w:val="000000"/>
                <w:lang w:val="en-US" w:eastAsia="de-DE"/>
              </w:rPr>
              <w:t>{%</w:t>
            </w:r>
            <w:proofErr w:type="spellStart"/>
            <w:r w:rsidRPr="00611E5B">
              <w:rPr>
                <w:rFonts w:eastAsia="Times New Roman" w:cs="Arial"/>
                <w:b/>
                <w:color w:val="000000"/>
                <w:lang w:val="en-US" w:eastAsia="de-DE"/>
              </w:rPr>
              <w:t>tr</w:t>
            </w:r>
            <w:proofErr w:type="spellEnd"/>
            <w:r w:rsidRPr="00611E5B">
              <w:rPr>
                <w:rFonts w:eastAsia="Times New Roman" w:cs="Arial"/>
                <w:b/>
                <w:color w:val="000000"/>
                <w:lang w:val="en-US" w:eastAsia="de-DE"/>
              </w:rPr>
              <w:t xml:space="preserve"> </w:t>
            </w:r>
            <w:proofErr w:type="spellStart"/>
            <w:r w:rsidRPr="00611E5B">
              <w:rPr>
                <w:rFonts w:eastAsia="Times New Roman" w:cs="Arial"/>
                <w:b/>
                <w:color w:val="000000"/>
                <w:lang w:val="en-US" w:eastAsia="de-DE"/>
              </w:rPr>
              <w:t>endfor</w:t>
            </w:r>
            <w:proofErr w:type="spellEnd"/>
            <w:r w:rsidRPr="00611E5B">
              <w:rPr>
                <w:rFonts w:eastAsia="Times New Roman" w:cs="Arial"/>
                <w:b/>
                <w:color w:val="000000"/>
                <w:lang w:val="en-US" w:eastAsia="de-DE"/>
              </w:rPr>
              <w:t xml:space="preserve"> %}</w:t>
            </w:r>
          </w:p>
        </w:tc>
      </w:tr>
      <w:tr w:rsidR="00C03D1E" w:rsidRPr="00611E5B" w:rsidTr="00611E5B">
        <w:trPr>
          <w:trHeight w:val="85"/>
        </w:trPr>
        <w:tc>
          <w:tcPr>
            <w:tcW w:w="1735" w:type="dxa"/>
            <w:tcBorders>
              <w:top w:val="single" w:sz="4" w:space="0" w:color="D9D9D9" w:themeColor="background1" w:themeShade="D9"/>
              <w:bottom w:val="nil"/>
            </w:tcBorders>
            <w:shd w:val="clear" w:color="auto" w:fill="auto"/>
            <w:noWrap/>
            <w:vAlign w:val="bottom"/>
          </w:tcPr>
          <w:p w:rsidR="00C03D1E" w:rsidRPr="00611E5B" w:rsidRDefault="00C03D1E" w:rsidP="002C256C">
            <w:pPr>
              <w:spacing w:after="0"/>
              <w:jc w:val="left"/>
              <w:rPr>
                <w:rFonts w:eastAsia="Times New Roman" w:cs="Arial"/>
                <w:color w:val="000000"/>
                <w:sz w:val="2"/>
                <w:szCs w:val="2"/>
                <w:lang w:val="en-US" w:eastAsia="de-DE"/>
              </w:rPr>
            </w:pPr>
          </w:p>
        </w:tc>
        <w:tc>
          <w:tcPr>
            <w:tcW w:w="5089" w:type="dxa"/>
            <w:tcBorders>
              <w:top w:val="single" w:sz="4" w:space="0" w:color="D9D9D9" w:themeColor="background1" w:themeShade="D9"/>
              <w:bottom w:val="nil"/>
            </w:tcBorders>
            <w:shd w:val="clear" w:color="auto" w:fill="auto"/>
            <w:noWrap/>
            <w:vAlign w:val="bottom"/>
          </w:tcPr>
          <w:p w:rsidR="00C03D1E" w:rsidRPr="00611E5B" w:rsidRDefault="00C03D1E" w:rsidP="002C256C">
            <w:pPr>
              <w:spacing w:after="0"/>
              <w:jc w:val="left"/>
              <w:rPr>
                <w:rFonts w:eastAsia="Times New Roman" w:cs="Arial"/>
                <w:color w:val="000000"/>
                <w:sz w:val="2"/>
                <w:szCs w:val="2"/>
                <w:lang w:val="en-US" w:eastAsia="de-DE"/>
              </w:rPr>
            </w:pPr>
          </w:p>
        </w:tc>
        <w:tc>
          <w:tcPr>
            <w:tcW w:w="1261" w:type="dxa"/>
            <w:tcBorders>
              <w:top w:val="single" w:sz="4" w:space="0" w:color="D9D9D9" w:themeColor="background1" w:themeShade="D9"/>
              <w:bottom w:val="nil"/>
            </w:tcBorders>
            <w:shd w:val="clear" w:color="auto" w:fill="auto"/>
            <w:noWrap/>
            <w:vAlign w:val="bottom"/>
          </w:tcPr>
          <w:p w:rsidR="00C03D1E" w:rsidRPr="00611E5B" w:rsidRDefault="00C03D1E" w:rsidP="002C256C">
            <w:pPr>
              <w:spacing w:after="0"/>
              <w:jc w:val="right"/>
              <w:rPr>
                <w:rFonts w:eastAsia="Times New Roman" w:cs="Arial"/>
                <w:color w:val="000000"/>
                <w:sz w:val="2"/>
                <w:szCs w:val="2"/>
                <w:lang w:val="en-US" w:eastAsia="de-DE"/>
              </w:rPr>
            </w:pPr>
          </w:p>
        </w:tc>
        <w:tc>
          <w:tcPr>
            <w:tcW w:w="1127" w:type="dxa"/>
            <w:tcBorders>
              <w:top w:val="single" w:sz="4" w:space="0" w:color="D9D9D9" w:themeColor="background1" w:themeShade="D9"/>
              <w:bottom w:val="nil"/>
            </w:tcBorders>
            <w:shd w:val="clear" w:color="auto" w:fill="auto"/>
            <w:noWrap/>
            <w:vAlign w:val="bottom"/>
          </w:tcPr>
          <w:p w:rsidR="00C03D1E" w:rsidRPr="00611E5B" w:rsidRDefault="00C03D1E" w:rsidP="002C256C">
            <w:pPr>
              <w:spacing w:after="0"/>
              <w:jc w:val="right"/>
              <w:rPr>
                <w:rFonts w:eastAsia="Times New Roman" w:cs="Arial"/>
                <w:color w:val="000000"/>
                <w:sz w:val="2"/>
                <w:szCs w:val="2"/>
                <w:lang w:val="en-US" w:eastAsia="de-DE"/>
              </w:rPr>
            </w:pPr>
          </w:p>
        </w:tc>
      </w:tr>
      <w:tr w:rsidR="00C03D1E" w:rsidRPr="00611E5B" w:rsidTr="00611E5B">
        <w:trPr>
          <w:trHeight w:val="70"/>
        </w:trPr>
        <w:tc>
          <w:tcPr>
            <w:tcW w:w="1735" w:type="dxa"/>
            <w:tcBorders>
              <w:top w:val="nil"/>
            </w:tcBorders>
            <w:shd w:val="clear" w:color="auto" w:fill="auto"/>
            <w:noWrap/>
            <w:vAlign w:val="bottom"/>
          </w:tcPr>
          <w:p w:rsidR="00C03D1E" w:rsidRPr="00611E5B" w:rsidRDefault="00C03D1E" w:rsidP="002C256C">
            <w:pPr>
              <w:spacing w:after="0"/>
              <w:jc w:val="left"/>
              <w:rPr>
                <w:rFonts w:eastAsia="Times New Roman" w:cs="Arial"/>
                <w:color w:val="000000"/>
                <w:sz w:val="2"/>
                <w:szCs w:val="2"/>
                <w:lang w:val="en-US" w:eastAsia="de-DE"/>
              </w:rPr>
            </w:pPr>
          </w:p>
        </w:tc>
        <w:tc>
          <w:tcPr>
            <w:tcW w:w="5089" w:type="dxa"/>
            <w:tcBorders>
              <w:top w:val="nil"/>
            </w:tcBorders>
            <w:shd w:val="clear" w:color="auto" w:fill="auto"/>
            <w:noWrap/>
            <w:vAlign w:val="bottom"/>
          </w:tcPr>
          <w:p w:rsidR="00C03D1E" w:rsidRPr="00611E5B" w:rsidRDefault="00C03D1E" w:rsidP="002C256C">
            <w:pPr>
              <w:spacing w:after="0"/>
              <w:jc w:val="left"/>
              <w:rPr>
                <w:rFonts w:eastAsia="Times New Roman" w:cs="Arial"/>
                <w:color w:val="000000"/>
                <w:sz w:val="2"/>
                <w:szCs w:val="2"/>
                <w:lang w:val="en-US" w:eastAsia="de-DE"/>
              </w:rPr>
            </w:pPr>
          </w:p>
        </w:tc>
        <w:tc>
          <w:tcPr>
            <w:tcW w:w="1261" w:type="dxa"/>
            <w:tcBorders>
              <w:top w:val="nil"/>
            </w:tcBorders>
            <w:shd w:val="clear" w:color="auto" w:fill="auto"/>
            <w:noWrap/>
            <w:vAlign w:val="bottom"/>
          </w:tcPr>
          <w:p w:rsidR="00C03D1E" w:rsidRPr="00611E5B" w:rsidRDefault="00C03D1E" w:rsidP="002C256C">
            <w:pPr>
              <w:spacing w:after="0"/>
              <w:jc w:val="right"/>
              <w:rPr>
                <w:rFonts w:eastAsia="Times New Roman" w:cs="Arial"/>
                <w:color w:val="000000"/>
                <w:sz w:val="2"/>
                <w:szCs w:val="2"/>
                <w:lang w:val="en-US" w:eastAsia="de-DE"/>
              </w:rPr>
            </w:pPr>
          </w:p>
        </w:tc>
        <w:tc>
          <w:tcPr>
            <w:tcW w:w="1127" w:type="dxa"/>
            <w:tcBorders>
              <w:top w:val="nil"/>
            </w:tcBorders>
            <w:shd w:val="clear" w:color="auto" w:fill="auto"/>
            <w:noWrap/>
            <w:vAlign w:val="bottom"/>
          </w:tcPr>
          <w:p w:rsidR="00C03D1E" w:rsidRPr="00611E5B" w:rsidRDefault="00C03D1E" w:rsidP="002C256C">
            <w:pPr>
              <w:spacing w:after="0"/>
              <w:jc w:val="right"/>
              <w:rPr>
                <w:rFonts w:eastAsia="Times New Roman" w:cs="Arial"/>
                <w:color w:val="000000"/>
                <w:sz w:val="2"/>
                <w:szCs w:val="2"/>
                <w:lang w:val="en-US" w:eastAsia="de-DE"/>
              </w:rPr>
            </w:pPr>
          </w:p>
        </w:tc>
      </w:tr>
    </w:tbl>
    <w:p w:rsidR="00C03D1E" w:rsidRPr="00611E5B" w:rsidRDefault="00C03D1E" w:rsidP="00C03D1E">
      <w:pPr>
        <w:rPr>
          <w:lang w:val="en-US"/>
        </w:rPr>
      </w:pPr>
    </w:p>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0B0F32" w:rsidRDefault="000B0F32" w:rsidP="00C03D1E"/>
    <w:p w:rsidR="000B0F32" w:rsidRDefault="000B0F32" w:rsidP="00C03D1E">
      <w:r>
        <w:t>Die Steuererträge entwickelten sich in den vergangenen Jahren wie folgt:</w:t>
      </w:r>
    </w:p>
    <w:p w:rsidR="000B0F32" w:rsidRDefault="000B0F32" w:rsidP="00C03D1E"/>
    <w:p w:rsidR="00C03D1E" w:rsidRDefault="00C03D1E" w:rsidP="00C03D1E">
      <w:pPr>
        <w:rPr>
          <w:u w:val="single"/>
        </w:rPr>
      </w:pPr>
    </w:p>
    <w:p w:rsidR="00C03D1E" w:rsidRPr="00DB26D9" w:rsidRDefault="00C03D1E" w:rsidP="00C03D1E">
      <w:pPr>
        <w:rPr>
          <w:u w:val="single"/>
        </w:rPr>
      </w:pPr>
      <w:r>
        <w:rPr>
          <w:u w:val="single"/>
        </w:rPr>
        <w:t>Steuerkraft</w:t>
      </w:r>
    </w:p>
    <w:p w:rsidR="00C03D1E" w:rsidRDefault="00C03D1E" w:rsidP="00C03D1E">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2C256C">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2C256C">
            <w:pPr>
              <w:spacing w:after="0"/>
              <w:jc w:val="center"/>
              <w:rPr>
                <w:rFonts w:eastAsia="Times New Roman" w:cs="Arial"/>
                <w:b/>
                <w:bCs/>
                <w:sz w:val="20"/>
                <w:szCs w:val="20"/>
                <w:lang w:eastAsia="de-DE"/>
              </w:rPr>
            </w:pPr>
            <w:r w:rsidRPr="00104855">
              <w:rPr>
                <w:rFonts w:eastAsia="Times New Roman" w:cs="Arial"/>
                <w:b/>
                <w:bCs/>
                <w:sz w:val="20"/>
                <w:szCs w:val="20"/>
                <w:lang w:eastAsia="de-DE"/>
              </w:rPr>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2C256C">
            <w:pPr>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2C256C">
            <w:pPr>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2C256C">
            <w:pPr>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 VVJ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grsta_IV_vvj</w:t>
            </w:r>
            <w:proofErr w:type="spellEnd"/>
            <w:r>
              <w:rPr>
                <w:rFonts w:eastAsia="Times New Roman" w:cs="Arial"/>
                <w:sz w:val="16"/>
                <w:szCs w:val="16"/>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grstb_IV_vvj</w:t>
            </w:r>
            <w:proofErr w:type="spellEnd"/>
            <w:r>
              <w:rPr>
                <w:rFonts w:eastAsia="Times New Roman" w:cs="Arial"/>
                <w:sz w:val="16"/>
                <w:szCs w:val="16"/>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gewst_IV_vvj</w:t>
            </w:r>
            <w:proofErr w:type="spellEnd"/>
            <w:r>
              <w:rPr>
                <w:rFonts w:eastAsia="Times New Roman" w:cs="Arial"/>
                <w:sz w:val="16"/>
                <w:szCs w:val="16"/>
                <w:lang w:eastAsia="de-DE"/>
              </w:rPr>
              <w:t xml:space="preserve"> }}</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2C030B" w:rsidP="002C256C">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ekst_IV_vvj</w:t>
            </w:r>
            <w:proofErr w:type="spellEnd"/>
            <w:r>
              <w:rPr>
                <w:rFonts w:eastAsia="Times New Roman" w:cs="Arial"/>
                <w:sz w:val="16"/>
                <w:szCs w:val="16"/>
                <w:lang w:eastAsia="de-DE"/>
              </w:rPr>
              <w:t xml:space="preserve"> }}</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ber_grsta_IV_vvj</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ber_grstb_IV_vvj</w:t>
            </w:r>
            <w:proofErr w:type="spellEnd"/>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ber_gewst_IV_vvj</w:t>
            </w:r>
            <w:proofErr w:type="spellEnd"/>
            <w:r>
              <w:rPr>
                <w:rFonts w:eastAsia="Times New Roman" w:cs="Arial"/>
                <w:sz w:val="14"/>
                <w:szCs w:val="14"/>
                <w:lang w:eastAsia="de-DE"/>
              </w:rPr>
              <w:t xml:space="preserve"> }}</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2C030B" w:rsidRPr="002C030B" w:rsidRDefault="002C030B" w:rsidP="002C256C">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ekst_I-III_vj</w:t>
            </w:r>
            <w:proofErr w:type="spellEnd"/>
            <w:r>
              <w:rPr>
                <w:rFonts w:eastAsia="Times New Roman" w:cs="Arial"/>
                <w:sz w:val="16"/>
                <w:szCs w:val="16"/>
                <w:lang w:eastAsia="de-DE"/>
              </w:rPr>
              <w:t xml:space="preserve"> }}</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Pr="00A54082">
              <w:rPr>
                <w:rFonts w:eastAsia="Times New Roman" w:cs="Arial"/>
                <w:sz w:val="14"/>
                <w:szCs w:val="14"/>
                <w:lang w:eastAsia="de-DE"/>
              </w:rPr>
              <w:t>hebesatz_grsta_IV_vvj</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Pr="00A54082">
              <w:rPr>
                <w:rFonts w:eastAsia="Times New Roman" w:cs="Arial"/>
                <w:sz w:val="14"/>
                <w:szCs w:val="14"/>
                <w:lang w:eastAsia="de-DE"/>
              </w:rPr>
              <w:t>hebesatz_</w:t>
            </w:r>
            <w:r>
              <w:rPr>
                <w:rFonts w:eastAsia="Times New Roman" w:cs="Arial"/>
                <w:sz w:val="14"/>
                <w:szCs w:val="14"/>
                <w:lang w:eastAsia="de-DE"/>
              </w:rPr>
              <w:t>grstb</w:t>
            </w:r>
            <w:r w:rsidRPr="00A54082">
              <w:rPr>
                <w:rFonts w:eastAsia="Times New Roman" w:cs="Arial"/>
                <w:sz w:val="14"/>
                <w:szCs w:val="14"/>
                <w:lang w:eastAsia="de-DE"/>
              </w:rPr>
              <w:t>_IV_vvj</w:t>
            </w:r>
            <w:proofErr w:type="spellEnd"/>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Pr="00A54082">
              <w:rPr>
                <w:rFonts w:eastAsia="Times New Roman" w:cs="Arial"/>
                <w:sz w:val="14"/>
                <w:szCs w:val="14"/>
                <w:lang w:eastAsia="de-DE"/>
              </w:rPr>
              <w:t>hebesatz_</w:t>
            </w:r>
            <w:r>
              <w:rPr>
                <w:rFonts w:eastAsia="Times New Roman" w:cs="Arial"/>
                <w:sz w:val="14"/>
                <w:szCs w:val="14"/>
                <w:lang w:eastAsia="de-DE"/>
              </w:rPr>
              <w:t>gewst</w:t>
            </w:r>
            <w:r w:rsidRPr="00A54082">
              <w:rPr>
                <w:rFonts w:eastAsia="Times New Roman" w:cs="Arial"/>
                <w:sz w:val="14"/>
                <w:szCs w:val="14"/>
                <w:lang w:eastAsia="de-DE"/>
              </w:rPr>
              <w:t>_IV_vvj</w:t>
            </w:r>
            <w:proofErr w:type="spellEnd"/>
            <w:r>
              <w:rPr>
                <w:rFonts w:eastAsia="Times New Roman" w:cs="Arial"/>
                <w:sz w:val="14"/>
                <w:szCs w:val="14"/>
                <w:lang w:eastAsia="de-DE"/>
              </w:rPr>
              <w:t xml:space="preserve"> }}</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2C030B" w:rsidRPr="00104855" w:rsidRDefault="002C030B"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2C030B"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EkSt</w:t>
            </w:r>
            <w:r>
              <w:rPr>
                <w:rFonts w:eastAsia="Times New Roman" w:cs="Arial"/>
                <w:b/>
                <w:bCs/>
                <w:sz w:val="20"/>
                <w:szCs w:val="20"/>
                <w:lang w:eastAsia="de-DE"/>
              </w:rPr>
              <w:t>_stkz</w:t>
            </w:r>
            <w:proofErr w:type="spellEnd"/>
            <w:r>
              <w:rPr>
                <w:rFonts w:eastAsia="Times New Roman" w:cs="Arial"/>
                <w:b/>
                <w:bCs/>
                <w:sz w:val="20"/>
                <w:szCs w:val="20"/>
                <w:lang w:eastAsia="de-DE"/>
              </w:rPr>
              <w:t xml:space="preserve"> }}</w:t>
            </w:r>
          </w:p>
        </w:tc>
      </w:tr>
      <w:tr w:rsidR="002C030B" w:rsidRPr="00104855" w:rsidTr="002C256C">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6"/>
                <w:szCs w:val="16"/>
                <w:lang w:eastAsia="de-DE"/>
              </w:rPr>
            </w:pPr>
            <w:r>
              <w:rPr>
                <w:rFonts w:eastAsia="Times New Roman" w:cs="Arial"/>
                <w:sz w:val="16"/>
                <w:szCs w:val="16"/>
                <w:lang w:eastAsia="de-DE"/>
              </w:rPr>
              <w:t>{{ grsta_gz1}}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grstb_gz1}}</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gewst_gz1}}</w:t>
            </w:r>
          </w:p>
        </w:tc>
        <w:tc>
          <w:tcPr>
            <w:tcW w:w="2977" w:type="dxa"/>
            <w:gridSpan w:val="3"/>
            <w:tcBorders>
              <w:top w:val="single" w:sz="4" w:space="0" w:color="auto"/>
              <w:left w:val="nil"/>
              <w:bottom w:val="nil"/>
              <w:right w:val="single" w:sz="8" w:space="0" w:color="000000"/>
            </w:tcBorders>
            <w:shd w:val="clear" w:color="auto" w:fill="auto"/>
            <w:noWrap/>
            <w:vAlign w:val="bottom"/>
            <w:hideMark/>
          </w:tcPr>
          <w:p w:rsidR="002C030B" w:rsidRPr="00104855" w:rsidRDefault="002C030B" w:rsidP="002C256C">
            <w:pPr>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 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grsta_I-III_vj</w:t>
            </w:r>
            <w:proofErr w:type="spellEnd"/>
            <w:r>
              <w:rPr>
                <w:rFonts w:eastAsia="Times New Roman" w:cs="Arial"/>
                <w:sz w:val="16"/>
                <w:szCs w:val="16"/>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grstb_I-III_vj</w:t>
            </w:r>
            <w:proofErr w:type="spellEnd"/>
            <w:r>
              <w:rPr>
                <w:rFonts w:eastAsia="Times New Roman" w:cs="Arial"/>
                <w:sz w:val="16"/>
                <w:szCs w:val="16"/>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gewst_I-III_vj</w:t>
            </w:r>
            <w:proofErr w:type="spellEnd"/>
            <w:r>
              <w:rPr>
                <w:rFonts w:eastAsia="Times New Roman" w:cs="Arial"/>
                <w:sz w:val="16"/>
                <w:szCs w:val="16"/>
                <w:lang w:eastAsia="de-DE"/>
              </w:rPr>
              <w:t xml:space="preserve"> }}</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ust_IV_vvj</w:t>
            </w:r>
            <w:proofErr w:type="spellEnd"/>
            <w:r>
              <w:rPr>
                <w:rFonts w:eastAsia="Times New Roman" w:cs="Arial"/>
                <w:sz w:val="16"/>
                <w:szCs w:val="16"/>
                <w:lang w:eastAsia="de-DE"/>
              </w:rPr>
              <w:t xml:space="preserve"> }}</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Bereinigung</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ber_grsta_I-III_vj</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ber_grstb_I-III_vj</w:t>
            </w:r>
            <w:proofErr w:type="spellEnd"/>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ber_gewst_I-III_vj</w:t>
            </w:r>
            <w:proofErr w:type="spellEnd"/>
            <w:r>
              <w:rPr>
                <w:rFonts w:eastAsia="Times New Roman" w:cs="Arial"/>
                <w:sz w:val="14"/>
                <w:szCs w:val="14"/>
                <w:lang w:eastAsia="de-DE"/>
              </w:rPr>
              <w:t xml:space="preserve"> }}</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2C030B" w:rsidRPr="002C030B"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ust_I-III_vj</w:t>
            </w:r>
            <w:proofErr w:type="spellEnd"/>
            <w:r>
              <w:rPr>
                <w:rFonts w:eastAsia="Times New Roman" w:cs="Arial"/>
                <w:sz w:val="16"/>
                <w:szCs w:val="16"/>
                <w:lang w:eastAsia="de-DE"/>
              </w:rPr>
              <w:t xml:space="preserve"> }}</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Hebesatz</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Pr="00A54082">
              <w:rPr>
                <w:rFonts w:eastAsia="Times New Roman" w:cs="Arial"/>
                <w:sz w:val="14"/>
                <w:szCs w:val="14"/>
                <w:lang w:eastAsia="de-DE"/>
              </w:rPr>
              <w:t>hebesatz_grsta_</w:t>
            </w:r>
            <w:r>
              <w:rPr>
                <w:rFonts w:eastAsia="Times New Roman" w:cs="Arial"/>
                <w:sz w:val="14"/>
                <w:szCs w:val="14"/>
                <w:lang w:eastAsia="de-DE"/>
              </w:rPr>
              <w:t>I-III</w:t>
            </w:r>
            <w:r w:rsidRPr="00A54082">
              <w:rPr>
                <w:rFonts w:eastAsia="Times New Roman" w:cs="Arial"/>
                <w:sz w:val="14"/>
                <w:szCs w:val="14"/>
                <w:lang w:eastAsia="de-DE"/>
              </w:rPr>
              <w:t>_</w:t>
            </w:r>
            <w:r>
              <w:rPr>
                <w:rFonts w:eastAsia="Times New Roman" w:cs="Arial"/>
                <w:sz w:val="14"/>
                <w:szCs w:val="14"/>
                <w:lang w:eastAsia="de-DE"/>
              </w:rPr>
              <w:t>vj</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Pr="00A54082">
              <w:rPr>
                <w:rFonts w:eastAsia="Times New Roman" w:cs="Arial"/>
                <w:sz w:val="14"/>
                <w:szCs w:val="14"/>
                <w:lang w:eastAsia="de-DE"/>
              </w:rPr>
              <w:t>hebesatz_</w:t>
            </w:r>
            <w:r>
              <w:rPr>
                <w:rFonts w:eastAsia="Times New Roman" w:cs="Arial"/>
                <w:sz w:val="14"/>
                <w:szCs w:val="14"/>
                <w:lang w:eastAsia="de-DE"/>
              </w:rPr>
              <w:t>grstb</w:t>
            </w:r>
            <w:r w:rsidRPr="00A54082">
              <w:rPr>
                <w:rFonts w:eastAsia="Times New Roman" w:cs="Arial"/>
                <w:sz w:val="14"/>
                <w:szCs w:val="14"/>
                <w:lang w:eastAsia="de-DE"/>
              </w:rPr>
              <w:t>_</w:t>
            </w:r>
            <w:r>
              <w:rPr>
                <w:rFonts w:eastAsia="Times New Roman" w:cs="Arial"/>
                <w:sz w:val="14"/>
                <w:szCs w:val="14"/>
                <w:lang w:eastAsia="de-DE"/>
              </w:rPr>
              <w:t>I-III</w:t>
            </w:r>
            <w:r w:rsidRPr="00A54082">
              <w:rPr>
                <w:rFonts w:eastAsia="Times New Roman" w:cs="Arial"/>
                <w:sz w:val="14"/>
                <w:szCs w:val="14"/>
                <w:lang w:eastAsia="de-DE"/>
              </w:rPr>
              <w:t>_</w:t>
            </w:r>
            <w:r>
              <w:rPr>
                <w:rFonts w:eastAsia="Times New Roman" w:cs="Arial"/>
                <w:sz w:val="14"/>
                <w:szCs w:val="14"/>
                <w:lang w:eastAsia="de-DE"/>
              </w:rPr>
              <w:t>vj</w:t>
            </w:r>
            <w:proofErr w:type="spellEnd"/>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sidRPr="00A54082">
              <w:rPr>
                <w:rFonts w:eastAsia="Times New Roman" w:cs="Arial"/>
                <w:sz w:val="14"/>
                <w:szCs w:val="14"/>
                <w:lang w:eastAsia="de-DE"/>
              </w:rPr>
              <w:t>hebesatz_</w:t>
            </w:r>
            <w:r>
              <w:rPr>
                <w:rFonts w:eastAsia="Times New Roman" w:cs="Arial"/>
                <w:sz w:val="14"/>
                <w:szCs w:val="14"/>
                <w:lang w:eastAsia="de-DE"/>
              </w:rPr>
              <w:t>gewst</w:t>
            </w:r>
            <w:r w:rsidRPr="00A54082">
              <w:rPr>
                <w:rFonts w:eastAsia="Times New Roman" w:cs="Arial"/>
                <w:sz w:val="14"/>
                <w:szCs w:val="14"/>
                <w:lang w:eastAsia="de-DE"/>
              </w:rPr>
              <w:t>_</w:t>
            </w:r>
            <w:r>
              <w:rPr>
                <w:rFonts w:eastAsia="Times New Roman" w:cs="Arial"/>
                <w:sz w:val="14"/>
                <w:szCs w:val="14"/>
                <w:lang w:eastAsia="de-DE"/>
              </w:rPr>
              <w:t>I-III</w:t>
            </w:r>
            <w:r w:rsidRPr="00A54082">
              <w:rPr>
                <w:rFonts w:eastAsia="Times New Roman" w:cs="Arial"/>
                <w:sz w:val="14"/>
                <w:szCs w:val="14"/>
                <w:lang w:eastAsia="de-DE"/>
              </w:rPr>
              <w:t>_</w:t>
            </w:r>
            <w:r>
              <w:rPr>
                <w:rFonts w:eastAsia="Times New Roman" w:cs="Arial"/>
                <w:sz w:val="14"/>
                <w:szCs w:val="14"/>
                <w:lang w:eastAsia="de-DE"/>
              </w:rPr>
              <w:t>vj</w:t>
            </w:r>
            <w:proofErr w:type="spellEnd"/>
            <w:r>
              <w:rPr>
                <w:rFonts w:eastAsia="Times New Roman" w:cs="Arial"/>
                <w:sz w:val="14"/>
                <w:szCs w:val="14"/>
                <w:lang w:eastAsia="de-DE"/>
              </w:rPr>
              <w:t xml:space="preserve"> }}</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hideMark/>
          </w:tcPr>
          <w:p w:rsidR="002C030B" w:rsidRPr="00104855" w:rsidRDefault="002C030B"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hideMark/>
          </w:tcPr>
          <w:p w:rsidR="002C030B"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USt</w:t>
            </w:r>
            <w:r>
              <w:rPr>
                <w:rFonts w:eastAsia="Times New Roman" w:cs="Arial"/>
                <w:b/>
                <w:bCs/>
                <w:sz w:val="20"/>
                <w:szCs w:val="20"/>
                <w:lang w:eastAsia="de-DE"/>
              </w:rPr>
              <w:t>_stkz</w:t>
            </w:r>
            <w:proofErr w:type="spellEnd"/>
            <w:r>
              <w:rPr>
                <w:rFonts w:eastAsia="Times New Roman" w:cs="Arial"/>
                <w:b/>
                <w:bCs/>
                <w:sz w:val="20"/>
                <w:szCs w:val="20"/>
                <w:lang w:eastAsia="de-DE"/>
              </w:rPr>
              <w:t xml:space="preserve"> }}</w:t>
            </w:r>
          </w:p>
        </w:tc>
      </w:tr>
      <w:tr w:rsidR="002C030B" w:rsidRPr="00104855" w:rsidTr="002C256C">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6"/>
                <w:szCs w:val="16"/>
                <w:lang w:eastAsia="de-DE"/>
              </w:rPr>
            </w:pPr>
            <w:r>
              <w:rPr>
                <w:rFonts w:eastAsia="Times New Roman" w:cs="Arial"/>
                <w:sz w:val="16"/>
                <w:szCs w:val="16"/>
                <w:lang w:eastAsia="de-DE"/>
              </w:rPr>
              <w:t>{{ grsta_gz2 }}</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grstb_gz2 }}</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gewst_gz2 }}</w:t>
            </w:r>
          </w:p>
        </w:tc>
        <w:tc>
          <w:tcPr>
            <w:tcW w:w="2977" w:type="dxa"/>
            <w:gridSpan w:val="3"/>
            <w:tcBorders>
              <w:top w:val="single" w:sz="4" w:space="0" w:color="auto"/>
              <w:left w:val="nil"/>
              <w:bottom w:val="nil"/>
              <w:right w:val="single" w:sz="8" w:space="0" w:color="000000"/>
            </w:tcBorders>
            <w:shd w:val="clear" w:color="auto" w:fill="auto"/>
            <w:vAlign w:val="bottom"/>
            <w:hideMark/>
          </w:tcPr>
          <w:p w:rsidR="002C030B" w:rsidRPr="00104855" w:rsidRDefault="002C030B" w:rsidP="002C256C">
            <w:pPr>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(4) + (8)</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grsta_gz</w:t>
            </w:r>
            <w:proofErr w:type="spellEnd"/>
            <w:r>
              <w:rPr>
                <w:rFonts w:eastAsia="Times New Roman" w:cs="Arial"/>
                <w:sz w:val="14"/>
                <w:szCs w:val="14"/>
                <w:lang w:eastAsia="de-DE"/>
              </w:rPr>
              <w:t>}}</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grstb_gz</w:t>
            </w:r>
            <w:proofErr w:type="spellEnd"/>
            <w:r>
              <w:rPr>
                <w:rFonts w:eastAsia="Times New Roman" w:cs="Arial"/>
                <w:sz w:val="14"/>
                <w:szCs w:val="14"/>
                <w:lang w:eastAsia="de-DE"/>
              </w:rPr>
              <w:t>}}</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gewst_gz</w:t>
            </w:r>
            <w:proofErr w:type="spellEnd"/>
            <w:r>
              <w:rPr>
                <w:rFonts w:eastAsia="Times New Roman" w:cs="Arial"/>
                <w:sz w:val="14"/>
                <w:szCs w:val="14"/>
                <w:lang w:eastAsia="de-DE"/>
              </w:rPr>
              <w:t>}}</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ustme_IV_vvj</w:t>
            </w:r>
            <w:proofErr w:type="spellEnd"/>
            <w:r>
              <w:rPr>
                <w:rFonts w:eastAsia="Times New Roman" w:cs="Arial"/>
                <w:sz w:val="16"/>
                <w:szCs w:val="16"/>
                <w:lang w:eastAsia="de-DE"/>
              </w:rPr>
              <w:t xml:space="preserve"> }}</w:t>
            </w:r>
          </w:p>
        </w:tc>
      </w:tr>
      <w:tr w:rsidR="002C030B" w:rsidRPr="00104855" w:rsidTr="002C256C">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2C256C">
            <w:pPr>
              <w:spacing w:after="0"/>
              <w:jc w:val="left"/>
              <w:rPr>
                <w:rFonts w:eastAsia="Times New Roman" w:cs="Arial"/>
                <w:sz w:val="14"/>
                <w:szCs w:val="14"/>
                <w:lang w:eastAsia="de-DE"/>
              </w:rPr>
            </w:pPr>
            <w:r w:rsidRPr="00104855">
              <w:rPr>
                <w:rFonts w:eastAsia="Times New Roman" w:cs="Arial"/>
                <w:sz w:val="14"/>
                <w:szCs w:val="14"/>
                <w:lang w:eastAsia="de-DE"/>
              </w:rPr>
              <w:t>Nivellierungssatz</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F264DE">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grsta_nivel</w:t>
            </w:r>
            <w:proofErr w:type="spellEnd"/>
            <w:r>
              <w:rPr>
                <w:rFonts w:eastAsia="Times New Roman" w:cs="Arial"/>
                <w:sz w:val="14"/>
                <w:szCs w:val="14"/>
                <w:lang w:eastAsia="de-DE"/>
              </w:rPr>
              <w:t xml:space="preserve"> }}</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grstb_nivel</w:t>
            </w:r>
            <w:proofErr w:type="spellEnd"/>
            <w:r>
              <w:rPr>
                <w:rFonts w:eastAsia="Times New Roman" w:cs="Arial"/>
                <w:sz w:val="14"/>
                <w:szCs w:val="14"/>
                <w:lang w:eastAsia="de-DE"/>
              </w:rPr>
              <w:t xml:space="preserve"> }}</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2C030B" w:rsidP="00132DF3">
            <w:pPr>
              <w:spacing w:after="0"/>
              <w:jc w:val="right"/>
              <w:rPr>
                <w:rFonts w:eastAsia="Times New Roman" w:cs="Arial"/>
                <w:sz w:val="14"/>
                <w:szCs w:val="14"/>
                <w:lang w:eastAsia="de-DE"/>
              </w:rPr>
            </w:pPr>
            <w:r>
              <w:rPr>
                <w:rFonts w:eastAsia="Times New Roman" w:cs="Arial"/>
                <w:sz w:val="14"/>
                <w:szCs w:val="14"/>
                <w:lang w:eastAsia="de-DE"/>
              </w:rPr>
              <w:t xml:space="preserve">{{ </w:t>
            </w:r>
            <w:proofErr w:type="spellStart"/>
            <w:r>
              <w:rPr>
                <w:rFonts w:eastAsia="Times New Roman" w:cs="Arial"/>
                <w:sz w:val="14"/>
                <w:szCs w:val="14"/>
                <w:lang w:eastAsia="de-DE"/>
              </w:rPr>
              <w:t>gewst_nivel</w:t>
            </w:r>
            <w:proofErr w:type="spellEnd"/>
            <w:r>
              <w:rPr>
                <w:rFonts w:eastAsia="Times New Roman" w:cs="Arial"/>
                <w:sz w:val="14"/>
                <w:szCs w:val="14"/>
                <w:lang w:eastAsia="de-DE"/>
              </w:rPr>
              <w:t xml:space="preserve"> }}</w:t>
            </w:r>
          </w:p>
        </w:tc>
        <w:tc>
          <w:tcPr>
            <w:tcW w:w="1585" w:type="dxa"/>
            <w:gridSpan w:val="2"/>
            <w:tcBorders>
              <w:top w:val="nil"/>
              <w:left w:val="nil"/>
              <w:bottom w:val="single" w:sz="4" w:space="0" w:color="auto"/>
              <w:right w:val="single" w:sz="4" w:space="0" w:color="auto"/>
            </w:tcBorders>
            <w:shd w:val="clear" w:color="auto" w:fill="auto"/>
            <w:noWrap/>
            <w:vAlign w:val="bottom"/>
            <w:hideMark/>
          </w:tcPr>
          <w:p w:rsidR="002C030B" w:rsidRPr="00104855" w:rsidRDefault="002C030B" w:rsidP="002C256C">
            <w:pPr>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hideMark/>
          </w:tcPr>
          <w:p w:rsidR="002C030B" w:rsidRPr="002C030B" w:rsidRDefault="002C030B" w:rsidP="00132DF3">
            <w:pPr>
              <w:spacing w:after="0"/>
              <w:jc w:val="right"/>
              <w:rPr>
                <w:rFonts w:eastAsia="Times New Roman" w:cs="Arial"/>
                <w:sz w:val="16"/>
                <w:szCs w:val="16"/>
                <w:lang w:eastAsia="de-DE"/>
              </w:rPr>
            </w:pPr>
            <w:r>
              <w:rPr>
                <w:rFonts w:eastAsia="Times New Roman" w:cs="Arial"/>
                <w:sz w:val="16"/>
                <w:szCs w:val="16"/>
                <w:lang w:eastAsia="de-DE"/>
              </w:rPr>
              <w:t xml:space="preserve">{{ </w:t>
            </w:r>
            <w:proofErr w:type="spellStart"/>
            <w:r>
              <w:rPr>
                <w:rFonts w:eastAsia="Times New Roman" w:cs="Arial"/>
                <w:sz w:val="16"/>
                <w:szCs w:val="16"/>
                <w:lang w:eastAsia="de-DE"/>
              </w:rPr>
              <w:t>ustme_I-III_vj</w:t>
            </w:r>
            <w:proofErr w:type="spellEnd"/>
            <w:r>
              <w:rPr>
                <w:rFonts w:eastAsia="Times New Roman" w:cs="Arial"/>
                <w:sz w:val="16"/>
                <w:szCs w:val="16"/>
                <w:lang w:eastAsia="de-DE"/>
              </w:rPr>
              <w:t xml:space="preserve"> }}</w:t>
            </w:r>
          </w:p>
        </w:tc>
      </w:tr>
      <w:tr w:rsidR="00C03D1E" w:rsidRPr="00104855" w:rsidTr="002C256C">
        <w:trPr>
          <w:trHeight w:val="315"/>
        </w:trPr>
        <w:tc>
          <w:tcPr>
            <w:tcW w:w="1585" w:type="dxa"/>
            <w:tcBorders>
              <w:top w:val="single" w:sz="4" w:space="0" w:color="auto"/>
              <w:left w:val="single" w:sz="8" w:space="0" w:color="auto"/>
              <w:bottom w:val="single" w:sz="8" w:space="0" w:color="auto"/>
              <w:right w:val="single" w:sz="8"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666" w:type="dxa"/>
            <w:tcBorders>
              <w:top w:val="single" w:sz="4" w:space="0" w:color="auto"/>
              <w:left w:val="nil"/>
              <w:bottom w:val="single" w:sz="8" w:space="0" w:color="auto"/>
              <w:right w:val="single" w:sz="4" w:space="0" w:color="auto"/>
            </w:tcBorders>
            <w:shd w:val="clear" w:color="000000" w:fill="F2F2F2"/>
            <w:noWrap/>
            <w:vAlign w:val="bottom"/>
            <w:hideMark/>
          </w:tcPr>
          <w:p w:rsidR="00C03D1E" w:rsidRPr="00104855" w:rsidRDefault="002C030B" w:rsidP="002C256C">
            <w:pPr>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grsta_stkz</w:t>
            </w:r>
            <w:proofErr w:type="spellEnd"/>
            <w:r>
              <w:rPr>
                <w:rFonts w:eastAsia="Times New Roman" w:cs="Arial"/>
                <w:b/>
                <w:bCs/>
                <w:sz w:val="20"/>
                <w:szCs w:val="20"/>
                <w:lang w:eastAsia="de-DE"/>
              </w:rPr>
              <w:t xml:space="preserve"> }}</w:t>
            </w:r>
          </w:p>
        </w:tc>
        <w:tc>
          <w:tcPr>
            <w:tcW w:w="1559" w:type="dxa"/>
            <w:tcBorders>
              <w:top w:val="single" w:sz="4" w:space="0" w:color="auto"/>
              <w:left w:val="nil"/>
              <w:bottom w:val="single" w:sz="8" w:space="0" w:color="auto"/>
              <w:right w:val="single" w:sz="4" w:space="0" w:color="auto"/>
            </w:tcBorders>
            <w:shd w:val="clear" w:color="000000" w:fill="F2F2F2"/>
            <w:noWrap/>
            <w:vAlign w:val="bottom"/>
            <w:hideMark/>
          </w:tcPr>
          <w:p w:rsidR="00C03D1E"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grst</w:t>
            </w:r>
            <w:r>
              <w:rPr>
                <w:rFonts w:eastAsia="Times New Roman" w:cs="Arial"/>
                <w:b/>
                <w:bCs/>
                <w:sz w:val="20"/>
                <w:szCs w:val="20"/>
                <w:lang w:eastAsia="de-DE"/>
              </w:rPr>
              <w:t>b</w:t>
            </w:r>
            <w:r>
              <w:rPr>
                <w:rFonts w:eastAsia="Times New Roman" w:cs="Arial"/>
                <w:b/>
                <w:bCs/>
                <w:sz w:val="20"/>
                <w:szCs w:val="20"/>
                <w:lang w:eastAsia="de-DE"/>
              </w:rPr>
              <w:t>_stkz</w:t>
            </w:r>
            <w:proofErr w:type="spellEnd"/>
            <w:r>
              <w:rPr>
                <w:rFonts w:eastAsia="Times New Roman" w:cs="Arial"/>
                <w:b/>
                <w:bCs/>
                <w:sz w:val="20"/>
                <w:szCs w:val="20"/>
                <w:lang w:eastAsia="de-DE"/>
              </w:rPr>
              <w:t xml:space="preserve"> }}</w:t>
            </w:r>
          </w:p>
        </w:tc>
        <w:tc>
          <w:tcPr>
            <w:tcW w:w="1559" w:type="dxa"/>
            <w:tcBorders>
              <w:top w:val="single" w:sz="4" w:space="0" w:color="auto"/>
              <w:left w:val="nil"/>
              <w:bottom w:val="single" w:sz="8" w:space="0" w:color="auto"/>
              <w:right w:val="single" w:sz="8" w:space="0" w:color="auto"/>
            </w:tcBorders>
            <w:shd w:val="clear" w:color="000000" w:fill="F2F2F2"/>
            <w:noWrap/>
            <w:vAlign w:val="bottom"/>
            <w:hideMark/>
          </w:tcPr>
          <w:p w:rsidR="00C03D1E"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gewst</w:t>
            </w:r>
            <w:r>
              <w:rPr>
                <w:rFonts w:eastAsia="Times New Roman" w:cs="Arial"/>
                <w:b/>
                <w:bCs/>
                <w:sz w:val="20"/>
                <w:szCs w:val="20"/>
                <w:lang w:eastAsia="de-DE"/>
              </w:rPr>
              <w:t>_stkz</w:t>
            </w:r>
            <w:proofErr w:type="spellEnd"/>
            <w:r>
              <w:rPr>
                <w:rFonts w:eastAsia="Times New Roman" w:cs="Arial"/>
                <w:b/>
                <w:bCs/>
                <w:sz w:val="20"/>
                <w:szCs w:val="20"/>
                <w:lang w:eastAsia="de-DE"/>
              </w:rPr>
              <w:t xml:space="preserve"> }}</w:t>
            </w:r>
          </w:p>
        </w:tc>
        <w:tc>
          <w:tcPr>
            <w:tcW w:w="1585" w:type="dxa"/>
            <w:gridSpan w:val="2"/>
            <w:tcBorders>
              <w:top w:val="nil"/>
              <w:left w:val="nil"/>
              <w:bottom w:val="single" w:sz="8" w:space="0" w:color="auto"/>
              <w:right w:val="single" w:sz="4" w:space="0" w:color="auto"/>
            </w:tcBorders>
            <w:shd w:val="clear" w:color="000000" w:fill="F2F2F2"/>
            <w:noWrap/>
            <w:vAlign w:val="bottom"/>
            <w:hideMark/>
          </w:tcPr>
          <w:p w:rsidR="00C03D1E" w:rsidRPr="00104855" w:rsidRDefault="00C03D1E" w:rsidP="002C256C">
            <w:pPr>
              <w:spacing w:after="0"/>
              <w:jc w:val="left"/>
              <w:rPr>
                <w:rFonts w:eastAsia="Times New Roman" w:cs="Arial"/>
                <w:b/>
                <w:bCs/>
                <w:sz w:val="20"/>
                <w:szCs w:val="20"/>
                <w:lang w:eastAsia="de-DE"/>
              </w:rPr>
            </w:pPr>
            <w:r w:rsidRPr="00104855">
              <w:rPr>
                <w:rFonts w:eastAsia="Times New Roman" w:cs="Arial"/>
                <w:b/>
                <w:bCs/>
                <w:sz w:val="20"/>
                <w:szCs w:val="20"/>
                <w:lang w:eastAsia="de-DE"/>
              </w:rPr>
              <w:t>Steuerkraftzahl</w:t>
            </w:r>
          </w:p>
        </w:tc>
        <w:tc>
          <w:tcPr>
            <w:tcW w:w="1392" w:type="dxa"/>
            <w:tcBorders>
              <w:top w:val="single" w:sz="4" w:space="0" w:color="auto"/>
              <w:left w:val="nil"/>
              <w:bottom w:val="single" w:sz="8" w:space="0" w:color="auto"/>
              <w:right w:val="single" w:sz="8" w:space="0" w:color="auto"/>
            </w:tcBorders>
            <w:shd w:val="clear" w:color="000000" w:fill="F2F2F2"/>
            <w:noWrap/>
            <w:vAlign w:val="bottom"/>
            <w:hideMark/>
          </w:tcPr>
          <w:p w:rsidR="00C03D1E" w:rsidRPr="00104855" w:rsidRDefault="002C030B" w:rsidP="002C030B">
            <w:pPr>
              <w:spacing w:after="0"/>
              <w:jc w:val="right"/>
              <w:rPr>
                <w:rFonts w:eastAsia="Times New Roman" w:cs="Arial"/>
                <w:b/>
                <w:bCs/>
                <w:sz w:val="20"/>
                <w:szCs w:val="20"/>
                <w:lang w:eastAsia="de-DE"/>
              </w:rPr>
            </w:pPr>
            <w:r>
              <w:rPr>
                <w:rFonts w:eastAsia="Times New Roman" w:cs="Arial"/>
                <w:b/>
                <w:bCs/>
                <w:sz w:val="20"/>
                <w:szCs w:val="20"/>
                <w:lang w:eastAsia="de-DE"/>
              </w:rPr>
              <w:t xml:space="preserve">{{ </w:t>
            </w:r>
            <w:proofErr w:type="spellStart"/>
            <w:r>
              <w:rPr>
                <w:rFonts w:eastAsia="Times New Roman" w:cs="Arial"/>
                <w:b/>
                <w:bCs/>
                <w:sz w:val="20"/>
                <w:szCs w:val="20"/>
                <w:lang w:eastAsia="de-DE"/>
              </w:rPr>
              <w:t>ustme_stkz</w:t>
            </w:r>
            <w:proofErr w:type="spellEnd"/>
            <w:r>
              <w:rPr>
                <w:rFonts w:eastAsia="Times New Roman" w:cs="Arial"/>
                <w:b/>
                <w:bCs/>
                <w:sz w:val="20"/>
                <w:szCs w:val="20"/>
                <w:lang w:eastAsia="de-DE"/>
              </w:rPr>
              <w:t xml:space="preserve"> }}</w:t>
            </w:r>
          </w:p>
        </w:tc>
      </w:tr>
      <w:tr w:rsidR="00C03D1E" w:rsidRPr="00104855" w:rsidTr="002C256C">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C03D1E" w:rsidRPr="00104855" w:rsidRDefault="00C03D1E" w:rsidP="002C256C">
            <w:pPr>
              <w:spacing w:after="0"/>
              <w:jc w:val="left"/>
              <w:rPr>
                <w:rFonts w:eastAsia="Times New Roman" w:cs="Arial"/>
                <w:lang w:eastAsia="de-DE"/>
              </w:rPr>
            </w:pPr>
            <w:r w:rsidRPr="00104855">
              <w:rPr>
                <w:rFonts w:eastAsia="Times New Roman" w:cs="Arial"/>
                <w:lang w:eastAsia="de-DE"/>
              </w:rPr>
              <w:t>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C03D1E" w:rsidRPr="00104855" w:rsidRDefault="002C030B" w:rsidP="002C256C">
            <w:pPr>
              <w:spacing w:after="0"/>
              <w:jc w:val="right"/>
              <w:rPr>
                <w:rFonts w:ascii="Calibri" w:eastAsia="Times New Roman" w:hAnsi="Calibri" w:cs="Calibri"/>
                <w:b/>
                <w:bCs/>
                <w:color w:val="000000"/>
                <w:sz w:val="28"/>
                <w:szCs w:val="28"/>
                <w:lang w:eastAsia="de-DE"/>
              </w:rPr>
            </w:pPr>
            <w:r>
              <w:rPr>
                <w:rFonts w:ascii="Calibri" w:eastAsia="Times New Roman" w:hAnsi="Calibri" w:cs="Calibri"/>
                <w:b/>
                <w:bCs/>
                <w:color w:val="000000"/>
                <w:sz w:val="28"/>
                <w:szCs w:val="28"/>
                <w:lang w:eastAsia="de-DE"/>
              </w:rPr>
              <w:t xml:space="preserve">{{ </w:t>
            </w:r>
            <w:proofErr w:type="spellStart"/>
            <w:r>
              <w:rPr>
                <w:rFonts w:ascii="Calibri" w:eastAsia="Times New Roman" w:hAnsi="Calibri" w:cs="Calibri"/>
                <w:b/>
                <w:bCs/>
                <w:color w:val="000000"/>
                <w:sz w:val="28"/>
                <w:szCs w:val="28"/>
                <w:lang w:eastAsia="de-DE"/>
              </w:rPr>
              <w:t>stkmz</w:t>
            </w:r>
            <w:proofErr w:type="spellEnd"/>
            <w:r>
              <w:rPr>
                <w:rFonts w:ascii="Calibri" w:eastAsia="Times New Roman" w:hAnsi="Calibri" w:cs="Calibri"/>
                <w:b/>
                <w:bCs/>
                <w:color w:val="000000"/>
                <w:sz w:val="28"/>
                <w:szCs w:val="28"/>
                <w:lang w:eastAsia="de-DE"/>
              </w:rPr>
              <w:t xml:space="preserve"> }}</w:t>
            </w:r>
          </w:p>
        </w:tc>
      </w:tr>
    </w:tbl>
    <w:p w:rsidR="00C03D1E" w:rsidRPr="00DB26D9" w:rsidRDefault="00C03D1E" w:rsidP="00C03D1E"/>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21"/>
        <w:gridCol w:w="6378"/>
        <w:gridCol w:w="2407"/>
      </w:tblGrid>
      <w:tr w:rsidR="00C03D1E" w:rsidRPr="000C3358" w:rsidTr="002C256C">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lang w:eastAsia="de-DE"/>
              </w:rPr>
            </w:pPr>
            <w:r>
              <w:rPr>
                <w:rFonts w:eastAsia="Times New Roman" w:cs="Arial"/>
                <w:lang w:eastAsia="de-DE"/>
              </w:rPr>
              <w:t xml:space="preserve">{{ </w:t>
            </w:r>
            <w:proofErr w:type="spellStart"/>
            <w:r>
              <w:rPr>
                <w:rFonts w:eastAsia="Times New Roman" w:cs="Arial"/>
                <w:lang w:eastAsia="de-DE"/>
              </w:rPr>
              <w:t>stkmz</w:t>
            </w:r>
            <w:proofErr w:type="spellEnd"/>
            <w:r>
              <w:rPr>
                <w:rFonts w:eastAsia="Times New Roman" w:cs="Arial"/>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lang w:eastAsia="de-DE"/>
              </w:rPr>
            </w:pPr>
            <w:r w:rsidRPr="000C3358">
              <w:rPr>
                <w:rFonts w:eastAsia="Times New Roman" w:cs="Arial"/>
                <w:lang w:eastAsia="de-DE"/>
              </w:rPr>
              <w:t>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ew_3006vj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2C030B">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Pr>
                <w:rFonts w:eastAsia="Times New Roman" w:cs="Arial"/>
                <w:color w:val="000000"/>
                <w:lang w:eastAsia="de-DE"/>
              </w:rPr>
              <w:t>stkmzproEW</w:t>
            </w:r>
            <w:proofErr w:type="spellEnd"/>
            <w:r>
              <w:rPr>
                <w:rFonts w:eastAsia="Times New Roman" w:cs="Arial"/>
                <w:color w:val="000000"/>
                <w:lang w:eastAsia="de-DE"/>
              </w:rPr>
              <w:t xml:space="preserve"> }}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2C256C">
            <w:pPr>
              <w:spacing w:after="0"/>
              <w:jc w:val="right"/>
              <w:rPr>
                <w:rFonts w:eastAsia="Times New Roman" w:cs="Arial"/>
                <w:lang w:eastAsia="de-DE"/>
              </w:rPr>
            </w:pPr>
            <w:r>
              <w:rPr>
                <w:rFonts w:eastAsia="Times New Roman" w:cs="Arial"/>
                <w:lang w:eastAsia="de-DE"/>
              </w:rPr>
              <w:t xml:space="preserve">{{ </w:t>
            </w:r>
            <w:proofErr w:type="spellStart"/>
            <w:r>
              <w:rPr>
                <w:rFonts w:eastAsia="Times New Roman" w:cs="Arial"/>
                <w:lang w:eastAsia="de-DE"/>
              </w:rPr>
              <w:t>stkproew_land</w:t>
            </w:r>
            <w:proofErr w:type="spellEnd"/>
            <w:r>
              <w:rPr>
                <w:rFonts w:eastAsia="Times New Roman" w:cs="Arial"/>
                <w:lang w:eastAsia="de-DE"/>
              </w:rPr>
              <w:t xml:space="preserve"> }}</w:t>
            </w:r>
            <w:r w:rsidR="00C03D1E" w:rsidRPr="000C3358">
              <w:rPr>
                <w:rFonts w:eastAsia="Times New Roman" w:cs="Arial"/>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lang w:eastAsia="de-DE"/>
              </w:rPr>
            </w:pPr>
            <w:r w:rsidRPr="000C3358">
              <w:rPr>
                <w:rFonts w:eastAsia="Times New Roman" w:cs="Arial"/>
                <w:lang w:eastAsia="de-DE"/>
              </w:rPr>
              <w:t>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Pr>
                <w:rFonts w:eastAsia="Times New Roman" w:cs="Arial"/>
                <w:color w:val="000000"/>
                <w:lang w:eastAsia="de-DE"/>
              </w:rPr>
              <w:t>schwellenwertsza</w:t>
            </w:r>
            <w:proofErr w:type="spellEnd"/>
            <w:r>
              <w:rPr>
                <w:rFonts w:eastAsia="Times New Roman" w:cs="Arial"/>
                <w:color w:val="000000"/>
                <w:lang w:eastAsia="de-DE"/>
              </w:rPr>
              <w:t xml:space="preserve"> }}</w:t>
            </w:r>
            <w:r w:rsidR="00C03D1E" w:rsidRPr="000C3358">
              <w:rPr>
                <w:rFonts w:eastAsia="Times New Roman" w:cs="Arial"/>
                <w:color w:val="000000"/>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color w:val="000000"/>
                <w:lang w:eastAsia="de-DE"/>
              </w:rPr>
            </w:pPr>
            <w:r>
              <w:rPr>
                <w:rFonts w:eastAsia="Times New Roman" w:cs="Arial"/>
                <w:color w:val="000000"/>
                <w:lang w:eastAsia="de-DE"/>
              </w:rPr>
              <w:t xml:space="preserve">{{ </w:t>
            </w:r>
            <w:proofErr w:type="spellStart"/>
            <w:r>
              <w:rPr>
                <w:rFonts w:eastAsia="Times New Roman" w:cs="Arial"/>
                <w:color w:val="000000"/>
                <w:lang w:eastAsia="de-DE"/>
              </w:rPr>
              <w:t>diffstkjeEWuSchwW</w:t>
            </w:r>
            <w:proofErr w:type="spellEnd"/>
            <w:r>
              <w:rPr>
                <w:rFonts w:eastAsia="Times New Roman" w:cs="Arial"/>
                <w:color w:val="000000"/>
                <w:lang w:eastAsia="de-DE"/>
              </w:rPr>
              <w:t xml:space="preserve"> }}</w:t>
            </w:r>
            <w:r w:rsidR="00C03D1E" w:rsidRPr="000C3358">
              <w:rPr>
                <w:rFonts w:eastAsia="Times New Roman" w:cs="Arial"/>
                <w:color w:val="000000"/>
                <w:lang w:eastAsia="de-DE"/>
              </w:rPr>
              <w:t xml:space="preserve"> </w:t>
            </w:r>
          </w:p>
        </w:tc>
      </w:tr>
      <w:tr w:rsidR="00C03D1E" w:rsidRPr="000C3358" w:rsidTr="002C256C">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center"/>
              <w:rPr>
                <w:rFonts w:eastAsia="Times New Roman" w:cs="Arial"/>
                <w:color w:val="000000"/>
                <w:lang w:eastAsia="de-DE"/>
              </w:rPr>
            </w:pPr>
            <w:r w:rsidRPr="000C3358">
              <w:rPr>
                <w:rFonts w:eastAsia="Times New Roman" w:cs="Arial"/>
                <w:color w:val="000000"/>
                <w:lang w:eastAsia="de-DE"/>
              </w:rPr>
              <w:t>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2C256C">
            <w:pPr>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color w:val="000000"/>
                <w:lang w:eastAsia="de-DE"/>
              </w:rPr>
            </w:pPr>
            <w:r>
              <w:rPr>
                <w:rFonts w:eastAsia="Times New Roman" w:cs="Arial"/>
                <w:color w:val="000000"/>
                <w:lang w:eastAsia="de-DE"/>
              </w:rPr>
              <w:t>{{ ew_3006vj }}</w:t>
            </w:r>
          </w:p>
        </w:tc>
      </w:tr>
      <w:tr w:rsidR="00C03D1E" w:rsidRPr="000C3358" w:rsidTr="002C256C">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2C256C">
            <w:pPr>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2C256C">
            <w:pPr>
              <w:spacing w:after="0"/>
              <w:jc w:val="left"/>
              <w:rPr>
                <w:rFonts w:eastAsia="Times New Roman" w:cs="Arial"/>
                <w:b/>
                <w:bCs/>
                <w:color w:val="000000"/>
                <w:lang w:eastAsia="de-DE"/>
              </w:rPr>
            </w:pPr>
            <w:r w:rsidRPr="000C3358">
              <w:rPr>
                <w:rFonts w:eastAsia="Times New Roman" w:cs="Arial"/>
                <w:b/>
                <w:bCs/>
                <w:color w:val="000000"/>
                <w:lang w:eastAsia="de-DE"/>
              </w:rPr>
              <w:t>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2C030B" w:rsidP="002C256C">
            <w:pPr>
              <w:spacing w:after="0"/>
              <w:jc w:val="right"/>
              <w:rPr>
                <w:rFonts w:eastAsia="Times New Roman" w:cs="Arial"/>
                <w:b/>
                <w:bCs/>
                <w:u w:val="double"/>
                <w:lang w:eastAsia="de-DE"/>
              </w:rPr>
            </w:pPr>
            <w:r>
              <w:rPr>
                <w:rFonts w:eastAsia="Times New Roman" w:cs="Arial"/>
                <w:b/>
                <w:bCs/>
                <w:u w:val="double"/>
                <w:lang w:eastAsia="de-DE"/>
              </w:rPr>
              <w:t xml:space="preserve">{{ </w:t>
            </w:r>
            <w:proofErr w:type="spellStart"/>
            <w:r>
              <w:rPr>
                <w:rFonts w:eastAsia="Times New Roman" w:cs="Arial"/>
                <w:b/>
                <w:bCs/>
                <w:u w:val="double"/>
                <w:lang w:eastAsia="de-DE"/>
              </w:rPr>
              <w:t>sza</w:t>
            </w:r>
            <w:proofErr w:type="spellEnd"/>
            <w:r>
              <w:rPr>
                <w:rFonts w:eastAsia="Times New Roman" w:cs="Arial"/>
                <w:b/>
                <w:bCs/>
                <w:u w:val="double"/>
                <w:lang w:eastAsia="de-DE"/>
              </w:rPr>
              <w:t xml:space="preserve"> }}</w:t>
            </w:r>
          </w:p>
        </w:tc>
      </w:tr>
    </w:tbl>
    <w:p w:rsidR="00C03D1E" w:rsidRPr="00104855" w:rsidRDefault="00C03D1E" w:rsidP="00C03D1E"/>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C03D1E" w:rsidRDefault="00C03D1E" w:rsidP="00C03D1E"/>
    <w:p w:rsidR="00C03D1E" w:rsidRDefault="00C03D1E" w:rsidP="00C03D1E">
      <w:pPr>
        <w:tabs>
          <w:tab w:val="left" w:pos="709"/>
          <w:tab w:val="decimal" w:pos="7655"/>
        </w:tabs>
      </w:pPr>
      <w:r>
        <w:tab/>
        <w:t>Einwohner Verflechtungsbereich</w:t>
      </w:r>
      <w:r>
        <w:tab/>
        <w:t>5.136</w:t>
      </w:r>
      <w:bookmarkStart w:id="0" w:name="_GoBack"/>
      <w:bookmarkEnd w:id="0"/>
    </w:p>
    <w:p w:rsidR="00C03D1E" w:rsidRDefault="00C03D1E" w:rsidP="00C03D1E">
      <w:pPr>
        <w:tabs>
          <w:tab w:val="left" w:pos="709"/>
          <w:tab w:val="decimal" w:pos="7655"/>
        </w:tabs>
      </w:pPr>
      <w:r>
        <w:t>x</w:t>
      </w:r>
      <w:r>
        <w:tab/>
        <w:t>Ansatzzahl für den Nahbereich</w:t>
      </w:r>
      <w:r>
        <w:tab/>
      </w:r>
      <w:r w:rsidRPr="00ED1A76">
        <w:t>1,797565</w:t>
      </w:r>
      <w:r>
        <w:tab/>
        <w:t>%</w:t>
      </w:r>
    </w:p>
    <w:p w:rsidR="00C03D1E" w:rsidRDefault="00C03D1E" w:rsidP="00C03D1E">
      <w:pPr>
        <w:tabs>
          <w:tab w:val="left" w:pos="709"/>
          <w:tab w:val="decimal" w:pos="7655"/>
        </w:tabs>
      </w:pPr>
      <w:r>
        <w:t>=</w:t>
      </w:r>
      <w:r>
        <w:tab/>
        <w:t>Ansatz (Berechnungsbasis)</w:t>
      </w:r>
      <w:r>
        <w:tab/>
        <w:t>92</w:t>
      </w:r>
    </w:p>
    <w:p w:rsidR="00C03D1E" w:rsidRDefault="00C03D1E" w:rsidP="00C03D1E"/>
    <w:p w:rsidR="00C03D1E" w:rsidRDefault="00C03D1E" w:rsidP="00C03D1E">
      <w:pPr>
        <w:tabs>
          <w:tab w:val="left" w:pos="709"/>
          <w:tab w:val="decimal" w:pos="7655"/>
        </w:tabs>
      </w:pPr>
      <w:r>
        <w:tab/>
        <w:t>Ansatz</w:t>
      </w:r>
      <w:r>
        <w:tab/>
        <w:t>92</w:t>
      </w:r>
    </w:p>
    <w:p w:rsidR="00C03D1E" w:rsidRDefault="00C03D1E" w:rsidP="00C03D1E">
      <w:pPr>
        <w:tabs>
          <w:tab w:val="left" w:pos="709"/>
          <w:tab w:val="decimal" w:pos="7655"/>
        </w:tabs>
      </w:pPr>
      <w:r>
        <w:t>x</w:t>
      </w:r>
      <w:r>
        <w:tab/>
        <w:t xml:space="preserve">Grundbetrag für Ortsgemeinden </w:t>
      </w:r>
      <w:r>
        <w:tab/>
        <w:t>2.072,00 €</w:t>
      </w:r>
    </w:p>
    <w:p w:rsidR="00C03D1E" w:rsidRDefault="00C03D1E" w:rsidP="00C03D1E">
      <w:pPr>
        <w:tabs>
          <w:tab w:val="left" w:pos="709"/>
          <w:tab w:val="decimal" w:pos="7655"/>
        </w:tabs>
      </w:pPr>
      <w:r>
        <w:t>=</w:t>
      </w:r>
      <w:r>
        <w:tab/>
        <w:t xml:space="preserve">Ausgleichsbetrag </w:t>
      </w:r>
      <w:r>
        <w:tab/>
      </w:r>
      <w:r w:rsidRPr="00F94044">
        <w:t>190.624,00 €</w:t>
      </w:r>
    </w:p>
    <w:p w:rsidR="00C03D1E" w:rsidRDefault="00C03D1E" w:rsidP="00C03D1E">
      <w:pPr>
        <w:tabs>
          <w:tab w:val="left" w:pos="709"/>
          <w:tab w:val="decimal" w:pos="7655"/>
        </w:tabs>
      </w:pPr>
    </w:p>
    <w:p w:rsidR="00C03D1E" w:rsidRDefault="00C03D1E" w:rsidP="00C03D1E">
      <w:pPr>
        <w:tabs>
          <w:tab w:val="left" w:pos="709"/>
          <w:tab w:val="decimal" w:pos="7655"/>
        </w:tabs>
      </w:pPr>
      <w:r>
        <w:tab/>
        <w:t>Betrag zentrale Orte</w:t>
      </w:r>
      <w:r>
        <w:tab/>
        <w:t>190.624,00 €</w:t>
      </w:r>
    </w:p>
    <w:p w:rsidR="00C03D1E" w:rsidRDefault="00C03D1E" w:rsidP="00C03D1E">
      <w:pPr>
        <w:tabs>
          <w:tab w:val="left" w:pos="709"/>
          <w:tab w:val="decimal" w:pos="7655"/>
        </w:tabs>
      </w:pPr>
      <w:r>
        <w:t>+</w:t>
      </w:r>
      <w:r>
        <w:tab/>
        <w:t>Ausgleichsmesszahl</w:t>
      </w:r>
      <w:r>
        <w:tab/>
      </w:r>
      <w:r w:rsidRPr="00F94044">
        <w:t>1</w:t>
      </w:r>
      <w:r>
        <w:t>.</w:t>
      </w:r>
      <w:r w:rsidRPr="00F94044">
        <w:t>542</w:t>
      </w:r>
      <w:r>
        <w:t>.</w:t>
      </w:r>
      <w:r w:rsidRPr="00F94044">
        <w:t>514</w:t>
      </w:r>
      <w:r>
        <w:t>,00 €</w:t>
      </w:r>
    </w:p>
    <w:p w:rsidR="00C03D1E" w:rsidRDefault="00C03D1E" w:rsidP="00C03D1E">
      <w:pPr>
        <w:tabs>
          <w:tab w:val="left" w:pos="709"/>
          <w:tab w:val="decimal" w:pos="7655"/>
        </w:tabs>
      </w:pPr>
      <w:r>
        <w:t>./.</w:t>
      </w:r>
      <w:r>
        <w:tab/>
        <w:t>Finanzkraftmesszahl</w:t>
      </w:r>
      <w:r>
        <w:tab/>
      </w:r>
      <w:r w:rsidRPr="00F52AD1">
        <w:t>1</w:t>
      </w:r>
      <w:r>
        <w:t>.</w:t>
      </w:r>
      <w:r w:rsidRPr="00F52AD1">
        <w:t>357</w:t>
      </w:r>
      <w:r>
        <w:t>.</w:t>
      </w:r>
      <w:r w:rsidRPr="00F52AD1">
        <w:t>887</w:t>
      </w:r>
      <w:r>
        <w:t>,00 €</w:t>
      </w:r>
    </w:p>
    <w:p w:rsidR="00C03D1E" w:rsidRDefault="00C03D1E" w:rsidP="00C03D1E">
      <w:pPr>
        <w:tabs>
          <w:tab w:val="left" w:pos="709"/>
          <w:tab w:val="decimal" w:pos="7655"/>
        </w:tabs>
      </w:pPr>
      <w:r>
        <w:t>=</w:t>
      </w:r>
      <w:r>
        <w:tab/>
        <w:t>Differenz</w:t>
      </w:r>
      <w:r>
        <w:tab/>
      </w:r>
      <w:r w:rsidRPr="00F52AD1">
        <w:t>184</w:t>
      </w:r>
      <w:r>
        <w:t>.</w:t>
      </w:r>
      <w:r w:rsidRPr="00F52AD1">
        <w:t>627</w:t>
      </w:r>
      <w:r>
        <w:t>,00 €</w:t>
      </w:r>
    </w:p>
    <w:p w:rsidR="00C03D1E" w:rsidRDefault="00C03D1E" w:rsidP="00C03D1E">
      <w:pPr>
        <w:tabs>
          <w:tab w:val="left" w:pos="709"/>
          <w:tab w:val="decimal" w:pos="7655"/>
        </w:tabs>
      </w:pPr>
      <w:r>
        <w:t>x</w:t>
      </w:r>
      <w:r>
        <w:tab/>
        <w:t>90 %</w:t>
      </w:r>
      <w:r>
        <w:tab/>
      </w:r>
      <w:r w:rsidRPr="00F52AD1">
        <w:t>166</w:t>
      </w:r>
      <w:r>
        <w:t>.</w:t>
      </w:r>
      <w:r w:rsidRPr="00F52AD1">
        <w:t>164,3</w:t>
      </w:r>
      <w:r>
        <w:t>0 €</w:t>
      </w:r>
    </w:p>
    <w:p w:rsidR="00C03D1E" w:rsidRDefault="00C03D1E" w:rsidP="00C03D1E">
      <w:pPr>
        <w:tabs>
          <w:tab w:val="left" w:pos="709"/>
          <w:tab w:val="decimal" w:pos="7655"/>
        </w:tabs>
      </w:pPr>
      <w:r>
        <w:t>./.</w:t>
      </w:r>
      <w:r>
        <w:tab/>
        <w:t>Anrechnung der Schlüsselzuweisung B</w:t>
      </w:r>
      <w:r>
        <w:tab/>
        <w:t>0,00 €</w:t>
      </w:r>
    </w:p>
    <w:p w:rsidR="00C03D1E" w:rsidRDefault="00C03D1E" w:rsidP="00C03D1E">
      <w:pPr>
        <w:tabs>
          <w:tab w:val="left" w:pos="709"/>
          <w:tab w:val="decimal" w:pos="7655"/>
        </w:tabs>
      </w:pPr>
      <w:r>
        <w:t>=</w:t>
      </w:r>
      <w:r>
        <w:tab/>
        <w:t>Zuweisung</w:t>
      </w:r>
      <w:r>
        <w:tab/>
        <w:t>166.164,30 €</w:t>
      </w:r>
    </w:p>
    <w:p w:rsidR="00C03D1E" w:rsidRDefault="00C03D1E" w:rsidP="00C03D1E">
      <w:pPr>
        <w:tabs>
          <w:tab w:val="left" w:pos="709"/>
          <w:tab w:val="decimal" w:pos="7655"/>
        </w:tabs>
      </w:pPr>
    </w:p>
    <w:p w:rsidR="00C03D1E" w:rsidRDefault="00C03D1E" w:rsidP="00C03D1E">
      <w:r>
        <w:t xml:space="preserve">Hierfür wird die Zahl der Bewohner des Verflechtungsraums (5.136) mit </w:t>
      </w:r>
      <w:r w:rsidRPr="000C3358">
        <w:t>1,797565</w:t>
      </w:r>
      <w:r>
        <w:t xml:space="preserve"> % multipliziert. Hieraus ergibt sich ein Ansatz von 92. Dieser Ansatz wird mit einem </w:t>
      </w:r>
      <w:r>
        <w:lastRenderedPageBreak/>
        <w:t>Grundbetrag bewertet, und der Ausgleichsmesszahl zugeschlagen. Der Differenzbetrag der erhöhten Ausgleichsmesszahl zur Finanzkraftmesszahl wird zu 90 % der Ortsgemeinde zugewiesen. Allerdings wird hierauf die erhaltene Schlüsselzuweisung B angerechnet.</w:t>
      </w:r>
    </w:p>
    <w:p w:rsidR="00C03D1E" w:rsidRDefault="00C03D1E" w:rsidP="00C03D1E">
      <w:pPr>
        <w:pStyle w:val="berschrift3"/>
      </w:pPr>
      <w:r>
        <w:t>4.2.2 sonstige Zuweisungen</w:t>
      </w:r>
    </w:p>
    <w:p w:rsidR="00C03D1E" w:rsidRDefault="00C03D1E" w:rsidP="00C03D1E"/>
    <w:tbl>
      <w:tblPr>
        <w:tblW w:w="9205"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696"/>
        <w:gridCol w:w="5163"/>
        <w:gridCol w:w="1173"/>
        <w:gridCol w:w="1173"/>
      </w:tblGrid>
      <w:tr w:rsidR="00C03D1E" w:rsidRPr="0020380E" w:rsidTr="002C256C">
        <w:trPr>
          <w:trHeight w:val="300"/>
        </w:trPr>
        <w:tc>
          <w:tcPr>
            <w:tcW w:w="1696" w:type="dxa"/>
            <w:tcBorders>
              <w:top w:val="single" w:sz="4" w:space="0" w:color="auto"/>
              <w:bottom w:val="single" w:sz="4" w:space="0" w:color="auto"/>
            </w:tcBorders>
            <w:shd w:val="clear" w:color="auto" w:fill="auto"/>
            <w:noWrap/>
            <w:vAlign w:val="center"/>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Planungsstelle</w:t>
            </w:r>
          </w:p>
        </w:tc>
        <w:tc>
          <w:tcPr>
            <w:tcW w:w="5163" w:type="dxa"/>
            <w:tcBorders>
              <w:top w:val="single" w:sz="4" w:space="0" w:color="auto"/>
              <w:bottom w:val="single" w:sz="4" w:space="0" w:color="auto"/>
            </w:tcBorders>
            <w:shd w:val="clear" w:color="auto" w:fill="auto"/>
            <w:noWrap/>
            <w:vAlign w:val="center"/>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Bezeichnung</w:t>
            </w:r>
          </w:p>
        </w:tc>
        <w:tc>
          <w:tcPr>
            <w:tcW w:w="1173" w:type="dxa"/>
            <w:tcBorders>
              <w:top w:val="single" w:sz="4" w:space="0" w:color="auto"/>
              <w:bottom w:val="single" w:sz="4" w:space="0" w:color="auto"/>
            </w:tcBorders>
            <w:shd w:val="clear" w:color="auto" w:fill="auto"/>
            <w:noWrap/>
            <w:vAlign w:val="center"/>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Ansatz aktuell</w:t>
            </w:r>
          </w:p>
        </w:tc>
        <w:tc>
          <w:tcPr>
            <w:tcW w:w="1173" w:type="dxa"/>
            <w:tcBorders>
              <w:top w:val="single" w:sz="4" w:space="0" w:color="auto"/>
              <w:bottom w:val="single" w:sz="4" w:space="0" w:color="auto"/>
            </w:tcBorders>
            <w:shd w:val="clear" w:color="auto" w:fill="auto"/>
            <w:noWrap/>
            <w:vAlign w:val="center"/>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Ansatz Vorjahr</w:t>
            </w:r>
          </w:p>
        </w:tc>
      </w:tr>
      <w:tr w:rsidR="00C03D1E" w:rsidRPr="0020380E" w:rsidTr="002C256C">
        <w:trPr>
          <w:trHeight w:val="300"/>
        </w:trPr>
        <w:tc>
          <w:tcPr>
            <w:tcW w:w="1696" w:type="dxa"/>
            <w:tcBorders>
              <w:top w:val="single" w:sz="4" w:space="0" w:color="auto"/>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1.1.4.3.414490</w:t>
            </w:r>
          </w:p>
        </w:tc>
        <w:tc>
          <w:tcPr>
            <w:tcW w:w="5163" w:type="dxa"/>
            <w:tcBorders>
              <w:top w:val="single" w:sz="4" w:space="0" w:color="auto"/>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Zuweisungen vom sonstigen öffentlichen Bereich - </w:t>
            </w:r>
            <w:r w:rsidRPr="004A416B">
              <w:rPr>
                <w:rFonts w:eastAsia="Times New Roman" w:cs="Arial"/>
                <w:color w:val="000000"/>
                <w:lang w:eastAsia="de-DE"/>
              </w:rPr>
              <w:br/>
              <w:t>Die Eingliederungsförderung für einen Bauhofmitarbeiter läuft aus</w:t>
            </w:r>
          </w:p>
        </w:tc>
        <w:tc>
          <w:tcPr>
            <w:tcW w:w="1173" w:type="dxa"/>
            <w:tcBorders>
              <w:top w:val="single" w:sz="4" w:space="0" w:color="auto"/>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0</w:t>
            </w:r>
          </w:p>
        </w:tc>
        <w:tc>
          <w:tcPr>
            <w:tcW w:w="1173" w:type="dxa"/>
            <w:tcBorders>
              <w:top w:val="single" w:sz="4" w:space="0" w:color="auto"/>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22.000</w:t>
            </w:r>
          </w:p>
        </w:tc>
      </w:tr>
      <w:tr w:rsidR="00C03D1E" w:rsidRPr="0020380E" w:rsidTr="002C256C">
        <w:trPr>
          <w:trHeight w:val="300"/>
        </w:trPr>
        <w:tc>
          <w:tcPr>
            <w:tcW w:w="1696"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3.6.5.1.414410</w:t>
            </w:r>
          </w:p>
        </w:tc>
        <w:tc>
          <w:tcPr>
            <w:tcW w:w="516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Zuweisungen vom Bund – </w:t>
            </w:r>
          </w:p>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Das Förderprogramm </w:t>
            </w:r>
            <w:proofErr w:type="spellStart"/>
            <w:r w:rsidRPr="004A416B">
              <w:rPr>
                <w:rFonts w:eastAsia="Times New Roman" w:cs="Arial"/>
                <w:color w:val="000000"/>
                <w:lang w:eastAsia="de-DE"/>
              </w:rPr>
              <w:t>Sprachkitas</w:t>
            </w:r>
            <w:proofErr w:type="spellEnd"/>
            <w:r w:rsidRPr="004A416B">
              <w:rPr>
                <w:rFonts w:eastAsia="Times New Roman" w:cs="Arial"/>
                <w:color w:val="000000"/>
                <w:lang w:eastAsia="de-DE"/>
              </w:rPr>
              <w:t xml:space="preserve"> wird nicht mehr in dem Umfang gefördert wie in Vorjahren</w:t>
            </w:r>
          </w:p>
        </w:tc>
        <w:tc>
          <w:tcPr>
            <w:tcW w:w="117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17.000</w:t>
            </w:r>
          </w:p>
        </w:tc>
        <w:tc>
          <w:tcPr>
            <w:tcW w:w="117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29.000</w:t>
            </w:r>
          </w:p>
        </w:tc>
      </w:tr>
      <w:tr w:rsidR="00C03D1E" w:rsidRPr="0020380E" w:rsidTr="002C256C">
        <w:trPr>
          <w:trHeight w:val="300"/>
        </w:trPr>
        <w:tc>
          <w:tcPr>
            <w:tcW w:w="1696"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3.6.5.1.414430</w:t>
            </w:r>
          </w:p>
        </w:tc>
        <w:tc>
          <w:tcPr>
            <w:tcW w:w="516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Zuweisungen von Gemeinden und Gemeindeverbänden – </w:t>
            </w:r>
          </w:p>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durch erhöhte Aufwendungen wird mit erhöhten Zuweisungen gerechnet</w:t>
            </w:r>
          </w:p>
        </w:tc>
        <w:tc>
          <w:tcPr>
            <w:tcW w:w="117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1.001.000</w:t>
            </w:r>
          </w:p>
        </w:tc>
        <w:tc>
          <w:tcPr>
            <w:tcW w:w="1173" w:type="dxa"/>
            <w:tcBorders>
              <w:top w:val="single" w:sz="4" w:space="0" w:color="D9D9D9" w:themeColor="background1" w:themeShade="D9"/>
              <w:bottom w:val="single" w:sz="4" w:space="0" w:color="D9D9D9" w:themeColor="background1" w:themeShade="D9"/>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880.000</w:t>
            </w:r>
          </w:p>
        </w:tc>
      </w:tr>
      <w:tr w:rsidR="00C03D1E" w:rsidRPr="0020380E" w:rsidTr="002C256C">
        <w:trPr>
          <w:trHeight w:val="300"/>
        </w:trPr>
        <w:tc>
          <w:tcPr>
            <w:tcW w:w="1696" w:type="dxa"/>
            <w:tcBorders>
              <w:top w:val="single" w:sz="4" w:space="0" w:color="D9D9D9" w:themeColor="background1" w:themeShade="D9"/>
              <w:bottom w:val="single" w:sz="4" w:space="0" w:color="auto"/>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5.4.1.0.415100</w:t>
            </w:r>
          </w:p>
        </w:tc>
        <w:tc>
          <w:tcPr>
            <w:tcW w:w="5163" w:type="dxa"/>
            <w:tcBorders>
              <w:top w:val="single" w:sz="4" w:space="0" w:color="D9D9D9" w:themeColor="background1" w:themeShade="D9"/>
              <w:bottom w:val="single" w:sz="4" w:space="0" w:color="auto"/>
            </w:tcBorders>
            <w:shd w:val="clear" w:color="auto" w:fill="auto"/>
            <w:noWrap/>
            <w:hideMark/>
          </w:tcPr>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 xml:space="preserve">Sonderposten aus Zuwendungen – </w:t>
            </w:r>
          </w:p>
          <w:p w:rsidR="00C03D1E" w:rsidRPr="004A416B" w:rsidRDefault="00C03D1E" w:rsidP="002C256C">
            <w:pPr>
              <w:spacing w:after="0"/>
              <w:jc w:val="left"/>
              <w:rPr>
                <w:rFonts w:eastAsia="Times New Roman" w:cs="Arial"/>
                <w:color w:val="000000"/>
                <w:lang w:eastAsia="de-DE"/>
              </w:rPr>
            </w:pPr>
            <w:r w:rsidRPr="004A416B">
              <w:rPr>
                <w:rFonts w:eastAsia="Times New Roman" w:cs="Arial"/>
                <w:color w:val="000000"/>
                <w:lang w:eastAsia="de-DE"/>
              </w:rPr>
              <w:t>Eine Sonderauflösung fand im Vorjahr statt</w:t>
            </w:r>
          </w:p>
        </w:tc>
        <w:tc>
          <w:tcPr>
            <w:tcW w:w="1173" w:type="dxa"/>
            <w:tcBorders>
              <w:top w:val="single" w:sz="4" w:space="0" w:color="D9D9D9" w:themeColor="background1" w:themeShade="D9"/>
              <w:bottom w:val="single" w:sz="4" w:space="0" w:color="auto"/>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80.548</w:t>
            </w:r>
          </w:p>
        </w:tc>
        <w:tc>
          <w:tcPr>
            <w:tcW w:w="1173" w:type="dxa"/>
            <w:tcBorders>
              <w:top w:val="single" w:sz="4" w:space="0" w:color="D9D9D9" w:themeColor="background1" w:themeShade="D9"/>
              <w:bottom w:val="single" w:sz="4" w:space="0" w:color="auto"/>
            </w:tcBorders>
            <w:shd w:val="clear" w:color="auto" w:fill="auto"/>
            <w:noWrap/>
            <w:hideMark/>
          </w:tcPr>
          <w:p w:rsidR="00C03D1E" w:rsidRPr="004A416B" w:rsidRDefault="00C03D1E" w:rsidP="002C256C">
            <w:pPr>
              <w:spacing w:after="0"/>
              <w:jc w:val="right"/>
              <w:rPr>
                <w:rFonts w:eastAsia="Times New Roman" w:cs="Arial"/>
                <w:color w:val="000000"/>
                <w:lang w:eastAsia="de-DE"/>
              </w:rPr>
            </w:pPr>
            <w:r w:rsidRPr="004A416B">
              <w:rPr>
                <w:rFonts w:eastAsia="Times New Roman" w:cs="Arial"/>
                <w:color w:val="000000"/>
                <w:lang w:eastAsia="de-DE"/>
              </w:rPr>
              <w:t>424.200</w:t>
            </w:r>
          </w:p>
        </w:tc>
      </w:tr>
    </w:tbl>
    <w:p w:rsidR="00C03D1E" w:rsidRDefault="00C03D1E" w:rsidP="00C03D1E">
      <w:pPr>
        <w:spacing w:after="160" w:line="259" w:lineRule="auto"/>
        <w:jc w:val="left"/>
      </w:pPr>
    </w:p>
    <w:p w:rsidR="00C03D1E" w:rsidRDefault="00C03D1E" w:rsidP="00C03D1E">
      <w:pPr>
        <w:pStyle w:val="berschrift3"/>
      </w:pPr>
      <w:r>
        <w:t>4.2.3 privatrechtliche Erträge</w:t>
      </w:r>
    </w:p>
    <w:p w:rsidR="00C03D1E" w:rsidRDefault="00C03D1E" w:rsidP="00C03D1E"/>
    <w:tbl>
      <w:tblPr>
        <w:tblW w:w="9298" w:type="dxa"/>
        <w:tblInd w:w="-5" w:type="dxa"/>
        <w:tblCellMar>
          <w:left w:w="70" w:type="dxa"/>
          <w:right w:w="70" w:type="dxa"/>
        </w:tblCellMar>
        <w:tblLook w:val="04A0" w:firstRow="1" w:lastRow="0" w:firstColumn="1" w:lastColumn="0" w:noHBand="0" w:noVBand="1"/>
      </w:tblPr>
      <w:tblGrid>
        <w:gridCol w:w="1478"/>
        <w:gridCol w:w="5420"/>
        <w:gridCol w:w="1200"/>
        <w:gridCol w:w="1200"/>
      </w:tblGrid>
      <w:tr w:rsidR="00C03D1E" w:rsidRPr="0020380E" w:rsidTr="002C256C">
        <w:trPr>
          <w:trHeight w:val="300"/>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Planungsstelle</w:t>
            </w:r>
          </w:p>
        </w:tc>
        <w:tc>
          <w:tcPr>
            <w:tcW w:w="542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Bezeichnung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Ansatz aktuell</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w:t>
            </w:r>
            <w:r w:rsidRPr="0020380E">
              <w:rPr>
                <w:rFonts w:ascii="Calibri" w:eastAsia="Times New Roman" w:hAnsi="Calibri" w:cs="Calibri"/>
                <w:color w:val="000000"/>
                <w:lang w:eastAsia="de-DE"/>
              </w:rPr>
              <w:t xml:space="preserve">nsatz </w:t>
            </w:r>
            <w:r>
              <w:rPr>
                <w:rFonts w:ascii="Calibri" w:eastAsia="Times New Roman" w:hAnsi="Calibri" w:cs="Calibri"/>
                <w:color w:val="000000"/>
                <w:lang w:eastAsia="de-DE"/>
              </w:rPr>
              <w:t>V</w:t>
            </w:r>
            <w:r w:rsidRPr="0020380E">
              <w:rPr>
                <w:rFonts w:ascii="Calibri" w:eastAsia="Times New Roman" w:hAnsi="Calibri" w:cs="Calibri"/>
                <w:color w:val="000000"/>
                <w:lang w:eastAsia="de-DE"/>
              </w:rPr>
              <w:t>orjahr</w:t>
            </w:r>
          </w:p>
        </w:tc>
      </w:tr>
      <w:tr w:rsidR="00C03D1E" w:rsidRPr="0020380E" w:rsidTr="002C256C">
        <w:trPr>
          <w:trHeight w:val="300"/>
        </w:trPr>
        <w:tc>
          <w:tcPr>
            <w:tcW w:w="1478" w:type="dxa"/>
            <w:tcBorders>
              <w:top w:val="single" w:sz="4" w:space="0" w:color="auto"/>
              <w:left w:val="single" w:sz="4" w:space="0" w:color="auto"/>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3.6.5.1.441400</w:t>
            </w:r>
          </w:p>
        </w:tc>
        <w:tc>
          <w:tcPr>
            <w:tcW w:w="5420" w:type="dxa"/>
            <w:tcBorders>
              <w:top w:val="single" w:sz="4" w:space="0" w:color="auto"/>
              <w:left w:val="nil"/>
              <w:bottom w:val="single" w:sz="4" w:space="0" w:color="BFBFBF" w:themeColor="background1" w:themeShade="BF"/>
              <w:right w:val="single" w:sz="4" w:space="0" w:color="auto"/>
            </w:tcBorders>
            <w:shd w:val="clear" w:color="auto" w:fill="auto"/>
            <w:noWrap/>
            <w:vAlign w:val="bottom"/>
            <w:hideMark/>
          </w:tcPr>
          <w:p w:rsidR="00C03D1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Privatrechtliche Leistungsentgelte: Beteiligung Essenskosten</w:t>
            </w:r>
          </w:p>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Anpassung an die Umsätze 2022</w:t>
            </w:r>
          </w:p>
        </w:tc>
        <w:tc>
          <w:tcPr>
            <w:tcW w:w="1200" w:type="dxa"/>
            <w:tcBorders>
              <w:top w:val="single" w:sz="4" w:space="0" w:color="auto"/>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23.000</w:t>
            </w:r>
          </w:p>
        </w:tc>
        <w:tc>
          <w:tcPr>
            <w:tcW w:w="1200" w:type="dxa"/>
            <w:tcBorders>
              <w:top w:val="single" w:sz="4" w:space="0" w:color="auto"/>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11.000</w:t>
            </w:r>
          </w:p>
        </w:tc>
      </w:tr>
      <w:tr w:rsidR="00C03D1E" w:rsidRPr="0020380E" w:rsidTr="002C256C">
        <w:trPr>
          <w:trHeight w:val="300"/>
        </w:trPr>
        <w:tc>
          <w:tcPr>
            <w:tcW w:w="1478" w:type="dxa"/>
            <w:tcBorders>
              <w:top w:val="single" w:sz="4" w:space="0" w:color="BFBFBF" w:themeColor="background1" w:themeShade="BF"/>
              <w:left w:val="single" w:sz="4" w:space="0" w:color="auto"/>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3.6.5.1.442430</w:t>
            </w:r>
          </w:p>
        </w:tc>
        <w:tc>
          <w:tcPr>
            <w:tcW w:w="5420" w:type="dxa"/>
            <w:tcBorders>
              <w:top w:val="single" w:sz="4" w:space="0" w:color="BFBFBF" w:themeColor="background1" w:themeShade="BF"/>
              <w:left w:val="nil"/>
              <w:bottom w:val="single" w:sz="4" w:space="0" w:color="BFBFBF" w:themeColor="background1" w:themeShade="BF"/>
              <w:right w:val="single" w:sz="4" w:space="0" w:color="auto"/>
            </w:tcBorders>
            <w:shd w:val="clear" w:color="auto" w:fill="auto"/>
            <w:noWrap/>
            <w:vAlign w:val="bottom"/>
            <w:hideMark/>
          </w:tcPr>
          <w:p w:rsidR="00C03D1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Kostenerstattungen vom öffentlichen Bereich von Gemeinden</w:t>
            </w:r>
            <w:r>
              <w:rPr>
                <w:rFonts w:ascii="Calibri" w:eastAsia="Times New Roman" w:hAnsi="Calibri" w:cs="Calibri"/>
                <w:color w:val="000000"/>
                <w:lang w:eastAsia="de-DE"/>
              </w:rPr>
              <w:t xml:space="preserve"> </w:t>
            </w:r>
            <w:r w:rsidRPr="0020380E">
              <w:rPr>
                <w:rFonts w:ascii="Calibri" w:eastAsia="Times New Roman" w:hAnsi="Calibri" w:cs="Calibri"/>
                <w:color w:val="000000"/>
                <w:lang w:eastAsia="de-DE"/>
              </w:rPr>
              <w:t>&amp;</w:t>
            </w:r>
            <w:r>
              <w:rPr>
                <w:rFonts w:ascii="Calibri" w:eastAsia="Times New Roman" w:hAnsi="Calibri" w:cs="Calibri"/>
                <w:color w:val="000000"/>
                <w:lang w:eastAsia="de-DE"/>
              </w:rPr>
              <w:t xml:space="preserve"> </w:t>
            </w:r>
            <w:r w:rsidRPr="0020380E">
              <w:rPr>
                <w:rFonts w:ascii="Calibri" w:eastAsia="Times New Roman" w:hAnsi="Calibri" w:cs="Calibri"/>
                <w:color w:val="000000"/>
                <w:lang w:eastAsia="de-DE"/>
              </w:rPr>
              <w:t>Gemeindeverbänden</w:t>
            </w:r>
          </w:p>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Im vergangenen Jahr fand eine mehrjährige Abrechnung statt. Der Ansatz 2023 ist für ein Jahr kalkuliert</w:t>
            </w:r>
          </w:p>
        </w:tc>
        <w:tc>
          <w:tcPr>
            <w:tcW w:w="1200" w:type="dxa"/>
            <w:tcBorders>
              <w:top w:val="single" w:sz="4" w:space="0" w:color="BFBFBF" w:themeColor="background1" w:themeShade="BF"/>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35.000</w:t>
            </w:r>
          </w:p>
        </w:tc>
        <w:tc>
          <w:tcPr>
            <w:tcW w:w="1200" w:type="dxa"/>
            <w:tcBorders>
              <w:top w:val="single" w:sz="4" w:space="0" w:color="BFBFBF" w:themeColor="background1" w:themeShade="BF"/>
              <w:left w:val="nil"/>
              <w:bottom w:val="single" w:sz="4" w:space="0" w:color="BFBFBF" w:themeColor="background1" w:themeShade="BF"/>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179.000</w:t>
            </w:r>
          </w:p>
        </w:tc>
      </w:tr>
      <w:tr w:rsidR="00C03D1E" w:rsidRPr="0020380E" w:rsidTr="002C256C">
        <w:trPr>
          <w:trHeight w:val="300"/>
        </w:trPr>
        <w:tc>
          <w:tcPr>
            <w:tcW w:w="1478" w:type="dxa"/>
            <w:tcBorders>
              <w:top w:val="single" w:sz="4" w:space="0" w:color="BFBFBF" w:themeColor="background1" w:themeShade="BF"/>
              <w:left w:val="single" w:sz="4" w:space="0" w:color="auto"/>
              <w:bottom w:val="single" w:sz="4" w:space="0" w:color="auto"/>
              <w:right w:val="single" w:sz="4" w:space="0" w:color="auto"/>
            </w:tcBorders>
            <w:shd w:val="clear" w:color="auto" w:fill="auto"/>
            <w:noWrap/>
            <w:vAlign w:val="bottom"/>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3.6.5.1.442490</w:t>
            </w:r>
          </w:p>
        </w:tc>
        <w:tc>
          <w:tcPr>
            <w:tcW w:w="5420" w:type="dxa"/>
            <w:tcBorders>
              <w:top w:val="single" w:sz="4" w:space="0" w:color="BFBFBF" w:themeColor="background1" w:themeShade="BF"/>
              <w:left w:val="nil"/>
              <w:bottom w:val="single" w:sz="4" w:space="0" w:color="auto"/>
              <w:right w:val="single" w:sz="4" w:space="0" w:color="auto"/>
            </w:tcBorders>
            <w:shd w:val="clear" w:color="auto" w:fill="auto"/>
            <w:noWrap/>
            <w:vAlign w:val="bottom"/>
            <w:hideMark/>
          </w:tcPr>
          <w:p w:rsidR="00C03D1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Kostenerstattungen vom sonstigen öffentlichen Bereich</w:t>
            </w:r>
          </w:p>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Anpassung an langjährige Durchschnittswerte</w:t>
            </w:r>
          </w:p>
        </w:tc>
        <w:tc>
          <w:tcPr>
            <w:tcW w:w="1200" w:type="dxa"/>
            <w:tcBorders>
              <w:top w:val="single" w:sz="4" w:space="0" w:color="BFBFBF" w:themeColor="background1" w:themeShade="BF"/>
              <w:left w:val="nil"/>
              <w:bottom w:val="single" w:sz="4" w:space="0" w:color="auto"/>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10.000</w:t>
            </w:r>
          </w:p>
        </w:tc>
        <w:tc>
          <w:tcPr>
            <w:tcW w:w="1200" w:type="dxa"/>
            <w:tcBorders>
              <w:top w:val="single" w:sz="4" w:space="0" w:color="BFBFBF" w:themeColor="background1" w:themeShade="BF"/>
              <w:left w:val="nil"/>
              <w:bottom w:val="single" w:sz="4" w:space="0" w:color="auto"/>
              <w:right w:val="single" w:sz="4" w:space="0" w:color="auto"/>
            </w:tcBorders>
            <w:shd w:val="clear" w:color="auto" w:fill="auto"/>
            <w:noWrap/>
            <w:vAlign w:val="bottom"/>
            <w:hideMark/>
          </w:tcPr>
          <w:p w:rsidR="00C03D1E" w:rsidRPr="0020380E" w:rsidRDefault="00C03D1E" w:rsidP="002C256C">
            <w:pPr>
              <w:spacing w:after="0"/>
              <w:jc w:val="right"/>
              <w:rPr>
                <w:rFonts w:ascii="Calibri" w:eastAsia="Times New Roman" w:hAnsi="Calibri" w:cs="Calibri"/>
                <w:color w:val="000000"/>
                <w:lang w:eastAsia="de-DE"/>
              </w:rPr>
            </w:pPr>
            <w:r w:rsidRPr="0020380E">
              <w:rPr>
                <w:rFonts w:ascii="Calibri" w:eastAsia="Times New Roman" w:hAnsi="Calibri" w:cs="Calibri"/>
                <w:color w:val="000000"/>
                <w:lang w:eastAsia="de-DE"/>
              </w:rPr>
              <w:t>0</w:t>
            </w:r>
          </w:p>
        </w:tc>
      </w:tr>
    </w:tbl>
    <w:p w:rsidR="00C03D1E" w:rsidRDefault="00C03D1E" w:rsidP="00C03D1E"/>
    <w:p w:rsidR="00C03D1E" w:rsidRDefault="00C03D1E" w:rsidP="00C03D1E">
      <w:pPr>
        <w:pStyle w:val="berschrift3"/>
      </w:pPr>
      <w:r>
        <w:t>4.2.4 sonstige laufende Erträge</w:t>
      </w:r>
    </w:p>
    <w:p w:rsidR="00C03D1E" w:rsidRDefault="00C03D1E" w:rsidP="00C03D1E"/>
    <w:tbl>
      <w:tblPr>
        <w:tblW w:w="9298" w:type="dxa"/>
        <w:tblInd w:w="-5" w:type="dxa"/>
        <w:tblCellMar>
          <w:left w:w="70" w:type="dxa"/>
          <w:right w:w="70" w:type="dxa"/>
        </w:tblCellMar>
        <w:tblLook w:val="04A0" w:firstRow="1" w:lastRow="0" w:firstColumn="1" w:lastColumn="0" w:noHBand="0" w:noVBand="1"/>
      </w:tblPr>
      <w:tblGrid>
        <w:gridCol w:w="1478"/>
        <w:gridCol w:w="5420"/>
        <w:gridCol w:w="1200"/>
        <w:gridCol w:w="1200"/>
      </w:tblGrid>
      <w:tr w:rsidR="00C03D1E" w:rsidRPr="0020380E" w:rsidTr="002C256C">
        <w:trPr>
          <w:trHeight w:val="300"/>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Planungsstelle</w:t>
            </w:r>
          </w:p>
        </w:tc>
        <w:tc>
          <w:tcPr>
            <w:tcW w:w="542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Bezeichnung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sidRPr="0020380E">
              <w:rPr>
                <w:rFonts w:ascii="Calibri" w:eastAsia="Times New Roman" w:hAnsi="Calibri" w:cs="Calibri"/>
                <w:color w:val="000000"/>
                <w:lang w:eastAsia="de-DE"/>
              </w:rPr>
              <w:t>Ansatz aktuell</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C03D1E" w:rsidRPr="0020380E" w:rsidRDefault="00C03D1E" w:rsidP="002C256C">
            <w:pPr>
              <w:spacing w:after="0"/>
              <w:jc w:val="left"/>
              <w:rPr>
                <w:rFonts w:ascii="Calibri" w:eastAsia="Times New Roman" w:hAnsi="Calibri" w:cs="Calibri"/>
                <w:color w:val="000000"/>
                <w:lang w:eastAsia="de-DE"/>
              </w:rPr>
            </w:pPr>
            <w:r>
              <w:rPr>
                <w:rFonts w:ascii="Calibri" w:eastAsia="Times New Roman" w:hAnsi="Calibri" w:cs="Calibri"/>
                <w:color w:val="000000"/>
                <w:lang w:eastAsia="de-DE"/>
              </w:rPr>
              <w:t>A</w:t>
            </w:r>
            <w:r w:rsidRPr="0020380E">
              <w:rPr>
                <w:rFonts w:ascii="Calibri" w:eastAsia="Times New Roman" w:hAnsi="Calibri" w:cs="Calibri"/>
                <w:color w:val="000000"/>
                <w:lang w:eastAsia="de-DE"/>
              </w:rPr>
              <w:t xml:space="preserve">nsatz </w:t>
            </w:r>
            <w:r>
              <w:rPr>
                <w:rFonts w:ascii="Calibri" w:eastAsia="Times New Roman" w:hAnsi="Calibri" w:cs="Calibri"/>
                <w:color w:val="000000"/>
                <w:lang w:eastAsia="de-DE"/>
              </w:rPr>
              <w:t>V</w:t>
            </w:r>
            <w:r w:rsidRPr="0020380E">
              <w:rPr>
                <w:rFonts w:ascii="Calibri" w:eastAsia="Times New Roman" w:hAnsi="Calibri" w:cs="Calibri"/>
                <w:color w:val="000000"/>
                <w:lang w:eastAsia="de-DE"/>
              </w:rPr>
              <w:t>orjahr</w:t>
            </w:r>
          </w:p>
        </w:tc>
      </w:tr>
      <w:tr w:rsidR="00C03D1E" w:rsidRPr="0020380E" w:rsidTr="002C256C">
        <w:trPr>
          <w:trHeight w:val="300"/>
        </w:trPr>
        <w:tc>
          <w:tcPr>
            <w:tcW w:w="14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Default="00C03D1E" w:rsidP="002C256C">
            <w:pPr>
              <w:rPr>
                <w:rFonts w:ascii="Calibri" w:hAnsi="Calibri" w:cs="Calibri"/>
                <w:color w:val="000000"/>
              </w:rPr>
            </w:pPr>
            <w:r>
              <w:rPr>
                <w:rFonts w:ascii="Calibri" w:hAnsi="Calibri" w:cs="Calibri"/>
                <w:color w:val="000000"/>
              </w:rPr>
              <w:t>5.4.1.1.462500</w:t>
            </w:r>
          </w:p>
        </w:tc>
        <w:tc>
          <w:tcPr>
            <w:tcW w:w="5420" w:type="dxa"/>
            <w:tcBorders>
              <w:top w:val="single" w:sz="4" w:space="0" w:color="auto"/>
              <w:left w:val="nil"/>
              <w:bottom w:val="single" w:sz="4" w:space="0" w:color="auto"/>
              <w:right w:val="single" w:sz="4" w:space="0" w:color="auto"/>
            </w:tcBorders>
            <w:shd w:val="clear" w:color="auto" w:fill="auto"/>
            <w:noWrap/>
            <w:vAlign w:val="bottom"/>
            <w:hideMark/>
          </w:tcPr>
          <w:p w:rsidR="00C03D1E" w:rsidRDefault="00C03D1E" w:rsidP="002C256C">
            <w:pPr>
              <w:rPr>
                <w:rFonts w:ascii="Calibri" w:hAnsi="Calibri" w:cs="Calibri"/>
                <w:color w:val="000000"/>
              </w:rPr>
            </w:pPr>
            <w:r>
              <w:rPr>
                <w:rFonts w:ascii="Calibri" w:hAnsi="Calibri" w:cs="Calibri"/>
                <w:color w:val="000000"/>
              </w:rPr>
              <w:t>Konzessionsabgaben –</w:t>
            </w:r>
          </w:p>
          <w:p w:rsidR="00C03D1E" w:rsidRDefault="00C03D1E" w:rsidP="002C256C">
            <w:pPr>
              <w:rPr>
                <w:rFonts w:ascii="Calibri" w:hAnsi="Calibri" w:cs="Calibri"/>
                <w:color w:val="000000"/>
              </w:rPr>
            </w:pPr>
            <w:r>
              <w:rPr>
                <w:rFonts w:ascii="Calibri" w:hAnsi="Calibri" w:cs="Calibri"/>
                <w:color w:val="000000"/>
              </w:rPr>
              <w:t>Anpassung aufgrund steigender Umsätze im Energiesektor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03D1E" w:rsidRDefault="00C03D1E" w:rsidP="002C256C">
            <w:pPr>
              <w:jc w:val="right"/>
              <w:rPr>
                <w:rFonts w:ascii="Calibri" w:hAnsi="Calibri" w:cs="Calibri"/>
                <w:color w:val="000000"/>
              </w:rPr>
            </w:pPr>
            <w:r>
              <w:rPr>
                <w:rFonts w:ascii="Calibri" w:hAnsi="Calibri" w:cs="Calibri"/>
                <w:color w:val="000000"/>
              </w:rPr>
              <w:t>126.000</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C03D1E" w:rsidRDefault="00C03D1E" w:rsidP="002C256C">
            <w:pPr>
              <w:jc w:val="right"/>
              <w:rPr>
                <w:rFonts w:ascii="Calibri" w:hAnsi="Calibri" w:cs="Calibri"/>
                <w:color w:val="000000"/>
              </w:rPr>
            </w:pPr>
            <w:r>
              <w:rPr>
                <w:rFonts w:ascii="Calibri" w:hAnsi="Calibri" w:cs="Calibri"/>
                <w:color w:val="000000"/>
              </w:rPr>
              <w:t>110.000</w:t>
            </w:r>
          </w:p>
        </w:tc>
      </w:tr>
    </w:tbl>
    <w:p w:rsidR="00C03D1E" w:rsidRDefault="00C03D1E" w:rsidP="00C03D1E"/>
    <w:p w:rsidR="00C03D1E" w:rsidRDefault="00C03D1E" w:rsidP="00C03D1E">
      <w:r>
        <w:t>Weitere Abweichungen ergaben sich aus Auflösungserträgen für Rückstellungen im vergangenen Jahr</w:t>
      </w:r>
    </w:p>
    <w:p w:rsidR="00C03D1E" w:rsidRDefault="00C03D1E" w:rsidP="00C03D1E">
      <w:pPr>
        <w:spacing w:after="160" w:line="259" w:lineRule="auto"/>
        <w:jc w:val="left"/>
      </w:pPr>
      <w:r>
        <w:br w:type="page"/>
      </w:r>
    </w:p>
    <w:p w:rsidR="0015474A" w:rsidRPr="00C03D1E" w:rsidRDefault="0015474A" w:rsidP="00C03D1E"/>
    <w:sectPr w:rsidR="0015474A" w:rsidRPr="00C03D1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0B0F32"/>
    <w:rsid w:val="0015474A"/>
    <w:rsid w:val="00280B21"/>
    <w:rsid w:val="002C030B"/>
    <w:rsid w:val="00611E5B"/>
    <w:rsid w:val="0071339A"/>
    <w:rsid w:val="007E0D47"/>
    <w:rsid w:val="00A54082"/>
    <w:rsid w:val="00AE5B14"/>
    <w:rsid w:val="00C03D1E"/>
    <w:rsid w:val="00C611C4"/>
    <w:rsid w:val="00D36551"/>
    <w:rsid w:val="00D92536"/>
    <w:rsid w:val="00E00226"/>
    <w:rsid w:val="00F26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764</Words>
  <Characters>4816</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Dz</dc:creator>
  <cp:lastModifiedBy>Michael Dz</cp:lastModifiedBy>
  <cp:revision>2</cp:revision>
  <dcterms:created xsi:type="dcterms:W3CDTF">2023-07-10T05:32:00Z</dcterms:created>
  <dcterms:modified xsi:type="dcterms:W3CDTF">2023-07-10T05:32:00Z</dcterms:modified>
</cp:coreProperties>
</file>