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C03D1E">
      <w:pPr>
        <w:pStyle w:val="berschrift2"/>
      </w:pPr>
      <w:r>
        <w:t xml:space="preserve">4.2.1 </w:t>
      </w:r>
      <w:r w:rsidRPr="00C03D1E">
        <w:t>Steuern</w:t>
      </w:r>
      <w:r>
        <w:t xml:space="preserve"> und allgemeine Finanzen</w:t>
      </w:r>
    </w:p>
    <w:p w:rsidR="00C03D1E" w:rsidRDefault="00C03D1E" w:rsidP="00C03D1E"/>
    <w:tbl>
      <w:tblPr>
        <w:tblW w:w="9209"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589"/>
        <w:gridCol w:w="5383"/>
        <w:gridCol w:w="1120"/>
        <w:gridCol w:w="1120"/>
      </w:tblGrid>
      <w:tr w:rsidR="00C03D1E" w:rsidRPr="00506940" w:rsidTr="002C256C">
        <w:trPr>
          <w:trHeight w:val="300"/>
        </w:trPr>
        <w:tc>
          <w:tcPr>
            <w:tcW w:w="1483"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458"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134"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Ansatz aktuell</w:t>
            </w:r>
          </w:p>
        </w:tc>
        <w:tc>
          <w:tcPr>
            <w:tcW w:w="1134"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Ansatz Vorjahr</w:t>
            </w:r>
          </w:p>
        </w:tc>
      </w:tr>
      <w:tr w:rsidR="00C03D1E" w:rsidRPr="00506940" w:rsidTr="002C256C">
        <w:trPr>
          <w:trHeight w:val="345"/>
        </w:trPr>
        <w:tc>
          <w:tcPr>
            <w:tcW w:w="1483" w:type="dxa"/>
            <w:tcBorders>
              <w:top w:val="single" w:sz="4" w:space="0" w:color="auto"/>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6.1.1.0.401100</w:t>
            </w:r>
          </w:p>
        </w:tc>
        <w:tc>
          <w:tcPr>
            <w:tcW w:w="5458" w:type="dxa"/>
            <w:tcBorders>
              <w:top w:val="single" w:sz="4" w:space="0" w:color="auto"/>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Grundsteuer A --&gt; Erhöhung Hebesatz</w:t>
            </w:r>
          </w:p>
        </w:tc>
        <w:tc>
          <w:tcPr>
            <w:tcW w:w="1134" w:type="dxa"/>
            <w:tcBorders>
              <w:top w:val="single" w:sz="4" w:space="0" w:color="auto"/>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3.000</w:t>
            </w:r>
          </w:p>
        </w:tc>
        <w:tc>
          <w:tcPr>
            <w:tcW w:w="1134" w:type="dxa"/>
            <w:tcBorders>
              <w:top w:val="single" w:sz="4" w:space="0" w:color="auto"/>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2.700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6.1.1.0.401200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Grundsteuer B --&gt; Erhöhung Hebesatz auf 510 %</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750.000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583.000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6.1.1.0.401300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Gewerbesteuer --&gt; Erh</w:t>
            </w:r>
            <w:bookmarkStart w:id="0" w:name="_GoBack"/>
            <w:bookmarkEnd w:id="0"/>
            <w:r w:rsidRPr="004A416B">
              <w:rPr>
                <w:rFonts w:eastAsia="Times New Roman" w:cs="Arial"/>
                <w:color w:val="000000"/>
                <w:lang w:eastAsia="de-DE"/>
              </w:rPr>
              <w:t>öhung Hebesatz u. Anpassung an '22</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1.500.000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1.280.000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6.1.1.0.402100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Gemeindeanteil an der Einkommensteuer</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2.200.000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2.046.100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6.1.1.0.402200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Gemeindeanteil an der Umsatzsteuer</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270.000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256.850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6.1.1.0.403300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Hundesteuer</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22.000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22.000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6.1.1.0.405210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Ausgleichsleistungen vom Land :Familienleistungsausgleich</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255.000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216.300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6.1.1.0.411130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Zuweisung für Stationierungsgemeinden und zentrale Orte</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166.100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127.120</w:t>
            </w:r>
          </w:p>
        </w:tc>
      </w:tr>
      <w:tr w:rsidR="00C03D1E" w:rsidRPr="00506940" w:rsidTr="002C256C">
        <w:trPr>
          <w:trHeight w:val="345"/>
        </w:trPr>
        <w:tc>
          <w:tcPr>
            <w:tcW w:w="1483"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6.1.1.0.479200</w:t>
            </w:r>
          </w:p>
        </w:tc>
        <w:tc>
          <w:tcPr>
            <w:tcW w:w="5458"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Vollverzinsung aus Gewerbesteuer (§ 233a AO)</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6.000</w:t>
            </w:r>
          </w:p>
        </w:tc>
        <w:tc>
          <w:tcPr>
            <w:tcW w:w="1134" w:type="dxa"/>
            <w:tcBorders>
              <w:top w:val="single" w:sz="4" w:space="0" w:color="D9D9D9" w:themeColor="background1" w:themeShade="D9"/>
              <w:bottom w:val="single" w:sz="4" w:space="0" w:color="D9D9D9" w:themeColor="background1" w:themeShade="D9"/>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5.000</w:t>
            </w:r>
          </w:p>
        </w:tc>
      </w:tr>
      <w:tr w:rsidR="00C03D1E" w:rsidRPr="00506940" w:rsidTr="002C256C">
        <w:trPr>
          <w:trHeight w:val="345"/>
        </w:trPr>
        <w:tc>
          <w:tcPr>
            <w:tcW w:w="1483" w:type="dxa"/>
            <w:tcBorders>
              <w:top w:val="single" w:sz="4" w:space="0" w:color="D9D9D9" w:themeColor="background1" w:themeShade="D9"/>
              <w:bottom w:val="nil"/>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6.1.1.0.491001</w:t>
            </w:r>
          </w:p>
        </w:tc>
        <w:tc>
          <w:tcPr>
            <w:tcW w:w="5458" w:type="dxa"/>
            <w:tcBorders>
              <w:top w:val="single" w:sz="4" w:space="0" w:color="D9D9D9" w:themeColor="background1" w:themeShade="D9"/>
              <w:bottom w:val="nil"/>
            </w:tcBorders>
            <w:shd w:val="clear" w:color="auto" w:fill="auto"/>
            <w:noWrap/>
            <w:vAlign w:val="bottom"/>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Entnahmen a d </w:t>
            </w:r>
            <w:proofErr w:type="spellStart"/>
            <w:r w:rsidRPr="004A416B">
              <w:rPr>
                <w:rFonts w:eastAsia="Times New Roman" w:cs="Arial"/>
                <w:color w:val="000000"/>
                <w:lang w:eastAsia="de-DE"/>
              </w:rPr>
              <w:t>SoPo</w:t>
            </w:r>
            <w:proofErr w:type="spellEnd"/>
            <w:r w:rsidRPr="004A416B">
              <w:rPr>
                <w:rFonts w:eastAsia="Times New Roman" w:cs="Arial"/>
                <w:color w:val="000000"/>
                <w:lang w:eastAsia="de-DE"/>
              </w:rPr>
              <w:t xml:space="preserve"> f Belastung</w:t>
            </w:r>
          </w:p>
        </w:tc>
        <w:tc>
          <w:tcPr>
            <w:tcW w:w="1134" w:type="dxa"/>
            <w:tcBorders>
              <w:top w:val="single" w:sz="4" w:space="0" w:color="D9D9D9" w:themeColor="background1" w:themeShade="D9"/>
              <w:bottom w:val="nil"/>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0</w:t>
            </w:r>
          </w:p>
        </w:tc>
        <w:tc>
          <w:tcPr>
            <w:tcW w:w="1134" w:type="dxa"/>
            <w:tcBorders>
              <w:top w:val="single" w:sz="4" w:space="0" w:color="D9D9D9" w:themeColor="background1" w:themeShade="D9"/>
              <w:bottom w:val="nil"/>
            </w:tcBorders>
            <w:shd w:val="clear" w:color="auto" w:fill="auto"/>
            <w:noWrap/>
            <w:vAlign w:val="bottom"/>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0</w:t>
            </w:r>
          </w:p>
        </w:tc>
      </w:tr>
      <w:tr w:rsidR="00C03D1E" w:rsidRPr="004A416B" w:rsidTr="002C256C">
        <w:trPr>
          <w:trHeight w:val="70"/>
        </w:trPr>
        <w:tc>
          <w:tcPr>
            <w:tcW w:w="1483" w:type="dxa"/>
            <w:tcBorders>
              <w:top w:val="nil"/>
            </w:tcBorders>
            <w:shd w:val="clear" w:color="auto" w:fill="auto"/>
            <w:noWrap/>
            <w:vAlign w:val="bottom"/>
          </w:tcPr>
          <w:p w:rsidR="00C03D1E" w:rsidRPr="004A416B" w:rsidRDefault="00C03D1E" w:rsidP="002C256C">
            <w:pPr>
              <w:spacing w:after="0"/>
              <w:jc w:val="left"/>
              <w:rPr>
                <w:rFonts w:eastAsia="Times New Roman" w:cs="Arial"/>
                <w:color w:val="000000"/>
                <w:sz w:val="2"/>
                <w:szCs w:val="2"/>
                <w:lang w:eastAsia="de-DE"/>
              </w:rPr>
            </w:pPr>
          </w:p>
        </w:tc>
        <w:tc>
          <w:tcPr>
            <w:tcW w:w="5458" w:type="dxa"/>
            <w:tcBorders>
              <w:top w:val="nil"/>
            </w:tcBorders>
            <w:shd w:val="clear" w:color="auto" w:fill="auto"/>
            <w:noWrap/>
            <w:vAlign w:val="bottom"/>
          </w:tcPr>
          <w:p w:rsidR="00C03D1E" w:rsidRPr="004A416B" w:rsidRDefault="00C03D1E" w:rsidP="002C256C">
            <w:pPr>
              <w:spacing w:after="0"/>
              <w:jc w:val="left"/>
              <w:rPr>
                <w:rFonts w:eastAsia="Times New Roman" w:cs="Arial"/>
                <w:color w:val="000000"/>
                <w:sz w:val="2"/>
                <w:szCs w:val="2"/>
                <w:lang w:eastAsia="de-DE"/>
              </w:rPr>
            </w:pPr>
          </w:p>
        </w:tc>
        <w:tc>
          <w:tcPr>
            <w:tcW w:w="1134" w:type="dxa"/>
            <w:tcBorders>
              <w:top w:val="nil"/>
            </w:tcBorders>
            <w:shd w:val="clear" w:color="auto" w:fill="auto"/>
            <w:noWrap/>
            <w:vAlign w:val="bottom"/>
          </w:tcPr>
          <w:p w:rsidR="00C03D1E" w:rsidRPr="004A416B" w:rsidRDefault="00C03D1E" w:rsidP="002C256C">
            <w:pPr>
              <w:spacing w:after="0"/>
              <w:jc w:val="right"/>
              <w:rPr>
                <w:rFonts w:eastAsia="Times New Roman" w:cs="Arial"/>
                <w:color w:val="000000"/>
                <w:sz w:val="2"/>
                <w:szCs w:val="2"/>
                <w:lang w:eastAsia="de-DE"/>
              </w:rPr>
            </w:pPr>
          </w:p>
        </w:tc>
        <w:tc>
          <w:tcPr>
            <w:tcW w:w="1134" w:type="dxa"/>
            <w:tcBorders>
              <w:top w:val="nil"/>
            </w:tcBorders>
            <w:shd w:val="clear" w:color="auto" w:fill="auto"/>
            <w:noWrap/>
            <w:vAlign w:val="bottom"/>
          </w:tcPr>
          <w:p w:rsidR="00C03D1E" w:rsidRPr="004A416B" w:rsidRDefault="00C03D1E" w:rsidP="002C256C">
            <w:pPr>
              <w:spacing w:after="0"/>
              <w:jc w:val="right"/>
              <w:rPr>
                <w:rFonts w:eastAsia="Times New Roman" w:cs="Arial"/>
                <w:color w:val="000000"/>
                <w:sz w:val="2"/>
                <w:szCs w:val="2"/>
                <w:lang w:eastAsia="de-DE"/>
              </w:rPr>
            </w:pPr>
          </w:p>
        </w:tc>
      </w:tr>
    </w:tbl>
    <w:p w:rsidR="00C03D1E" w:rsidRDefault="00C03D1E" w:rsidP="00C03D1E"/>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C03D1E" w:rsidRDefault="00C03D1E" w:rsidP="00C03D1E">
      <w:pPr>
        <w:rPr>
          <w:u w:val="single"/>
        </w:rPr>
      </w:pPr>
    </w:p>
    <w:p w:rsidR="00C03D1E" w:rsidRPr="00DB26D9" w:rsidRDefault="00C03D1E" w:rsidP="00C03D1E">
      <w:pPr>
        <w:rPr>
          <w:u w:val="single"/>
        </w:rPr>
      </w:pPr>
      <w:r>
        <w:rPr>
          <w:u w:val="single"/>
        </w:rPr>
        <w:t>Steuerkraft</w:t>
      </w:r>
    </w:p>
    <w:p w:rsidR="00C03D1E" w:rsidRDefault="00C03D1E" w:rsidP="00C03D1E">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2C256C">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2C256C">
            <w:pPr>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2C256C">
            <w:pPr>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322,92</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136.805,07</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181.213,85</w:t>
            </w:r>
          </w:p>
        </w:tc>
        <w:tc>
          <w:tcPr>
            <w:tcW w:w="1585" w:type="dxa"/>
            <w:gridSpan w:val="2"/>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558.648,80</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0,00</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1.557.129,22</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380%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420%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2.115.778</w:t>
            </w:r>
          </w:p>
        </w:tc>
      </w:tr>
      <w:tr w:rsidR="00C03D1E" w:rsidRPr="00104855" w:rsidTr="002C256C">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85,00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34.201,00</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43.146,00</w:t>
            </w:r>
          </w:p>
        </w:tc>
        <w:tc>
          <w:tcPr>
            <w:tcW w:w="2977" w:type="dxa"/>
            <w:gridSpan w:val="3"/>
            <w:tcBorders>
              <w:top w:val="single" w:sz="4" w:space="0" w:color="auto"/>
              <w:left w:val="nil"/>
              <w:bottom w:val="nil"/>
              <w:right w:val="single" w:sz="8" w:space="0" w:color="000000"/>
            </w:tcBorders>
            <w:shd w:val="clear" w:color="auto" w:fill="auto"/>
            <w:noWrap/>
            <w:vAlign w:val="bottom"/>
            <w:hideMark/>
          </w:tcPr>
          <w:p w:rsidR="00C03D1E" w:rsidRPr="00104855" w:rsidRDefault="00C03D1E"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2.356,01</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449.362,09</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345%</w:t>
            </w:r>
          </w:p>
        </w:tc>
        <w:tc>
          <w:tcPr>
            <w:tcW w:w="1585" w:type="dxa"/>
            <w:gridSpan w:val="2"/>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80.908,12</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0,00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1.234.423,63</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202.706,25</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380%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0,00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283.614</w:t>
            </w:r>
          </w:p>
        </w:tc>
      </w:tr>
      <w:tr w:rsidR="00C03D1E" w:rsidRPr="00104855" w:rsidTr="002C256C">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620,00</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112.341,00</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420%</w:t>
            </w:r>
          </w:p>
        </w:tc>
        <w:tc>
          <w:tcPr>
            <w:tcW w:w="2977" w:type="dxa"/>
            <w:gridSpan w:val="3"/>
            <w:tcBorders>
              <w:top w:val="single" w:sz="4" w:space="0" w:color="auto"/>
              <w:left w:val="nil"/>
              <w:bottom w:val="nil"/>
              <w:right w:val="single" w:sz="8" w:space="0" w:color="000000"/>
            </w:tcBorders>
            <w:shd w:val="clear" w:color="auto" w:fill="auto"/>
            <w:vAlign w:val="bottom"/>
            <w:hideMark/>
          </w:tcPr>
          <w:p w:rsidR="00C03D1E" w:rsidRPr="00104855" w:rsidRDefault="00C03D1E" w:rsidP="002C256C">
            <w:pPr>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lastRenderedPageBreak/>
              <w:t>(4) + (8)</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705,00</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146.542,00</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293.910,00</w:t>
            </w:r>
          </w:p>
        </w:tc>
        <w:tc>
          <w:tcPr>
            <w:tcW w:w="1585" w:type="dxa"/>
            <w:gridSpan w:val="2"/>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55.275,72</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345%</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465%</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4"/>
                <w:szCs w:val="14"/>
                <w:lang w:eastAsia="de-DE"/>
              </w:rPr>
            </w:pPr>
            <w:r w:rsidRPr="00104855">
              <w:rPr>
                <w:rFonts w:eastAsia="Times New Roman" w:cs="Arial"/>
                <w:sz w:val="14"/>
                <w:szCs w:val="14"/>
                <w:lang w:eastAsia="de-DE"/>
              </w:rPr>
              <w:t>345%</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right"/>
              <w:rPr>
                <w:rFonts w:eastAsia="Times New Roman" w:cs="Arial"/>
                <w:sz w:val="16"/>
                <w:szCs w:val="16"/>
                <w:lang w:eastAsia="de-DE"/>
              </w:rPr>
            </w:pPr>
            <w:r w:rsidRPr="00104855">
              <w:rPr>
                <w:rFonts w:eastAsia="Times New Roman" w:cs="Arial"/>
                <w:sz w:val="16"/>
                <w:szCs w:val="16"/>
                <w:lang w:eastAsia="de-DE"/>
              </w:rPr>
              <w:t>160.198,22</w:t>
            </w:r>
          </w:p>
        </w:tc>
      </w:tr>
      <w:tr w:rsidR="00C03D1E" w:rsidRPr="00104855" w:rsidTr="002C256C">
        <w:trPr>
          <w:trHeight w:val="315"/>
        </w:trPr>
        <w:tc>
          <w:tcPr>
            <w:tcW w:w="1585" w:type="dxa"/>
            <w:tcBorders>
              <w:top w:val="single" w:sz="4" w:space="0" w:color="auto"/>
              <w:left w:val="single" w:sz="8" w:space="0" w:color="auto"/>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2.432</w:t>
            </w:r>
          </w:p>
        </w:tc>
        <w:tc>
          <w:tcPr>
            <w:tcW w:w="1559"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681.420</w:t>
            </w:r>
          </w:p>
        </w:tc>
        <w:tc>
          <w:tcPr>
            <w:tcW w:w="1559"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1.162.844</w:t>
            </w:r>
          </w:p>
        </w:tc>
        <w:tc>
          <w:tcPr>
            <w:tcW w:w="1585" w:type="dxa"/>
            <w:gridSpan w:val="2"/>
            <w:tcBorders>
              <w:top w:val="nil"/>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right"/>
              <w:rPr>
                <w:rFonts w:eastAsia="Times New Roman" w:cs="Arial"/>
                <w:b/>
                <w:bCs/>
                <w:sz w:val="20"/>
                <w:szCs w:val="20"/>
                <w:lang w:eastAsia="de-DE"/>
              </w:rPr>
            </w:pPr>
            <w:r w:rsidRPr="00104855">
              <w:rPr>
                <w:rFonts w:eastAsia="Times New Roman" w:cs="Arial"/>
                <w:b/>
                <w:bCs/>
                <w:sz w:val="20"/>
                <w:szCs w:val="20"/>
                <w:lang w:eastAsia="de-DE"/>
              </w:rPr>
              <w:t>215.474</w:t>
            </w:r>
          </w:p>
        </w:tc>
      </w:tr>
      <w:tr w:rsidR="00C03D1E" w:rsidRPr="00104855" w:rsidTr="002C256C">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C03D1E" w:rsidRPr="00104855" w:rsidRDefault="00C03D1E" w:rsidP="002C256C">
            <w:pPr>
              <w:spacing w:after="0"/>
              <w:jc w:val="left"/>
              <w:rPr>
                <w:rFonts w:eastAsia="Times New Roman" w:cs="Arial"/>
                <w:lang w:eastAsia="de-DE"/>
              </w:rPr>
            </w:pPr>
            <w:r w:rsidRPr="00104855">
              <w:rPr>
                <w:rFonts w:eastAsia="Times New Roman" w:cs="Arial"/>
                <w:lang w:eastAsia="de-DE"/>
              </w:rPr>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C03D1E" w:rsidRPr="00104855" w:rsidRDefault="00C03D1E" w:rsidP="002C256C">
            <w:pPr>
              <w:spacing w:after="0"/>
              <w:jc w:val="right"/>
              <w:rPr>
                <w:rFonts w:ascii="Calibri" w:eastAsia="Times New Roman" w:hAnsi="Calibri" w:cs="Calibri"/>
                <w:b/>
                <w:bCs/>
                <w:color w:val="000000"/>
                <w:sz w:val="28"/>
                <w:szCs w:val="28"/>
                <w:lang w:eastAsia="de-DE"/>
              </w:rPr>
            </w:pPr>
            <w:r w:rsidRPr="00104855">
              <w:rPr>
                <w:rFonts w:ascii="Calibri" w:eastAsia="Times New Roman" w:hAnsi="Calibri" w:cs="Calibri"/>
                <w:b/>
                <w:bCs/>
                <w:color w:val="000000"/>
                <w:sz w:val="28"/>
                <w:szCs w:val="28"/>
                <w:lang w:eastAsia="de-DE"/>
              </w:rPr>
              <w:t>4.461.562</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2C256C">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lang w:eastAsia="de-DE"/>
              </w:rPr>
            </w:pPr>
            <w:r w:rsidRPr="000C3358">
              <w:rPr>
                <w:rFonts w:eastAsia="Times New Roman" w:cs="Arial"/>
                <w:lang w:eastAsia="de-DE"/>
              </w:rPr>
              <w:t>4.461.562,00</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4.131</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 xml:space="preserve">         1.080,02 €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C03D1E" w:rsidP="002C256C">
            <w:pPr>
              <w:spacing w:after="0"/>
              <w:jc w:val="right"/>
              <w:rPr>
                <w:rFonts w:eastAsia="Times New Roman" w:cs="Arial"/>
                <w:lang w:eastAsia="de-DE"/>
              </w:rPr>
            </w:pPr>
            <w:r w:rsidRPr="000C3358">
              <w:rPr>
                <w:rFonts w:eastAsia="Times New Roman" w:cs="Arial"/>
                <w:lang w:eastAsia="de-DE"/>
              </w:rPr>
              <w:t xml:space="preserve">         1.807,01 €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 xml:space="preserve">         1.097,43 €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 xml:space="preserve">- 17,41 €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color w:val="000000"/>
                <w:lang w:eastAsia="de-DE"/>
              </w:rPr>
            </w:pPr>
            <w:r w:rsidRPr="000C3358">
              <w:rPr>
                <w:rFonts w:eastAsia="Times New Roman" w:cs="Arial"/>
                <w:color w:val="000000"/>
                <w:lang w:eastAsia="de-DE"/>
              </w:rPr>
              <w:t>4.131</w:t>
            </w:r>
          </w:p>
        </w:tc>
      </w:tr>
      <w:tr w:rsidR="00C03D1E" w:rsidRPr="000C3358" w:rsidTr="002C256C">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C03D1E" w:rsidP="002C256C">
            <w:pPr>
              <w:spacing w:after="0"/>
              <w:jc w:val="right"/>
              <w:rPr>
                <w:rFonts w:eastAsia="Times New Roman" w:cs="Arial"/>
                <w:b/>
                <w:bCs/>
                <w:u w:val="double"/>
                <w:lang w:eastAsia="de-DE"/>
              </w:rPr>
            </w:pPr>
            <w:r w:rsidRPr="000C3358">
              <w:rPr>
                <w:rFonts w:eastAsia="Times New Roman" w:cs="Arial"/>
                <w:b/>
                <w:bCs/>
                <w:u w:val="double"/>
                <w:lang w:eastAsia="de-DE"/>
              </w:rPr>
              <w:t>64.729,00 €</w:t>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C03D1E" w:rsidRDefault="00C03D1E" w:rsidP="00C03D1E">
      <w:pPr>
        <w:tabs>
          <w:tab w:val="left" w:pos="709"/>
          <w:tab w:val="decimal" w:pos="7655"/>
        </w:tabs>
      </w:pPr>
      <w:r>
        <w:tab/>
        <w:t>Einwohner Verflechtungsbereich</w:t>
      </w:r>
      <w:r>
        <w:tab/>
        <w:t>5.136</w:t>
      </w:r>
    </w:p>
    <w:p w:rsidR="00C03D1E" w:rsidRDefault="00C03D1E" w:rsidP="00C03D1E">
      <w:pPr>
        <w:tabs>
          <w:tab w:val="left" w:pos="709"/>
          <w:tab w:val="decimal" w:pos="7655"/>
        </w:tabs>
      </w:pPr>
      <w:r>
        <w:t>x</w:t>
      </w:r>
      <w:r>
        <w:tab/>
        <w:t>Ansatzzahl für den Nahbereich</w:t>
      </w:r>
      <w:r>
        <w:tab/>
      </w:r>
      <w:r w:rsidRPr="00ED1A76">
        <w:t>1,797565</w:t>
      </w:r>
      <w:r>
        <w:tab/>
        <w:t>%</w:t>
      </w:r>
    </w:p>
    <w:p w:rsidR="00C03D1E" w:rsidRDefault="00C03D1E" w:rsidP="00C03D1E">
      <w:pPr>
        <w:tabs>
          <w:tab w:val="left" w:pos="709"/>
          <w:tab w:val="decimal" w:pos="7655"/>
        </w:tabs>
      </w:pPr>
      <w:r>
        <w:t>=</w:t>
      </w:r>
      <w:r>
        <w:tab/>
        <w:t>Ansatz (Berechnungsbasis)</w:t>
      </w:r>
      <w:r>
        <w:tab/>
        <w:t>92</w:t>
      </w:r>
    </w:p>
    <w:p w:rsidR="00C03D1E" w:rsidRDefault="00C03D1E" w:rsidP="00C03D1E"/>
    <w:p w:rsidR="00C03D1E" w:rsidRDefault="00C03D1E" w:rsidP="00C03D1E">
      <w:pPr>
        <w:tabs>
          <w:tab w:val="left" w:pos="709"/>
          <w:tab w:val="decimal" w:pos="7655"/>
        </w:tabs>
      </w:pPr>
      <w:r>
        <w:tab/>
        <w:t>Ansatz</w:t>
      </w:r>
      <w:r>
        <w:tab/>
        <w:t>92</w:t>
      </w:r>
    </w:p>
    <w:p w:rsidR="00C03D1E" w:rsidRDefault="00C03D1E" w:rsidP="00C03D1E">
      <w:pPr>
        <w:tabs>
          <w:tab w:val="left" w:pos="709"/>
          <w:tab w:val="decimal" w:pos="7655"/>
        </w:tabs>
      </w:pPr>
      <w:r>
        <w:t>x</w:t>
      </w:r>
      <w:r>
        <w:tab/>
        <w:t xml:space="preserve">Grundbetrag für Ortsgemeinden </w:t>
      </w:r>
      <w:r>
        <w:tab/>
        <w:t>2.072,00 €</w:t>
      </w:r>
    </w:p>
    <w:p w:rsidR="00C03D1E" w:rsidRDefault="00C03D1E" w:rsidP="00C03D1E">
      <w:pPr>
        <w:tabs>
          <w:tab w:val="left" w:pos="709"/>
          <w:tab w:val="decimal" w:pos="7655"/>
        </w:tabs>
      </w:pPr>
      <w:r>
        <w:t>=</w:t>
      </w:r>
      <w:r>
        <w:tab/>
        <w:t xml:space="preserve">Ausgleichsbetrag </w:t>
      </w:r>
      <w:r>
        <w:tab/>
      </w:r>
      <w:r w:rsidRPr="00F94044">
        <w:t>190.624,00 €</w:t>
      </w:r>
    </w:p>
    <w:p w:rsidR="00C03D1E" w:rsidRDefault="00C03D1E" w:rsidP="00C03D1E">
      <w:pPr>
        <w:tabs>
          <w:tab w:val="left" w:pos="709"/>
          <w:tab w:val="decimal" w:pos="7655"/>
        </w:tabs>
      </w:pPr>
    </w:p>
    <w:p w:rsidR="00C03D1E" w:rsidRDefault="00C03D1E" w:rsidP="00C03D1E">
      <w:pPr>
        <w:tabs>
          <w:tab w:val="left" w:pos="709"/>
          <w:tab w:val="decimal" w:pos="7655"/>
        </w:tabs>
      </w:pPr>
      <w:r>
        <w:tab/>
        <w:t>Betrag zentrale Orte</w:t>
      </w:r>
      <w:r>
        <w:tab/>
        <w:t>190.624,00 €</w:t>
      </w:r>
    </w:p>
    <w:p w:rsidR="00C03D1E" w:rsidRDefault="00C03D1E" w:rsidP="00C03D1E">
      <w:pPr>
        <w:tabs>
          <w:tab w:val="left" w:pos="709"/>
          <w:tab w:val="decimal" w:pos="7655"/>
        </w:tabs>
      </w:pPr>
      <w:r>
        <w:t>+</w:t>
      </w:r>
      <w:r>
        <w:tab/>
        <w:t>Ausgleichsmesszahl</w:t>
      </w:r>
      <w:r>
        <w:tab/>
      </w:r>
      <w:r w:rsidRPr="00F94044">
        <w:t>1</w:t>
      </w:r>
      <w:r>
        <w:t>.</w:t>
      </w:r>
      <w:r w:rsidRPr="00F94044">
        <w:t>542</w:t>
      </w:r>
      <w:r>
        <w:t>.</w:t>
      </w:r>
      <w:r w:rsidRPr="00F94044">
        <w:t>514</w:t>
      </w:r>
      <w:r>
        <w:t>,00 €</w:t>
      </w:r>
    </w:p>
    <w:p w:rsidR="00C03D1E" w:rsidRDefault="00C03D1E" w:rsidP="00C03D1E">
      <w:pPr>
        <w:tabs>
          <w:tab w:val="left" w:pos="709"/>
          <w:tab w:val="decimal" w:pos="7655"/>
        </w:tabs>
      </w:pPr>
      <w:r>
        <w:t>./.</w:t>
      </w:r>
      <w:r>
        <w:tab/>
        <w:t>Finanzkraftmesszahl</w:t>
      </w:r>
      <w:r>
        <w:tab/>
      </w:r>
      <w:r w:rsidRPr="00F52AD1">
        <w:t>1</w:t>
      </w:r>
      <w:r>
        <w:t>.</w:t>
      </w:r>
      <w:r w:rsidRPr="00F52AD1">
        <w:t>357</w:t>
      </w:r>
      <w:r>
        <w:t>.</w:t>
      </w:r>
      <w:r w:rsidRPr="00F52AD1">
        <w:t>887</w:t>
      </w:r>
      <w:r>
        <w:t>,00 €</w:t>
      </w:r>
    </w:p>
    <w:p w:rsidR="00C03D1E" w:rsidRDefault="00C03D1E" w:rsidP="00C03D1E">
      <w:pPr>
        <w:tabs>
          <w:tab w:val="left" w:pos="709"/>
          <w:tab w:val="decimal" w:pos="7655"/>
        </w:tabs>
      </w:pPr>
      <w:r>
        <w:t>=</w:t>
      </w:r>
      <w:r>
        <w:tab/>
        <w:t>Differenz</w:t>
      </w:r>
      <w:r>
        <w:tab/>
      </w:r>
      <w:r w:rsidRPr="00F52AD1">
        <w:t>184</w:t>
      </w:r>
      <w:r>
        <w:t>.</w:t>
      </w:r>
      <w:r w:rsidRPr="00F52AD1">
        <w:t>627</w:t>
      </w:r>
      <w:r>
        <w:t>,00 €</w:t>
      </w:r>
    </w:p>
    <w:p w:rsidR="00C03D1E" w:rsidRDefault="00C03D1E" w:rsidP="00C03D1E">
      <w:pPr>
        <w:tabs>
          <w:tab w:val="left" w:pos="709"/>
          <w:tab w:val="decimal" w:pos="7655"/>
        </w:tabs>
      </w:pPr>
      <w:r>
        <w:t>x</w:t>
      </w:r>
      <w:r>
        <w:tab/>
        <w:t>90 %</w:t>
      </w:r>
      <w:r>
        <w:tab/>
      </w:r>
      <w:r w:rsidRPr="00F52AD1">
        <w:t>166</w:t>
      </w:r>
      <w:r>
        <w:t>.</w:t>
      </w:r>
      <w:r w:rsidRPr="00F52AD1">
        <w:t>164,3</w:t>
      </w:r>
      <w:r>
        <w:t>0 €</w:t>
      </w:r>
    </w:p>
    <w:p w:rsidR="00C03D1E" w:rsidRDefault="00C03D1E" w:rsidP="00C03D1E">
      <w:pPr>
        <w:tabs>
          <w:tab w:val="left" w:pos="709"/>
          <w:tab w:val="decimal" w:pos="7655"/>
        </w:tabs>
      </w:pPr>
      <w:r>
        <w:t>./.</w:t>
      </w:r>
      <w:r>
        <w:tab/>
        <w:t>Anrechnung der Schlüsselzuweisung B</w:t>
      </w:r>
      <w:r>
        <w:tab/>
        <w:t>0,00 €</w:t>
      </w:r>
    </w:p>
    <w:p w:rsidR="00C03D1E" w:rsidRDefault="00C03D1E" w:rsidP="00C03D1E">
      <w:pPr>
        <w:tabs>
          <w:tab w:val="left" w:pos="709"/>
          <w:tab w:val="decimal" w:pos="7655"/>
        </w:tabs>
      </w:pPr>
      <w:r>
        <w:lastRenderedPageBreak/>
        <w:t>=</w:t>
      </w:r>
      <w:r>
        <w:tab/>
        <w:t>Zuweisung</w:t>
      </w:r>
      <w:r>
        <w:tab/>
        <w:t>166.164,30 €</w:t>
      </w:r>
    </w:p>
    <w:p w:rsidR="00C03D1E" w:rsidRDefault="00C03D1E" w:rsidP="00C03D1E">
      <w:pPr>
        <w:tabs>
          <w:tab w:val="left" w:pos="709"/>
          <w:tab w:val="decimal" w:pos="7655"/>
        </w:tabs>
      </w:pPr>
    </w:p>
    <w:p w:rsidR="00C03D1E" w:rsidRDefault="00C03D1E" w:rsidP="00C03D1E">
      <w:r>
        <w:t xml:space="preserve">Hierfür wird die Zahl der Bewohner des Verflechtungsraums (5.136) mit </w:t>
      </w:r>
      <w:r w:rsidRPr="000C3358">
        <w:t>1,797565</w:t>
      </w:r>
      <w:r>
        <w:t xml:space="preserve"> % multipliziert. Hieraus ergibt sich ein Ansatz von 92.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C03D1E" w:rsidRDefault="00C03D1E" w:rsidP="00C03D1E">
      <w:pPr>
        <w:pStyle w:val="berschrift3"/>
      </w:pPr>
      <w:r>
        <w:t>4.2.2 sonstige Zuweisungen</w:t>
      </w:r>
    </w:p>
    <w:p w:rsidR="00C03D1E" w:rsidRDefault="00C03D1E" w:rsidP="00C03D1E"/>
    <w:tbl>
      <w:tblPr>
        <w:tblW w:w="9205"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5163"/>
        <w:gridCol w:w="1173"/>
        <w:gridCol w:w="1173"/>
      </w:tblGrid>
      <w:tr w:rsidR="00C03D1E" w:rsidRPr="0020380E" w:rsidTr="002C256C">
        <w:trPr>
          <w:trHeight w:val="300"/>
        </w:trPr>
        <w:tc>
          <w:tcPr>
            <w:tcW w:w="1696"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Planungsstelle</w:t>
            </w:r>
          </w:p>
        </w:tc>
        <w:tc>
          <w:tcPr>
            <w:tcW w:w="516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Bezeichnung</w:t>
            </w:r>
          </w:p>
        </w:tc>
        <w:tc>
          <w:tcPr>
            <w:tcW w:w="117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Ansatz aktuell</w:t>
            </w:r>
          </w:p>
        </w:tc>
        <w:tc>
          <w:tcPr>
            <w:tcW w:w="117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Ansatz Vorjahr</w:t>
            </w:r>
          </w:p>
        </w:tc>
      </w:tr>
      <w:tr w:rsidR="00C03D1E" w:rsidRPr="0020380E" w:rsidTr="002C256C">
        <w:trPr>
          <w:trHeight w:val="300"/>
        </w:trPr>
        <w:tc>
          <w:tcPr>
            <w:tcW w:w="1696"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1.1.4.3.414490</w:t>
            </w:r>
          </w:p>
        </w:tc>
        <w:tc>
          <w:tcPr>
            <w:tcW w:w="516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vom sonstigen öffentlichen Bereich - </w:t>
            </w:r>
            <w:r w:rsidRPr="004A416B">
              <w:rPr>
                <w:rFonts w:eastAsia="Times New Roman" w:cs="Arial"/>
                <w:color w:val="000000"/>
                <w:lang w:eastAsia="de-DE"/>
              </w:rPr>
              <w:br/>
              <w:t>Die Eingliederungsförderung für einen Bauhofmitarbeiter läuft aus</w:t>
            </w:r>
          </w:p>
        </w:tc>
        <w:tc>
          <w:tcPr>
            <w:tcW w:w="117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0</w:t>
            </w:r>
          </w:p>
        </w:tc>
        <w:tc>
          <w:tcPr>
            <w:tcW w:w="117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22.000</w:t>
            </w:r>
          </w:p>
        </w:tc>
      </w:tr>
      <w:tr w:rsidR="00C03D1E" w:rsidRPr="0020380E" w:rsidTr="002C256C">
        <w:trPr>
          <w:trHeight w:val="300"/>
        </w:trPr>
        <w:tc>
          <w:tcPr>
            <w:tcW w:w="1696"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3.6.5.1.414410</w:t>
            </w:r>
          </w:p>
        </w:tc>
        <w:tc>
          <w:tcPr>
            <w:tcW w:w="516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vom Bund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Das Förderprogramm </w:t>
            </w:r>
            <w:proofErr w:type="spellStart"/>
            <w:r w:rsidRPr="004A416B">
              <w:rPr>
                <w:rFonts w:eastAsia="Times New Roman" w:cs="Arial"/>
                <w:color w:val="000000"/>
                <w:lang w:eastAsia="de-DE"/>
              </w:rPr>
              <w:t>Sprachkitas</w:t>
            </w:r>
            <w:proofErr w:type="spellEnd"/>
            <w:r w:rsidRPr="004A416B">
              <w:rPr>
                <w:rFonts w:eastAsia="Times New Roman" w:cs="Arial"/>
                <w:color w:val="000000"/>
                <w:lang w:eastAsia="de-DE"/>
              </w:rPr>
              <w:t xml:space="preserve"> wird nicht mehr in dem Umfang gefördert wie in Vorjahren</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17.000</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29.000</w:t>
            </w:r>
          </w:p>
        </w:tc>
      </w:tr>
      <w:tr w:rsidR="00C03D1E" w:rsidRPr="0020380E" w:rsidTr="002C256C">
        <w:trPr>
          <w:trHeight w:val="300"/>
        </w:trPr>
        <w:tc>
          <w:tcPr>
            <w:tcW w:w="1696"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3.6.5.1.414430</w:t>
            </w:r>
          </w:p>
        </w:tc>
        <w:tc>
          <w:tcPr>
            <w:tcW w:w="516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von Gemeinden und Gemeindeverbänden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durch erhöhte Aufwendungen wird mit erhöhten Zuweisungen gerechnet</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1.001.000</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880.000</w:t>
            </w:r>
          </w:p>
        </w:tc>
      </w:tr>
      <w:tr w:rsidR="00C03D1E" w:rsidRPr="0020380E" w:rsidTr="002C256C">
        <w:trPr>
          <w:trHeight w:val="300"/>
        </w:trPr>
        <w:tc>
          <w:tcPr>
            <w:tcW w:w="1696"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5.4.1.0.415100</w:t>
            </w:r>
          </w:p>
        </w:tc>
        <w:tc>
          <w:tcPr>
            <w:tcW w:w="516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Sonderposten aus Zuwendungen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Eine Sonderauflösung fand im Vorjahr statt</w:t>
            </w:r>
          </w:p>
        </w:tc>
        <w:tc>
          <w:tcPr>
            <w:tcW w:w="117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80.548</w:t>
            </w:r>
          </w:p>
        </w:tc>
        <w:tc>
          <w:tcPr>
            <w:tcW w:w="117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424.200</w:t>
            </w:r>
          </w:p>
        </w:tc>
      </w:tr>
    </w:tbl>
    <w:p w:rsidR="00C03D1E" w:rsidRDefault="00C03D1E" w:rsidP="00C03D1E">
      <w:pPr>
        <w:spacing w:after="160" w:line="259" w:lineRule="auto"/>
        <w:jc w:val="left"/>
      </w:pPr>
    </w:p>
    <w:p w:rsidR="00C03D1E" w:rsidRDefault="00C03D1E" w:rsidP="00C03D1E">
      <w:pPr>
        <w:pStyle w:val="berschrift3"/>
      </w:pPr>
      <w:r>
        <w:t>4.2.3 privatrechtliche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3.6.5.1.441400</w:t>
            </w:r>
          </w:p>
        </w:tc>
        <w:tc>
          <w:tcPr>
            <w:tcW w:w="542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Privatrechtliche Leistungsentgelte: Beteiligung Essenskosten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die Umsätze 2022</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23.000</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11.000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3.6.5.1.442430</w:t>
            </w:r>
          </w:p>
        </w:tc>
        <w:tc>
          <w:tcPr>
            <w:tcW w:w="542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öffentlichen Bereich von Gemeinden</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&amp;</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Gemeindeverbänden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Im vergangenen Jahr fand eine mehrjährige Abrechnung statt. Der Ansatz 2023 ist für ein Jahr kalkuliert</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35.000</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179.000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auto"/>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3.6.5.1.442490</w:t>
            </w:r>
          </w:p>
        </w:tc>
        <w:tc>
          <w:tcPr>
            <w:tcW w:w="542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sonstigen öffentlichen Bereich</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langjährige Durchschnittswerte</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10.000</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0</w:t>
            </w:r>
          </w:p>
        </w:tc>
      </w:tr>
    </w:tbl>
    <w:p w:rsidR="00C03D1E" w:rsidRDefault="00C03D1E" w:rsidP="00C03D1E"/>
    <w:p w:rsidR="00C03D1E" w:rsidRDefault="00C03D1E" w:rsidP="00C03D1E">
      <w:pPr>
        <w:pStyle w:val="berschrift3"/>
      </w:pPr>
      <w:r>
        <w:t>4.2.4 sonstige laufende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5.4.1.1.462500</w:t>
            </w:r>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Konzessionsabgaben –</w:t>
            </w:r>
          </w:p>
          <w:p w:rsidR="00C03D1E" w:rsidRDefault="00C03D1E" w:rsidP="002C256C">
            <w:pPr>
              <w:rPr>
                <w:rFonts w:ascii="Calibri" w:hAnsi="Calibri" w:cs="Calibri"/>
                <w:color w:val="000000"/>
              </w:rPr>
            </w:pPr>
            <w:r>
              <w:rPr>
                <w:rFonts w:ascii="Calibri" w:hAnsi="Calibri" w:cs="Calibri"/>
                <w:color w:val="000000"/>
              </w:rPr>
              <w:t>Anpassung aufgrund steigender Umsätze im Energiesektor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126.000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110.000</w:t>
            </w:r>
          </w:p>
        </w:tc>
      </w:tr>
    </w:tbl>
    <w:p w:rsidR="00C03D1E" w:rsidRDefault="00C03D1E" w:rsidP="00C03D1E"/>
    <w:p w:rsidR="00C03D1E" w:rsidRDefault="00C03D1E" w:rsidP="00C03D1E">
      <w:r>
        <w:t>Weitere Abweichungen ergaben sich aus Auflösungserträgen für Rückstellungen im vergangenen Jahr</w:t>
      </w:r>
    </w:p>
    <w:p w:rsidR="00C03D1E" w:rsidRDefault="00C03D1E" w:rsidP="00C03D1E">
      <w:pPr>
        <w:spacing w:after="160" w:line="259" w:lineRule="auto"/>
        <w:jc w:val="left"/>
      </w:pPr>
      <w:r>
        <w:br w:type="page"/>
      </w:r>
    </w:p>
    <w:p w:rsidR="0015474A" w:rsidRPr="00C03D1E" w:rsidRDefault="0015474A" w:rsidP="00C03D1E"/>
    <w:sectPr w:rsidR="0015474A" w:rsidRPr="00C03D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15474A"/>
    <w:rsid w:val="00C03D1E"/>
    <w:rsid w:val="00D36551"/>
    <w:rsid w:val="00D92536"/>
    <w:rsid w:val="00E002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758</Words>
  <Characters>4779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Dz</dc:creator>
  <cp:lastModifiedBy>Michael Dz</cp:lastModifiedBy>
  <cp:revision>2</cp:revision>
  <dcterms:created xsi:type="dcterms:W3CDTF">2023-04-19T07:55:00Z</dcterms:created>
  <dcterms:modified xsi:type="dcterms:W3CDTF">2023-04-19T07:55:00Z</dcterms:modified>
</cp:coreProperties>
</file>