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1E" w:rsidRDefault="00C03D1E" w:rsidP="00C03D1E">
      <w:pPr>
        <w:pStyle w:val="berschrift2"/>
      </w:pPr>
      <w:r>
        <w:t>4.2 Erträge</w:t>
      </w:r>
    </w:p>
    <w:p w:rsidR="00C03D1E" w:rsidRDefault="00C03D1E" w:rsidP="00C03D1E">
      <w:pPr>
        <w:pStyle w:val="berschrift2"/>
      </w:pPr>
      <w:r>
        <w:t xml:space="preserve">4.2.1 </w:t>
      </w:r>
      <w:r w:rsidRPr="00C03D1E">
        <w:t>Steuern</w:t>
      </w:r>
      <w:r>
        <w:t xml:space="preserve"> und allgemeine Finanzen</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3"/>
        <w:gridCol w:w="5084"/>
        <w:gridCol w:w="1265"/>
        <w:gridCol w:w="1130"/>
      </w:tblGrid>
      <w:tr w:rsidR="00C03D1E" w:rsidRPr="00506940" w:rsidTr="00611E5B">
        <w:trPr>
          <w:trHeight w:val="300"/>
        </w:trPr>
        <w:tc>
          <w:tcPr>
            <w:tcW w:w="1735" w:type="dxa"/>
            <w:tcBorders>
              <w:top w:val="single" w:sz="4" w:space="0" w:color="auto"/>
              <w:bottom w:val="single" w:sz="4" w:space="0" w:color="auto"/>
            </w:tcBorders>
            <w:shd w:val="clear" w:color="auto" w:fill="auto"/>
            <w:noWrap/>
            <w:hideMark/>
          </w:tcPr>
          <w:p w:rsidR="00C03D1E" w:rsidRPr="004A416B" w:rsidRDefault="00C03D1E" w:rsidP="002C256C">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9" w:type="dxa"/>
            <w:tcBorders>
              <w:top w:val="single" w:sz="4" w:space="0" w:color="auto"/>
              <w:bottom w:val="single" w:sz="4" w:space="0" w:color="auto"/>
            </w:tcBorders>
            <w:shd w:val="clear" w:color="auto" w:fill="auto"/>
            <w:noWrap/>
            <w:hideMark/>
          </w:tcPr>
          <w:p w:rsidR="00C03D1E" w:rsidRPr="004A416B" w:rsidRDefault="00C03D1E" w:rsidP="002C256C">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1" w:type="dxa"/>
            <w:tcBorders>
              <w:top w:val="single" w:sz="4" w:space="0" w:color="auto"/>
              <w:bottom w:val="single" w:sz="4" w:space="0" w:color="auto"/>
            </w:tcBorders>
            <w:shd w:val="clear" w:color="auto" w:fill="auto"/>
            <w:noWrap/>
            <w:hideMark/>
          </w:tcPr>
          <w:p w:rsidR="00C03D1E"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1339A" w:rsidRPr="004A416B" w:rsidRDefault="0071339A" w:rsidP="0071339A">
            <w:pPr>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27" w:type="dxa"/>
            <w:tcBorders>
              <w:top w:val="single" w:sz="4" w:space="0" w:color="auto"/>
              <w:bottom w:val="single" w:sz="4" w:space="0" w:color="auto"/>
            </w:tcBorders>
            <w:shd w:val="clear" w:color="auto" w:fill="auto"/>
            <w:noWrap/>
            <w:hideMark/>
          </w:tcPr>
          <w:p w:rsidR="00C03D1E" w:rsidRPr="004A416B"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sidR="0071339A">
              <w:rPr>
                <w:rFonts w:eastAsia="Times New Roman" w:cs="Arial"/>
                <w:color w:val="000000"/>
                <w:lang w:eastAsia="de-DE"/>
              </w:rPr>
              <w:t>{{hhj-1}}</w:t>
            </w:r>
          </w:p>
        </w:tc>
      </w:tr>
      <w:tr w:rsidR="00611E5B" w:rsidRPr="00611E5B" w:rsidTr="00F96E13">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611E5B" w:rsidRPr="00611E5B" w:rsidRDefault="00611E5B" w:rsidP="00C611C4">
            <w:pPr>
              <w:spacing w:after="0"/>
              <w:jc w:val="left"/>
              <w:rPr>
                <w:rFonts w:eastAsia="Times New Roman" w:cs="Arial"/>
                <w:color w:val="000000"/>
                <w:lang w:val="en-US" w:eastAsia="de-DE"/>
              </w:rPr>
            </w:pPr>
            <w:r>
              <w:rPr>
                <w:b/>
                <w:bCs/>
                <w:lang w:val="en-US"/>
              </w:rPr>
              <w:t>{%</w:t>
            </w:r>
            <w:bookmarkStart w:id="0" w:name="_GoBack"/>
            <w:bookmarkEnd w:id="0"/>
            <w:proofErr w:type="spellStart"/>
            <w:r>
              <w:rPr>
                <w:b/>
                <w:bCs/>
                <w:lang w:val="en-US"/>
              </w:rPr>
              <w:t>tr</w:t>
            </w:r>
            <w:proofErr w:type="spellEnd"/>
            <w:r>
              <w:rPr>
                <w:b/>
                <w:bCs/>
                <w:lang w:val="en-US"/>
              </w:rPr>
              <w:t xml:space="preserve"> for item in </w:t>
            </w:r>
            <w:proofErr w:type="spellStart"/>
            <w:r>
              <w:rPr>
                <w:b/>
                <w:bCs/>
                <w:lang w:val="en-US"/>
              </w:rPr>
              <w:t>steuertbl</w:t>
            </w:r>
            <w:proofErr w:type="spellEnd"/>
            <w:r w:rsidR="00280B21">
              <w:rPr>
                <w:b/>
                <w:bCs/>
                <w:lang w:val="en-US"/>
              </w:rPr>
              <w:t xml:space="preserve"> </w:t>
            </w:r>
            <w:r>
              <w:rPr>
                <w:b/>
                <w:bCs/>
                <w:lang w:val="en-US"/>
              </w:rPr>
              <w:t>%}</w:t>
            </w: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w:t>
            </w: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w:t>
            </w: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left"/>
              <w:rPr>
                <w:rFonts w:eastAsia="Times New Roman" w:cs="Arial"/>
                <w:color w:val="000000"/>
                <w:lang w:val="en-US" w:eastAsia="de-DE"/>
              </w:rPr>
            </w:pP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item.erl</w:t>
            </w:r>
            <w:proofErr w:type="spellEnd"/>
            <w:r>
              <w:rPr>
                <w:rFonts w:eastAsia="Times New Roman" w:cs="Arial"/>
                <w:color w:val="000000"/>
                <w:lang w:val="en-US" w:eastAsia="de-DE"/>
              </w:rPr>
              <w:t xml:space="preserve"> }}</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r>
      <w:tr w:rsidR="00611E5B" w:rsidRPr="00611E5B" w:rsidTr="00F30964">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611E5B" w:rsidRPr="00611E5B" w:rsidRDefault="00611E5B" w:rsidP="00280B21">
            <w:pPr>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C03D1E" w:rsidRPr="00611E5B" w:rsidTr="00611E5B">
        <w:trPr>
          <w:trHeight w:val="85"/>
        </w:trPr>
        <w:tc>
          <w:tcPr>
            <w:tcW w:w="1735" w:type="dxa"/>
            <w:tcBorders>
              <w:top w:val="single" w:sz="4" w:space="0" w:color="D9D9D9" w:themeColor="background1" w:themeShade="D9"/>
              <w:bottom w:val="nil"/>
            </w:tcBorders>
            <w:shd w:val="clear" w:color="auto" w:fill="auto"/>
            <w:noWrap/>
            <w:vAlign w:val="bottom"/>
          </w:tcPr>
          <w:p w:rsidR="00C03D1E" w:rsidRPr="00611E5B" w:rsidRDefault="00C03D1E" w:rsidP="002C256C">
            <w:pPr>
              <w:spacing w:after="0"/>
              <w:jc w:val="left"/>
              <w:rPr>
                <w:rFonts w:eastAsia="Times New Roman" w:cs="Arial"/>
                <w:color w:val="000000"/>
                <w:sz w:val="2"/>
                <w:szCs w:val="2"/>
                <w:lang w:val="en-US" w:eastAsia="de-DE"/>
              </w:rPr>
            </w:pPr>
          </w:p>
        </w:tc>
        <w:tc>
          <w:tcPr>
            <w:tcW w:w="5089" w:type="dxa"/>
            <w:tcBorders>
              <w:top w:val="single" w:sz="4" w:space="0" w:color="D9D9D9" w:themeColor="background1" w:themeShade="D9"/>
              <w:bottom w:val="nil"/>
            </w:tcBorders>
            <w:shd w:val="clear" w:color="auto" w:fill="auto"/>
            <w:noWrap/>
            <w:vAlign w:val="bottom"/>
          </w:tcPr>
          <w:p w:rsidR="00C03D1E" w:rsidRPr="00611E5B" w:rsidRDefault="00C03D1E" w:rsidP="002C256C">
            <w:pPr>
              <w:spacing w:after="0"/>
              <w:jc w:val="left"/>
              <w:rPr>
                <w:rFonts w:eastAsia="Times New Roman" w:cs="Arial"/>
                <w:color w:val="000000"/>
                <w:sz w:val="2"/>
                <w:szCs w:val="2"/>
                <w:lang w:val="en-US" w:eastAsia="de-DE"/>
              </w:rPr>
            </w:pPr>
          </w:p>
        </w:tc>
        <w:tc>
          <w:tcPr>
            <w:tcW w:w="1261" w:type="dxa"/>
            <w:tcBorders>
              <w:top w:val="single" w:sz="4" w:space="0" w:color="D9D9D9" w:themeColor="background1" w:themeShade="D9"/>
              <w:bottom w:val="nil"/>
            </w:tcBorders>
            <w:shd w:val="clear" w:color="auto" w:fill="auto"/>
            <w:noWrap/>
            <w:vAlign w:val="bottom"/>
          </w:tcPr>
          <w:p w:rsidR="00C03D1E" w:rsidRPr="00611E5B" w:rsidRDefault="00C03D1E" w:rsidP="002C256C">
            <w:pPr>
              <w:spacing w:after="0"/>
              <w:jc w:val="right"/>
              <w:rPr>
                <w:rFonts w:eastAsia="Times New Roman" w:cs="Arial"/>
                <w:color w:val="000000"/>
                <w:sz w:val="2"/>
                <w:szCs w:val="2"/>
                <w:lang w:val="en-US" w:eastAsia="de-DE"/>
              </w:rPr>
            </w:pPr>
          </w:p>
        </w:tc>
        <w:tc>
          <w:tcPr>
            <w:tcW w:w="1127" w:type="dxa"/>
            <w:tcBorders>
              <w:top w:val="single" w:sz="4" w:space="0" w:color="D9D9D9" w:themeColor="background1" w:themeShade="D9"/>
              <w:bottom w:val="nil"/>
            </w:tcBorders>
            <w:shd w:val="clear" w:color="auto" w:fill="auto"/>
            <w:noWrap/>
            <w:vAlign w:val="bottom"/>
          </w:tcPr>
          <w:p w:rsidR="00C03D1E" w:rsidRPr="00611E5B" w:rsidRDefault="00C03D1E" w:rsidP="002C256C">
            <w:pPr>
              <w:spacing w:after="0"/>
              <w:jc w:val="right"/>
              <w:rPr>
                <w:rFonts w:eastAsia="Times New Roman" w:cs="Arial"/>
                <w:color w:val="000000"/>
                <w:sz w:val="2"/>
                <w:szCs w:val="2"/>
                <w:lang w:val="en-US" w:eastAsia="de-DE"/>
              </w:rPr>
            </w:pPr>
          </w:p>
        </w:tc>
      </w:tr>
      <w:tr w:rsidR="00C03D1E" w:rsidRPr="00611E5B" w:rsidTr="00611E5B">
        <w:trPr>
          <w:trHeight w:val="70"/>
        </w:trPr>
        <w:tc>
          <w:tcPr>
            <w:tcW w:w="1735" w:type="dxa"/>
            <w:tcBorders>
              <w:top w:val="nil"/>
            </w:tcBorders>
            <w:shd w:val="clear" w:color="auto" w:fill="auto"/>
            <w:noWrap/>
            <w:vAlign w:val="bottom"/>
          </w:tcPr>
          <w:p w:rsidR="00C03D1E" w:rsidRPr="00611E5B" w:rsidRDefault="00C03D1E" w:rsidP="002C256C">
            <w:pPr>
              <w:spacing w:after="0"/>
              <w:jc w:val="left"/>
              <w:rPr>
                <w:rFonts w:eastAsia="Times New Roman" w:cs="Arial"/>
                <w:color w:val="000000"/>
                <w:sz w:val="2"/>
                <w:szCs w:val="2"/>
                <w:lang w:val="en-US" w:eastAsia="de-DE"/>
              </w:rPr>
            </w:pPr>
          </w:p>
        </w:tc>
        <w:tc>
          <w:tcPr>
            <w:tcW w:w="5089" w:type="dxa"/>
            <w:tcBorders>
              <w:top w:val="nil"/>
            </w:tcBorders>
            <w:shd w:val="clear" w:color="auto" w:fill="auto"/>
            <w:noWrap/>
            <w:vAlign w:val="bottom"/>
          </w:tcPr>
          <w:p w:rsidR="00C03D1E" w:rsidRPr="00611E5B" w:rsidRDefault="00C03D1E" w:rsidP="002C256C">
            <w:pPr>
              <w:spacing w:after="0"/>
              <w:jc w:val="left"/>
              <w:rPr>
                <w:rFonts w:eastAsia="Times New Roman" w:cs="Arial"/>
                <w:color w:val="000000"/>
                <w:sz w:val="2"/>
                <w:szCs w:val="2"/>
                <w:lang w:val="en-US" w:eastAsia="de-DE"/>
              </w:rPr>
            </w:pPr>
          </w:p>
        </w:tc>
        <w:tc>
          <w:tcPr>
            <w:tcW w:w="1261" w:type="dxa"/>
            <w:tcBorders>
              <w:top w:val="nil"/>
            </w:tcBorders>
            <w:shd w:val="clear" w:color="auto" w:fill="auto"/>
            <w:noWrap/>
            <w:vAlign w:val="bottom"/>
          </w:tcPr>
          <w:p w:rsidR="00C03D1E" w:rsidRPr="00611E5B" w:rsidRDefault="00C03D1E" w:rsidP="002C256C">
            <w:pPr>
              <w:spacing w:after="0"/>
              <w:jc w:val="right"/>
              <w:rPr>
                <w:rFonts w:eastAsia="Times New Roman" w:cs="Arial"/>
                <w:color w:val="000000"/>
                <w:sz w:val="2"/>
                <w:szCs w:val="2"/>
                <w:lang w:val="en-US" w:eastAsia="de-DE"/>
              </w:rPr>
            </w:pPr>
          </w:p>
        </w:tc>
        <w:tc>
          <w:tcPr>
            <w:tcW w:w="1127" w:type="dxa"/>
            <w:tcBorders>
              <w:top w:val="nil"/>
            </w:tcBorders>
            <w:shd w:val="clear" w:color="auto" w:fill="auto"/>
            <w:noWrap/>
            <w:vAlign w:val="bottom"/>
          </w:tcPr>
          <w:p w:rsidR="00C03D1E" w:rsidRPr="00611E5B" w:rsidRDefault="00C03D1E" w:rsidP="002C256C">
            <w:pPr>
              <w:spacing w:after="0"/>
              <w:jc w:val="right"/>
              <w:rPr>
                <w:rFonts w:eastAsia="Times New Roman" w:cs="Arial"/>
                <w:color w:val="000000"/>
                <w:sz w:val="2"/>
                <w:szCs w:val="2"/>
                <w:lang w:val="en-US" w:eastAsia="de-DE"/>
              </w:rPr>
            </w:pPr>
          </w:p>
        </w:tc>
      </w:tr>
    </w:tbl>
    <w:p w:rsidR="00C03D1E" w:rsidRPr="00611E5B" w:rsidRDefault="00C03D1E" w:rsidP="00C03D1E">
      <w:pPr>
        <w:rPr>
          <w:lang w:val="en-US"/>
        </w:rPr>
      </w:pPr>
    </w:p>
    <w:p w:rsidR="00C03D1E" w:rsidRPr="00DB26D9" w:rsidRDefault="00C03D1E" w:rsidP="00C03D1E">
      <w:pPr>
        <w:rPr>
          <w:u w:val="single"/>
        </w:rPr>
      </w:pPr>
      <w:r>
        <w:rPr>
          <w:u w:val="single"/>
        </w:rPr>
        <w:t>Steuern</w:t>
      </w:r>
    </w:p>
    <w:p w:rsidR="00C03D1E" w:rsidRDefault="00C03D1E" w:rsidP="00C03D1E">
      <w:r>
        <w:t xml:space="preserve">Grundlage für die Schätzung der Ansätze für die allgemeine Finanzwirtschaft sind die Ergebnisse der </w:t>
      </w:r>
      <w:proofErr w:type="spellStart"/>
      <w:r>
        <w:t>regionalisierten</w:t>
      </w:r>
      <w:proofErr w:type="spellEnd"/>
      <w:r>
        <w:t xml:space="preserve"> Steuerschätzung des Arbeitskreises Steuerschätzung beim Bundesfinanzministerium. Auf der Basis dieser Ermittlungen sowie den Steuerfestsetzungen der Vorjahre wird eine Schätzung unter Einbeziehung der Hebesätze vorgenommen.</w:t>
      </w:r>
    </w:p>
    <w:p w:rsidR="000B0F32" w:rsidRDefault="000B0F32" w:rsidP="00C03D1E"/>
    <w:p w:rsidR="000B0F32" w:rsidRDefault="000B0F32" w:rsidP="00C03D1E">
      <w:r>
        <w:t>Die Steuererträge entwickelten sich in den vergangenen Jahren wie folgt:</w:t>
      </w:r>
    </w:p>
    <w:p w:rsidR="000B0F32" w:rsidRDefault="000B0F32" w:rsidP="00C03D1E"/>
    <w:p w:rsidR="00C03D1E" w:rsidRDefault="00C03D1E" w:rsidP="00C03D1E">
      <w:pPr>
        <w:rPr>
          <w:u w:val="single"/>
        </w:rPr>
      </w:pPr>
    </w:p>
    <w:p w:rsidR="00C03D1E" w:rsidRPr="00DB26D9" w:rsidRDefault="00C03D1E" w:rsidP="00C03D1E">
      <w:pPr>
        <w:rPr>
          <w:u w:val="single"/>
        </w:rPr>
      </w:pPr>
      <w:r>
        <w:rPr>
          <w:u w:val="single"/>
        </w:rPr>
        <w:t>Steuerkraft</w:t>
      </w:r>
    </w:p>
    <w:p w:rsidR="00C03D1E" w:rsidRDefault="00C03D1E" w:rsidP="00C03D1E">
      <w:r>
        <w:t>Die Steuerkraft ist eine der wesentlichen Ermittlungsgrundlagen im kommunalen Finanzausgleich des Landes Rheinland-Pfalz. Die Berechnung der Steuerkraft erfolgt durch Nivellierung der Realsteuer-</w:t>
      </w:r>
      <w:proofErr w:type="spellStart"/>
      <w:r>
        <w:t>Isteinnahmen</w:t>
      </w:r>
      <w:proofErr w:type="spellEnd"/>
      <w:r>
        <w:t xml:space="preserve"> auf einen landeseinheitlichen Hebesatz (Nivellierungssatz). </w:t>
      </w:r>
    </w:p>
    <w:tbl>
      <w:tblPr>
        <w:tblW w:w="9346" w:type="dxa"/>
        <w:tblLayout w:type="fixed"/>
        <w:tblCellMar>
          <w:left w:w="70" w:type="dxa"/>
          <w:right w:w="70" w:type="dxa"/>
        </w:tblCellMar>
        <w:tblLook w:val="04A0" w:firstRow="1" w:lastRow="0" w:firstColumn="1" w:lastColumn="0" w:noHBand="0" w:noVBand="1"/>
      </w:tblPr>
      <w:tblGrid>
        <w:gridCol w:w="1585"/>
        <w:gridCol w:w="1666"/>
        <w:gridCol w:w="1559"/>
        <w:gridCol w:w="1559"/>
        <w:gridCol w:w="760"/>
        <w:gridCol w:w="825"/>
        <w:gridCol w:w="1392"/>
      </w:tblGrid>
      <w:tr w:rsidR="00C03D1E" w:rsidRPr="00104855" w:rsidTr="002C256C">
        <w:trPr>
          <w:trHeight w:val="315"/>
        </w:trPr>
        <w:tc>
          <w:tcPr>
            <w:tcW w:w="6369" w:type="dxa"/>
            <w:gridSpan w:val="4"/>
            <w:tcBorders>
              <w:top w:val="single" w:sz="8" w:space="0" w:color="auto"/>
              <w:left w:val="single" w:sz="8" w:space="0" w:color="auto"/>
              <w:bottom w:val="single" w:sz="8" w:space="0" w:color="auto"/>
              <w:right w:val="single" w:sz="8" w:space="0" w:color="000000"/>
            </w:tcBorders>
            <w:shd w:val="clear" w:color="000000" w:fill="F2F2F2"/>
            <w:vAlign w:val="center"/>
            <w:hideMark/>
          </w:tcPr>
          <w:p w:rsidR="00C03D1E" w:rsidRPr="00104855" w:rsidRDefault="00C03D1E" w:rsidP="002C256C">
            <w:pPr>
              <w:spacing w:after="0"/>
              <w:jc w:val="center"/>
              <w:rPr>
                <w:rFonts w:eastAsia="Times New Roman" w:cs="Arial"/>
                <w:b/>
                <w:bCs/>
                <w:sz w:val="20"/>
                <w:szCs w:val="20"/>
                <w:lang w:eastAsia="de-DE"/>
              </w:rPr>
            </w:pPr>
            <w:r w:rsidRPr="00104855">
              <w:rPr>
                <w:rFonts w:eastAsia="Times New Roman" w:cs="Arial"/>
                <w:b/>
                <w:bCs/>
                <w:sz w:val="20"/>
                <w:szCs w:val="20"/>
                <w:lang w:eastAsia="de-DE"/>
              </w:rPr>
              <w:t>Realsteuern</w:t>
            </w:r>
          </w:p>
        </w:tc>
        <w:tc>
          <w:tcPr>
            <w:tcW w:w="2977" w:type="dxa"/>
            <w:gridSpan w:val="3"/>
            <w:tcBorders>
              <w:top w:val="single" w:sz="8" w:space="0" w:color="auto"/>
              <w:left w:val="nil"/>
              <w:bottom w:val="single" w:sz="8" w:space="0" w:color="auto"/>
              <w:right w:val="single" w:sz="8" w:space="0" w:color="000000"/>
            </w:tcBorders>
            <w:shd w:val="clear" w:color="000000" w:fill="F2F2F2"/>
            <w:vAlign w:val="bottom"/>
            <w:hideMark/>
          </w:tcPr>
          <w:p w:rsidR="00C03D1E" w:rsidRPr="00104855" w:rsidRDefault="00C03D1E" w:rsidP="002C256C">
            <w:pPr>
              <w:spacing w:after="0"/>
              <w:jc w:val="center"/>
              <w:rPr>
                <w:rFonts w:ascii="Calibri" w:eastAsia="Times New Roman" w:hAnsi="Calibri" w:cs="Calibri"/>
                <w:b/>
                <w:bCs/>
                <w:color w:val="000000"/>
                <w:lang w:eastAsia="de-DE"/>
              </w:rPr>
            </w:pPr>
            <w:r w:rsidRPr="00104855">
              <w:rPr>
                <w:rFonts w:ascii="Calibri" w:eastAsia="Times New Roman" w:hAnsi="Calibri" w:cs="Calibri"/>
                <w:b/>
                <w:bCs/>
                <w:color w:val="000000"/>
                <w:lang w:eastAsia="de-DE"/>
              </w:rPr>
              <w:t>Gemeinschaftssteuern</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 </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Grundsteuer A</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Grundsteuer B</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Gewerbesteuer</w:t>
            </w:r>
          </w:p>
        </w:tc>
        <w:tc>
          <w:tcPr>
            <w:tcW w:w="2977" w:type="dxa"/>
            <w:gridSpan w:val="3"/>
            <w:tcBorders>
              <w:top w:val="single" w:sz="8" w:space="0" w:color="auto"/>
              <w:left w:val="nil"/>
              <w:bottom w:val="nil"/>
              <w:right w:val="single" w:sz="8" w:space="0" w:color="000000"/>
            </w:tcBorders>
            <w:shd w:val="clear" w:color="auto" w:fill="auto"/>
            <w:noWrap/>
            <w:vAlign w:val="bottom"/>
            <w:hideMark/>
          </w:tcPr>
          <w:p w:rsidR="00C03D1E" w:rsidRPr="00104855" w:rsidRDefault="00C03D1E" w:rsidP="002C256C">
            <w:pPr>
              <w:spacing w:after="0"/>
              <w:jc w:val="center"/>
              <w:rPr>
                <w:rFonts w:eastAsia="Times New Roman" w:cs="Arial"/>
                <w:b/>
                <w:bCs/>
                <w:sz w:val="18"/>
                <w:szCs w:val="18"/>
                <w:lang w:eastAsia="de-DE"/>
              </w:rPr>
            </w:pPr>
            <w:r w:rsidRPr="00104855">
              <w:rPr>
                <w:rFonts w:eastAsia="Times New Roman" w:cs="Arial"/>
                <w:b/>
                <w:bCs/>
                <w:sz w:val="18"/>
                <w:szCs w:val="18"/>
                <w:lang w:eastAsia="de-DE"/>
              </w:rPr>
              <w:t>Einkommensteuer</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IV. Quartal VVJ</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322,92</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136.805,07</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181.213,85</w:t>
            </w:r>
          </w:p>
        </w:tc>
        <w:tc>
          <w:tcPr>
            <w:tcW w:w="1585" w:type="dxa"/>
            <w:gridSpan w:val="2"/>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558.648,80</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4"/>
                <w:szCs w:val="14"/>
                <w:lang w:eastAsia="de-DE"/>
              </w:rPr>
            </w:pPr>
            <w:r w:rsidRPr="00104855">
              <w:rPr>
                <w:rFonts w:eastAsia="Times New Roman" w:cs="Arial"/>
                <w:sz w:val="14"/>
                <w:szCs w:val="14"/>
                <w:lang w:eastAsia="de-DE"/>
              </w:rPr>
              <w:t>Bereinigung</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0,00</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0,00</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0,00</w:t>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1.557.129,22</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4"/>
                <w:szCs w:val="14"/>
                <w:lang w:eastAsia="de-DE"/>
              </w:rPr>
            </w:pPr>
            <w:r w:rsidRPr="00104855">
              <w:rPr>
                <w:rFonts w:eastAsia="Times New Roman" w:cs="Arial"/>
                <w:sz w:val="14"/>
                <w:szCs w:val="14"/>
                <w:lang w:eastAsia="de-DE"/>
              </w:rPr>
              <w:t>Hebesatz</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380%</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400%</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420%</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hideMark/>
          </w:tcPr>
          <w:p w:rsidR="00C03D1E" w:rsidRPr="00104855" w:rsidRDefault="00C03D1E"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hideMark/>
          </w:tcPr>
          <w:p w:rsidR="00C03D1E" w:rsidRPr="00104855" w:rsidRDefault="00C03D1E" w:rsidP="002C256C">
            <w:pPr>
              <w:spacing w:after="0"/>
              <w:jc w:val="right"/>
              <w:rPr>
                <w:rFonts w:eastAsia="Times New Roman" w:cs="Arial"/>
                <w:b/>
                <w:bCs/>
                <w:sz w:val="20"/>
                <w:szCs w:val="20"/>
                <w:lang w:eastAsia="de-DE"/>
              </w:rPr>
            </w:pPr>
            <w:r w:rsidRPr="00104855">
              <w:rPr>
                <w:rFonts w:eastAsia="Times New Roman" w:cs="Arial"/>
                <w:b/>
                <w:bCs/>
                <w:sz w:val="20"/>
                <w:szCs w:val="20"/>
                <w:lang w:eastAsia="de-DE"/>
              </w:rPr>
              <w:t>2.115.778</w:t>
            </w:r>
          </w:p>
        </w:tc>
      </w:tr>
      <w:tr w:rsidR="00C03D1E" w:rsidRPr="00104855" w:rsidTr="002C256C">
        <w:trPr>
          <w:trHeight w:val="300"/>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Grundzahl I</w:t>
            </w:r>
          </w:p>
        </w:tc>
        <w:tc>
          <w:tcPr>
            <w:tcW w:w="1666" w:type="dxa"/>
            <w:tcBorders>
              <w:top w:val="single" w:sz="4" w:space="0" w:color="auto"/>
              <w:left w:val="nil"/>
              <w:bottom w:val="single" w:sz="4" w:space="0" w:color="auto"/>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85,00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34.201,00</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43.146,00</w:t>
            </w:r>
          </w:p>
        </w:tc>
        <w:tc>
          <w:tcPr>
            <w:tcW w:w="2977" w:type="dxa"/>
            <w:gridSpan w:val="3"/>
            <w:tcBorders>
              <w:top w:val="single" w:sz="4" w:space="0" w:color="auto"/>
              <w:left w:val="nil"/>
              <w:bottom w:val="nil"/>
              <w:right w:val="single" w:sz="8" w:space="0" w:color="000000"/>
            </w:tcBorders>
            <w:shd w:val="clear" w:color="auto" w:fill="auto"/>
            <w:noWrap/>
            <w:vAlign w:val="bottom"/>
            <w:hideMark/>
          </w:tcPr>
          <w:p w:rsidR="00C03D1E" w:rsidRPr="00104855" w:rsidRDefault="00C03D1E" w:rsidP="002C256C">
            <w:pPr>
              <w:spacing w:after="0"/>
              <w:jc w:val="center"/>
              <w:rPr>
                <w:rFonts w:eastAsia="Times New Roman" w:cs="Arial"/>
                <w:b/>
                <w:bCs/>
                <w:sz w:val="18"/>
                <w:szCs w:val="18"/>
                <w:lang w:eastAsia="de-DE"/>
              </w:rPr>
            </w:pPr>
            <w:r w:rsidRPr="00104855">
              <w:rPr>
                <w:rFonts w:eastAsia="Times New Roman" w:cs="Arial"/>
                <w:b/>
                <w:bCs/>
                <w:sz w:val="18"/>
                <w:szCs w:val="18"/>
                <w:lang w:eastAsia="de-DE"/>
              </w:rPr>
              <w:t>Umsatzsteuer</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 - III Quart VJ</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2.356,01</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449.362,09</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345%</w:t>
            </w:r>
          </w:p>
        </w:tc>
        <w:tc>
          <w:tcPr>
            <w:tcW w:w="1585" w:type="dxa"/>
            <w:gridSpan w:val="2"/>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80.908,12</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4"/>
                <w:szCs w:val="14"/>
                <w:lang w:eastAsia="de-DE"/>
              </w:rPr>
            </w:pPr>
            <w:r w:rsidRPr="00104855">
              <w:rPr>
                <w:rFonts w:eastAsia="Times New Roman" w:cs="Arial"/>
                <w:sz w:val="14"/>
                <w:szCs w:val="14"/>
                <w:lang w:eastAsia="de-DE"/>
              </w:rPr>
              <w:t>Bereinigung</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0,00</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0,00</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1.234.423,63</w:t>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202.706,25</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4"/>
                <w:szCs w:val="14"/>
                <w:lang w:eastAsia="de-DE"/>
              </w:rPr>
            </w:pPr>
            <w:r w:rsidRPr="00104855">
              <w:rPr>
                <w:rFonts w:eastAsia="Times New Roman" w:cs="Arial"/>
                <w:sz w:val="14"/>
                <w:szCs w:val="14"/>
                <w:lang w:eastAsia="de-DE"/>
              </w:rPr>
              <w:t>Hebesatz</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380%</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400%</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0,00</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hideMark/>
          </w:tcPr>
          <w:p w:rsidR="00C03D1E" w:rsidRPr="00104855" w:rsidRDefault="00C03D1E"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hideMark/>
          </w:tcPr>
          <w:p w:rsidR="00C03D1E" w:rsidRPr="00104855" w:rsidRDefault="00C03D1E" w:rsidP="002C256C">
            <w:pPr>
              <w:spacing w:after="0"/>
              <w:jc w:val="right"/>
              <w:rPr>
                <w:rFonts w:eastAsia="Times New Roman" w:cs="Arial"/>
                <w:b/>
                <w:bCs/>
                <w:sz w:val="20"/>
                <w:szCs w:val="20"/>
                <w:lang w:eastAsia="de-DE"/>
              </w:rPr>
            </w:pPr>
            <w:r w:rsidRPr="00104855">
              <w:rPr>
                <w:rFonts w:eastAsia="Times New Roman" w:cs="Arial"/>
                <w:b/>
                <w:bCs/>
                <w:sz w:val="20"/>
                <w:szCs w:val="20"/>
                <w:lang w:eastAsia="de-DE"/>
              </w:rPr>
              <w:t>283.614</w:t>
            </w:r>
          </w:p>
        </w:tc>
      </w:tr>
      <w:tr w:rsidR="00C03D1E" w:rsidRPr="00104855" w:rsidTr="002C256C">
        <w:trPr>
          <w:trHeight w:val="358"/>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Grundzahl II</w:t>
            </w:r>
          </w:p>
        </w:tc>
        <w:tc>
          <w:tcPr>
            <w:tcW w:w="1666" w:type="dxa"/>
            <w:tcBorders>
              <w:top w:val="single" w:sz="4" w:space="0" w:color="auto"/>
              <w:left w:val="nil"/>
              <w:bottom w:val="single" w:sz="4" w:space="0" w:color="auto"/>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620,00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112.341,00</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420%</w:t>
            </w:r>
          </w:p>
        </w:tc>
        <w:tc>
          <w:tcPr>
            <w:tcW w:w="2977" w:type="dxa"/>
            <w:gridSpan w:val="3"/>
            <w:tcBorders>
              <w:top w:val="single" w:sz="4" w:space="0" w:color="auto"/>
              <w:left w:val="nil"/>
              <w:bottom w:val="nil"/>
              <w:right w:val="single" w:sz="8" w:space="0" w:color="000000"/>
            </w:tcBorders>
            <w:shd w:val="clear" w:color="auto" w:fill="auto"/>
            <w:vAlign w:val="bottom"/>
            <w:hideMark/>
          </w:tcPr>
          <w:p w:rsidR="00C03D1E" w:rsidRPr="00104855" w:rsidRDefault="00C03D1E" w:rsidP="002C256C">
            <w:pPr>
              <w:spacing w:after="0"/>
              <w:jc w:val="center"/>
              <w:rPr>
                <w:rFonts w:eastAsia="Times New Roman" w:cs="Arial"/>
                <w:b/>
                <w:bCs/>
                <w:sz w:val="18"/>
                <w:szCs w:val="18"/>
                <w:lang w:eastAsia="de-DE"/>
              </w:rPr>
            </w:pPr>
            <w:proofErr w:type="spellStart"/>
            <w:r w:rsidRPr="00104855">
              <w:rPr>
                <w:rFonts w:eastAsia="Times New Roman" w:cs="Arial"/>
                <w:b/>
                <w:bCs/>
                <w:sz w:val="18"/>
                <w:szCs w:val="18"/>
                <w:lang w:eastAsia="de-DE"/>
              </w:rPr>
              <w:t>weitergel</w:t>
            </w:r>
            <w:proofErr w:type="spellEnd"/>
            <w:r w:rsidRPr="00104855">
              <w:rPr>
                <w:rFonts w:eastAsia="Times New Roman" w:cs="Arial"/>
                <w:b/>
                <w:bCs/>
                <w:sz w:val="18"/>
                <w:szCs w:val="18"/>
                <w:lang w:eastAsia="de-DE"/>
              </w:rPr>
              <w:t>. Umsatzsteuer-Mehreinnahmen</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4"/>
                <w:szCs w:val="14"/>
                <w:lang w:eastAsia="de-DE"/>
              </w:rPr>
            </w:pPr>
            <w:r w:rsidRPr="00104855">
              <w:rPr>
                <w:rFonts w:eastAsia="Times New Roman" w:cs="Arial"/>
                <w:sz w:val="14"/>
                <w:szCs w:val="14"/>
                <w:lang w:eastAsia="de-DE"/>
              </w:rPr>
              <w:t>(4) + (8)</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705,00</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146.542,00</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293.910,00</w:t>
            </w:r>
          </w:p>
        </w:tc>
        <w:tc>
          <w:tcPr>
            <w:tcW w:w="1585" w:type="dxa"/>
            <w:gridSpan w:val="2"/>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55.275,72</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4"/>
                <w:szCs w:val="14"/>
                <w:lang w:eastAsia="de-DE"/>
              </w:rPr>
            </w:pPr>
            <w:r w:rsidRPr="00104855">
              <w:rPr>
                <w:rFonts w:eastAsia="Times New Roman" w:cs="Arial"/>
                <w:sz w:val="14"/>
                <w:szCs w:val="14"/>
                <w:lang w:eastAsia="de-DE"/>
              </w:rPr>
              <w:t>Nivellierungssatz</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345%</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465%</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345%</w:t>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160.198,22</w:t>
            </w:r>
          </w:p>
        </w:tc>
      </w:tr>
      <w:tr w:rsidR="00C03D1E" w:rsidRPr="00104855" w:rsidTr="002C256C">
        <w:trPr>
          <w:trHeight w:val="315"/>
        </w:trPr>
        <w:tc>
          <w:tcPr>
            <w:tcW w:w="1585" w:type="dxa"/>
            <w:tcBorders>
              <w:top w:val="single" w:sz="4" w:space="0" w:color="auto"/>
              <w:left w:val="single" w:sz="8" w:space="0" w:color="auto"/>
              <w:bottom w:val="single" w:sz="8" w:space="0" w:color="auto"/>
              <w:right w:val="single" w:sz="8" w:space="0" w:color="auto"/>
            </w:tcBorders>
            <w:shd w:val="clear" w:color="000000" w:fill="F2F2F2"/>
            <w:noWrap/>
            <w:vAlign w:val="bottom"/>
            <w:hideMark/>
          </w:tcPr>
          <w:p w:rsidR="00C03D1E" w:rsidRPr="00104855" w:rsidRDefault="00C03D1E"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666" w:type="dxa"/>
            <w:tcBorders>
              <w:top w:val="single" w:sz="4" w:space="0" w:color="auto"/>
              <w:left w:val="nil"/>
              <w:bottom w:val="single" w:sz="8" w:space="0" w:color="auto"/>
              <w:right w:val="single" w:sz="4" w:space="0" w:color="auto"/>
            </w:tcBorders>
            <w:shd w:val="clear" w:color="000000" w:fill="F2F2F2"/>
            <w:noWrap/>
            <w:vAlign w:val="bottom"/>
            <w:hideMark/>
          </w:tcPr>
          <w:p w:rsidR="00C03D1E" w:rsidRPr="00104855" w:rsidRDefault="00C03D1E" w:rsidP="002C256C">
            <w:pPr>
              <w:spacing w:after="0"/>
              <w:jc w:val="right"/>
              <w:rPr>
                <w:rFonts w:eastAsia="Times New Roman" w:cs="Arial"/>
                <w:b/>
                <w:bCs/>
                <w:sz w:val="20"/>
                <w:szCs w:val="20"/>
                <w:lang w:eastAsia="de-DE"/>
              </w:rPr>
            </w:pPr>
            <w:r w:rsidRPr="00104855">
              <w:rPr>
                <w:rFonts w:eastAsia="Times New Roman" w:cs="Arial"/>
                <w:b/>
                <w:bCs/>
                <w:sz w:val="20"/>
                <w:szCs w:val="20"/>
                <w:lang w:eastAsia="de-DE"/>
              </w:rPr>
              <w:t>2.432</w:t>
            </w:r>
          </w:p>
        </w:tc>
        <w:tc>
          <w:tcPr>
            <w:tcW w:w="1559" w:type="dxa"/>
            <w:tcBorders>
              <w:top w:val="single" w:sz="4" w:space="0" w:color="auto"/>
              <w:left w:val="nil"/>
              <w:bottom w:val="single" w:sz="8" w:space="0" w:color="auto"/>
              <w:right w:val="single" w:sz="4" w:space="0" w:color="auto"/>
            </w:tcBorders>
            <w:shd w:val="clear" w:color="000000" w:fill="F2F2F2"/>
            <w:noWrap/>
            <w:vAlign w:val="bottom"/>
            <w:hideMark/>
          </w:tcPr>
          <w:p w:rsidR="00C03D1E" w:rsidRPr="00104855" w:rsidRDefault="00C03D1E" w:rsidP="002C256C">
            <w:pPr>
              <w:spacing w:after="0"/>
              <w:jc w:val="right"/>
              <w:rPr>
                <w:rFonts w:eastAsia="Times New Roman" w:cs="Arial"/>
                <w:b/>
                <w:bCs/>
                <w:sz w:val="20"/>
                <w:szCs w:val="20"/>
                <w:lang w:eastAsia="de-DE"/>
              </w:rPr>
            </w:pPr>
            <w:r w:rsidRPr="00104855">
              <w:rPr>
                <w:rFonts w:eastAsia="Times New Roman" w:cs="Arial"/>
                <w:b/>
                <w:bCs/>
                <w:sz w:val="20"/>
                <w:szCs w:val="20"/>
                <w:lang w:eastAsia="de-DE"/>
              </w:rPr>
              <w:t>681.420</w:t>
            </w:r>
          </w:p>
        </w:tc>
        <w:tc>
          <w:tcPr>
            <w:tcW w:w="1559" w:type="dxa"/>
            <w:tcBorders>
              <w:top w:val="single" w:sz="4" w:space="0" w:color="auto"/>
              <w:left w:val="nil"/>
              <w:bottom w:val="single" w:sz="8" w:space="0" w:color="auto"/>
              <w:right w:val="single" w:sz="8" w:space="0" w:color="auto"/>
            </w:tcBorders>
            <w:shd w:val="clear" w:color="000000" w:fill="F2F2F2"/>
            <w:noWrap/>
            <w:vAlign w:val="bottom"/>
            <w:hideMark/>
          </w:tcPr>
          <w:p w:rsidR="00C03D1E" w:rsidRPr="00104855" w:rsidRDefault="00C03D1E" w:rsidP="002C256C">
            <w:pPr>
              <w:spacing w:after="0"/>
              <w:jc w:val="right"/>
              <w:rPr>
                <w:rFonts w:eastAsia="Times New Roman" w:cs="Arial"/>
                <w:b/>
                <w:bCs/>
                <w:sz w:val="20"/>
                <w:szCs w:val="20"/>
                <w:lang w:eastAsia="de-DE"/>
              </w:rPr>
            </w:pPr>
            <w:r w:rsidRPr="00104855">
              <w:rPr>
                <w:rFonts w:eastAsia="Times New Roman" w:cs="Arial"/>
                <w:b/>
                <w:bCs/>
                <w:sz w:val="20"/>
                <w:szCs w:val="20"/>
                <w:lang w:eastAsia="de-DE"/>
              </w:rPr>
              <w:t>1.162.844</w:t>
            </w:r>
          </w:p>
        </w:tc>
        <w:tc>
          <w:tcPr>
            <w:tcW w:w="1585" w:type="dxa"/>
            <w:gridSpan w:val="2"/>
            <w:tcBorders>
              <w:top w:val="nil"/>
              <w:left w:val="nil"/>
              <w:bottom w:val="single" w:sz="8" w:space="0" w:color="auto"/>
              <w:right w:val="single" w:sz="4" w:space="0" w:color="auto"/>
            </w:tcBorders>
            <w:shd w:val="clear" w:color="000000" w:fill="F2F2F2"/>
            <w:noWrap/>
            <w:vAlign w:val="bottom"/>
            <w:hideMark/>
          </w:tcPr>
          <w:p w:rsidR="00C03D1E" w:rsidRPr="00104855" w:rsidRDefault="00C03D1E"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8" w:space="0" w:color="auto"/>
              <w:right w:val="single" w:sz="8" w:space="0" w:color="auto"/>
            </w:tcBorders>
            <w:shd w:val="clear" w:color="000000" w:fill="F2F2F2"/>
            <w:noWrap/>
            <w:vAlign w:val="bottom"/>
            <w:hideMark/>
          </w:tcPr>
          <w:p w:rsidR="00C03D1E" w:rsidRPr="00104855" w:rsidRDefault="00C03D1E" w:rsidP="002C256C">
            <w:pPr>
              <w:spacing w:after="0"/>
              <w:jc w:val="right"/>
              <w:rPr>
                <w:rFonts w:eastAsia="Times New Roman" w:cs="Arial"/>
                <w:b/>
                <w:bCs/>
                <w:sz w:val="20"/>
                <w:szCs w:val="20"/>
                <w:lang w:eastAsia="de-DE"/>
              </w:rPr>
            </w:pPr>
            <w:r w:rsidRPr="00104855">
              <w:rPr>
                <w:rFonts w:eastAsia="Times New Roman" w:cs="Arial"/>
                <w:b/>
                <w:bCs/>
                <w:sz w:val="20"/>
                <w:szCs w:val="20"/>
                <w:lang w:eastAsia="de-DE"/>
              </w:rPr>
              <w:t>215.474</w:t>
            </w:r>
          </w:p>
        </w:tc>
      </w:tr>
      <w:tr w:rsidR="00C03D1E" w:rsidRPr="00104855" w:rsidTr="002C256C">
        <w:trPr>
          <w:trHeight w:val="363"/>
        </w:trPr>
        <w:tc>
          <w:tcPr>
            <w:tcW w:w="7129" w:type="dxa"/>
            <w:gridSpan w:val="5"/>
            <w:tcBorders>
              <w:top w:val="nil"/>
              <w:left w:val="single" w:sz="8" w:space="0" w:color="auto"/>
              <w:bottom w:val="single" w:sz="8" w:space="0" w:color="auto"/>
              <w:right w:val="single" w:sz="8" w:space="0" w:color="auto"/>
            </w:tcBorders>
            <w:shd w:val="clear" w:color="auto" w:fill="auto"/>
            <w:noWrap/>
            <w:vAlign w:val="center"/>
            <w:hideMark/>
          </w:tcPr>
          <w:p w:rsidR="00C03D1E" w:rsidRPr="00104855" w:rsidRDefault="00C03D1E" w:rsidP="002C256C">
            <w:pPr>
              <w:spacing w:after="0"/>
              <w:jc w:val="left"/>
              <w:rPr>
                <w:rFonts w:eastAsia="Times New Roman" w:cs="Arial"/>
                <w:lang w:eastAsia="de-DE"/>
              </w:rPr>
            </w:pPr>
            <w:r w:rsidRPr="00104855">
              <w:rPr>
                <w:rFonts w:eastAsia="Times New Roman" w:cs="Arial"/>
                <w:lang w:eastAsia="de-DE"/>
              </w:rPr>
              <w:t>Steuerkraftmesszahl der Ortsgemeinde (∑der Steuerkraftzahlen)</w:t>
            </w:r>
          </w:p>
        </w:tc>
        <w:tc>
          <w:tcPr>
            <w:tcW w:w="2217" w:type="dxa"/>
            <w:gridSpan w:val="2"/>
            <w:tcBorders>
              <w:top w:val="single" w:sz="8" w:space="0" w:color="auto"/>
              <w:left w:val="nil"/>
              <w:bottom w:val="single" w:sz="8" w:space="0" w:color="auto"/>
              <w:right w:val="single" w:sz="8" w:space="0" w:color="000000"/>
            </w:tcBorders>
            <w:shd w:val="clear" w:color="000000" w:fill="F2F2F2"/>
            <w:noWrap/>
            <w:vAlign w:val="center"/>
            <w:hideMark/>
          </w:tcPr>
          <w:p w:rsidR="00C03D1E" w:rsidRPr="00104855" w:rsidRDefault="00C03D1E" w:rsidP="002C256C">
            <w:pPr>
              <w:spacing w:after="0"/>
              <w:jc w:val="right"/>
              <w:rPr>
                <w:rFonts w:ascii="Calibri" w:eastAsia="Times New Roman" w:hAnsi="Calibri" w:cs="Calibri"/>
                <w:b/>
                <w:bCs/>
                <w:color w:val="000000"/>
                <w:sz w:val="28"/>
                <w:szCs w:val="28"/>
                <w:lang w:eastAsia="de-DE"/>
              </w:rPr>
            </w:pPr>
            <w:r w:rsidRPr="00104855">
              <w:rPr>
                <w:rFonts w:ascii="Calibri" w:eastAsia="Times New Roman" w:hAnsi="Calibri" w:cs="Calibri"/>
                <w:b/>
                <w:bCs/>
                <w:color w:val="000000"/>
                <w:sz w:val="28"/>
                <w:szCs w:val="28"/>
                <w:lang w:eastAsia="de-DE"/>
              </w:rPr>
              <w:t>4.461.562</w:t>
            </w:r>
          </w:p>
        </w:tc>
      </w:tr>
    </w:tbl>
    <w:p w:rsidR="00C03D1E" w:rsidRPr="00DB26D9" w:rsidRDefault="00C03D1E" w:rsidP="00C03D1E"/>
    <w:p w:rsidR="00C03D1E" w:rsidRDefault="00C03D1E" w:rsidP="00C03D1E">
      <w:pPr>
        <w:rPr>
          <w:u w:val="single"/>
        </w:rPr>
      </w:pPr>
      <w:r>
        <w:rPr>
          <w:u w:val="single"/>
        </w:rPr>
        <w:t>Schlüsselzuweisung A</w:t>
      </w:r>
    </w:p>
    <w:p w:rsidR="00C03D1E" w:rsidRDefault="00C03D1E" w:rsidP="00C03D1E">
      <w:pPr>
        <w:rPr>
          <w:u w:val="single"/>
        </w:rPr>
      </w:pPr>
    </w:p>
    <w:p w:rsidR="00C03D1E" w:rsidRPr="000C3358" w:rsidRDefault="00C03D1E" w:rsidP="00C03D1E">
      <w:r>
        <w:lastRenderedPageBreak/>
        <w:t xml:space="preserve">Die Schlüsselzuweisung A dient der Anhebung der Gemeinde auf ein Mindestniveau der Steuerkraft. Hierzu wird die Steuerkraft je Einwohner mit einem landeseinheitlichen Schwellenwert verglichen. Wenn der Schwellenwert über der Steuerkraftmesszahl pro Einwohner liegt, wird der Differenzbetrag für jeden Einwohner als Zuweisung gezahlt. </w:t>
      </w:r>
    </w:p>
    <w:p w:rsidR="00C03D1E" w:rsidRDefault="00C03D1E" w:rsidP="00C03D1E">
      <w:pPr>
        <w:rPr>
          <w:u w:val="single"/>
        </w:rPr>
      </w:pPr>
    </w:p>
    <w:tbl>
      <w:tblPr>
        <w:tblW w:w="9206" w:type="dxa"/>
        <w:tblCellMar>
          <w:left w:w="70" w:type="dxa"/>
          <w:right w:w="70" w:type="dxa"/>
        </w:tblCellMar>
        <w:tblLook w:val="04A0" w:firstRow="1" w:lastRow="0" w:firstColumn="1" w:lastColumn="0" w:noHBand="0" w:noVBand="1"/>
      </w:tblPr>
      <w:tblGrid>
        <w:gridCol w:w="421"/>
        <w:gridCol w:w="6378"/>
        <w:gridCol w:w="2407"/>
      </w:tblGrid>
      <w:tr w:rsidR="00C03D1E" w:rsidRPr="000C3358" w:rsidTr="002C256C">
        <w:trPr>
          <w:trHeight w:val="300"/>
        </w:trPr>
        <w:tc>
          <w:tcPr>
            <w:tcW w:w="421"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1</w:t>
            </w:r>
          </w:p>
        </w:tc>
        <w:tc>
          <w:tcPr>
            <w:tcW w:w="6378"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Steuerkraftmesszahl:</w:t>
            </w:r>
          </w:p>
        </w:tc>
        <w:tc>
          <w:tcPr>
            <w:tcW w:w="2407" w:type="dxa"/>
            <w:tcBorders>
              <w:top w:val="single" w:sz="4" w:space="0" w:color="auto"/>
              <w:left w:val="single" w:sz="4" w:space="0" w:color="auto"/>
              <w:bottom w:val="nil"/>
              <w:right w:val="single" w:sz="4" w:space="0" w:color="auto"/>
            </w:tcBorders>
            <w:shd w:val="clear" w:color="auto" w:fill="auto"/>
            <w:noWrap/>
            <w:vAlign w:val="bottom"/>
            <w:hideMark/>
          </w:tcPr>
          <w:p w:rsidR="00C03D1E" w:rsidRPr="000C3358" w:rsidRDefault="00C03D1E" w:rsidP="002C256C">
            <w:pPr>
              <w:spacing w:after="0"/>
              <w:jc w:val="right"/>
              <w:rPr>
                <w:rFonts w:eastAsia="Times New Roman" w:cs="Arial"/>
                <w:lang w:eastAsia="de-DE"/>
              </w:rPr>
            </w:pPr>
            <w:r w:rsidRPr="000C3358">
              <w:rPr>
                <w:rFonts w:eastAsia="Times New Roman" w:cs="Arial"/>
                <w:lang w:eastAsia="de-DE"/>
              </w:rPr>
              <w:t>4.461.562,00</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lang w:eastAsia="de-DE"/>
              </w:rPr>
            </w:pPr>
            <w:r w:rsidRPr="000C3358">
              <w:rPr>
                <w:rFonts w:eastAsia="Times New Roman" w:cs="Arial"/>
                <w:lang w:eastAsia="de-DE"/>
              </w:rPr>
              <w:t>2</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lang w:eastAsia="de-DE"/>
              </w:rPr>
            </w:pPr>
            <w:r w:rsidRPr="000C3358">
              <w:rPr>
                <w:rFonts w:eastAsia="Times New Roman" w:cs="Arial"/>
                <w:lang w:eastAsia="de-DE"/>
              </w:rPr>
              <w:t>Einwohner am 30.06.2022</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C03D1E" w:rsidP="002C256C">
            <w:pPr>
              <w:spacing w:after="0"/>
              <w:jc w:val="right"/>
              <w:rPr>
                <w:rFonts w:eastAsia="Times New Roman" w:cs="Arial"/>
                <w:color w:val="000000"/>
                <w:lang w:eastAsia="de-DE"/>
              </w:rPr>
            </w:pPr>
            <w:r w:rsidRPr="000C3358">
              <w:rPr>
                <w:rFonts w:eastAsia="Times New Roman" w:cs="Arial"/>
                <w:color w:val="000000"/>
                <w:lang w:eastAsia="de-DE"/>
              </w:rPr>
              <w:t>4.131</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3</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Steuerkraftmesszahl pro EW</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C03D1E" w:rsidP="002C256C">
            <w:pPr>
              <w:spacing w:after="0"/>
              <w:jc w:val="right"/>
              <w:rPr>
                <w:rFonts w:eastAsia="Times New Roman" w:cs="Arial"/>
                <w:color w:val="000000"/>
                <w:lang w:eastAsia="de-DE"/>
              </w:rPr>
            </w:pPr>
            <w:r w:rsidRPr="000C3358">
              <w:rPr>
                <w:rFonts w:eastAsia="Times New Roman" w:cs="Arial"/>
                <w:color w:val="000000"/>
                <w:lang w:eastAsia="de-DE"/>
              </w:rPr>
              <w:t xml:space="preserve">         1.080,02 €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4</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 xml:space="preserve">Landesdurchschnittliche Steuerkraft je EW </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C03D1E" w:rsidP="002C256C">
            <w:pPr>
              <w:spacing w:after="0"/>
              <w:jc w:val="right"/>
              <w:rPr>
                <w:rFonts w:eastAsia="Times New Roman" w:cs="Arial"/>
                <w:lang w:eastAsia="de-DE"/>
              </w:rPr>
            </w:pPr>
            <w:r w:rsidRPr="000C3358">
              <w:rPr>
                <w:rFonts w:eastAsia="Times New Roman" w:cs="Arial"/>
                <w:lang w:eastAsia="de-DE"/>
              </w:rPr>
              <w:t xml:space="preserve">         1.807,01 €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lang w:eastAsia="de-DE"/>
              </w:rPr>
            </w:pPr>
            <w:r w:rsidRPr="000C3358">
              <w:rPr>
                <w:rFonts w:eastAsia="Times New Roman" w:cs="Arial"/>
                <w:lang w:eastAsia="de-DE"/>
              </w:rPr>
              <w:t>5</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lang w:eastAsia="de-DE"/>
              </w:rPr>
            </w:pPr>
            <w:r w:rsidRPr="000C3358">
              <w:rPr>
                <w:rFonts w:eastAsia="Times New Roman" w:cs="Arial"/>
                <w:lang w:eastAsia="de-DE"/>
              </w:rPr>
              <w:t>Schwellenwert  nach § 13 LFAG</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C03D1E" w:rsidP="002C256C">
            <w:pPr>
              <w:spacing w:after="0"/>
              <w:jc w:val="right"/>
              <w:rPr>
                <w:rFonts w:eastAsia="Times New Roman" w:cs="Arial"/>
                <w:color w:val="000000"/>
                <w:lang w:eastAsia="de-DE"/>
              </w:rPr>
            </w:pPr>
            <w:r w:rsidRPr="000C3358">
              <w:rPr>
                <w:rFonts w:eastAsia="Times New Roman" w:cs="Arial"/>
                <w:color w:val="000000"/>
                <w:lang w:eastAsia="de-DE"/>
              </w:rPr>
              <w:t xml:space="preserve">         1.097,43 €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6</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Differenz zw</w:t>
            </w:r>
            <w:r>
              <w:rPr>
                <w:rFonts w:eastAsia="Times New Roman" w:cs="Arial"/>
                <w:color w:val="000000"/>
                <w:lang w:eastAsia="de-DE"/>
              </w:rPr>
              <w:t>ischen</w:t>
            </w:r>
            <w:r w:rsidRPr="000C3358">
              <w:rPr>
                <w:rFonts w:eastAsia="Times New Roman" w:cs="Arial"/>
                <w:color w:val="000000"/>
                <w:lang w:eastAsia="de-DE"/>
              </w:rPr>
              <w:t xml:space="preserve">  (3) u. (5)</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C03D1E" w:rsidP="002C256C">
            <w:pPr>
              <w:spacing w:after="0"/>
              <w:jc w:val="right"/>
              <w:rPr>
                <w:rFonts w:eastAsia="Times New Roman" w:cs="Arial"/>
                <w:color w:val="000000"/>
                <w:lang w:eastAsia="de-DE"/>
              </w:rPr>
            </w:pPr>
            <w:r w:rsidRPr="000C3358">
              <w:rPr>
                <w:rFonts w:eastAsia="Times New Roman" w:cs="Arial"/>
                <w:color w:val="000000"/>
                <w:lang w:eastAsia="de-DE"/>
              </w:rPr>
              <w:t xml:space="preserve">- 17,41 €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7</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 xml:space="preserve">x Einwohner </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C03D1E" w:rsidP="002C256C">
            <w:pPr>
              <w:spacing w:after="0"/>
              <w:jc w:val="right"/>
              <w:rPr>
                <w:rFonts w:eastAsia="Times New Roman" w:cs="Arial"/>
                <w:color w:val="000000"/>
                <w:lang w:eastAsia="de-DE"/>
              </w:rPr>
            </w:pPr>
            <w:r w:rsidRPr="000C3358">
              <w:rPr>
                <w:rFonts w:eastAsia="Times New Roman" w:cs="Arial"/>
                <w:color w:val="000000"/>
                <w:lang w:eastAsia="de-DE"/>
              </w:rPr>
              <w:t>4.131</w:t>
            </w:r>
          </w:p>
        </w:tc>
      </w:tr>
      <w:tr w:rsidR="00C03D1E" w:rsidRPr="000C3358" w:rsidTr="002C256C">
        <w:trPr>
          <w:trHeight w:val="380"/>
        </w:trPr>
        <w:tc>
          <w:tcPr>
            <w:tcW w:w="421"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2C256C">
            <w:pPr>
              <w:spacing w:after="0"/>
              <w:jc w:val="center"/>
              <w:rPr>
                <w:rFonts w:eastAsia="Times New Roman" w:cs="Arial"/>
                <w:b/>
                <w:bCs/>
                <w:color w:val="000000"/>
                <w:lang w:eastAsia="de-DE"/>
              </w:rPr>
            </w:pPr>
            <w:r w:rsidRPr="000C3358">
              <w:rPr>
                <w:rFonts w:eastAsia="Times New Roman" w:cs="Arial"/>
                <w:b/>
                <w:bCs/>
                <w:color w:val="000000"/>
                <w:lang w:eastAsia="de-DE"/>
              </w:rPr>
              <w:t>=</w:t>
            </w:r>
          </w:p>
        </w:tc>
        <w:tc>
          <w:tcPr>
            <w:tcW w:w="6378"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2C256C">
            <w:pPr>
              <w:spacing w:after="0"/>
              <w:jc w:val="left"/>
              <w:rPr>
                <w:rFonts w:eastAsia="Times New Roman" w:cs="Arial"/>
                <w:b/>
                <w:bCs/>
                <w:color w:val="000000"/>
                <w:lang w:eastAsia="de-DE"/>
              </w:rPr>
            </w:pPr>
            <w:r w:rsidRPr="000C3358">
              <w:rPr>
                <w:rFonts w:eastAsia="Times New Roman" w:cs="Arial"/>
                <w:b/>
                <w:bCs/>
                <w:color w:val="000000"/>
                <w:lang w:eastAsia="de-DE"/>
              </w:rPr>
              <w:t>Schlüsselzuweisung A</w:t>
            </w:r>
          </w:p>
        </w:tc>
        <w:tc>
          <w:tcPr>
            <w:tcW w:w="2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3D1E" w:rsidRPr="000C3358" w:rsidRDefault="00C03D1E" w:rsidP="002C256C">
            <w:pPr>
              <w:spacing w:after="0"/>
              <w:jc w:val="right"/>
              <w:rPr>
                <w:rFonts w:eastAsia="Times New Roman" w:cs="Arial"/>
                <w:b/>
                <w:bCs/>
                <w:u w:val="double"/>
                <w:lang w:eastAsia="de-DE"/>
              </w:rPr>
            </w:pPr>
            <w:r w:rsidRPr="000C3358">
              <w:rPr>
                <w:rFonts w:eastAsia="Times New Roman" w:cs="Arial"/>
                <w:b/>
                <w:bCs/>
                <w:u w:val="double"/>
                <w:lang w:eastAsia="de-DE"/>
              </w:rPr>
              <w:t>64.729,00 €</w:t>
            </w:r>
          </w:p>
        </w:tc>
      </w:tr>
    </w:tbl>
    <w:p w:rsidR="00C03D1E" w:rsidRPr="00104855" w:rsidRDefault="00C03D1E" w:rsidP="00C03D1E"/>
    <w:p w:rsidR="00C03D1E" w:rsidRDefault="00C03D1E" w:rsidP="00C03D1E">
      <w:pPr>
        <w:rPr>
          <w:u w:val="single"/>
        </w:rPr>
      </w:pPr>
      <w:r>
        <w:rPr>
          <w:u w:val="single"/>
        </w:rPr>
        <w:t>Zuweisung für zentralörtliche Bedeutung</w:t>
      </w:r>
    </w:p>
    <w:p w:rsidR="00C03D1E" w:rsidRDefault="00C03D1E" w:rsidP="00C03D1E">
      <w:pPr>
        <w:rPr>
          <w:u w:val="single"/>
        </w:rPr>
      </w:pPr>
    </w:p>
    <w:p w:rsidR="00C03D1E" w:rsidRDefault="00C03D1E" w:rsidP="00C03D1E">
      <w:r>
        <w:t xml:space="preserve">Gemeinden, denen eine zentralörtliche Bedeutung durch die Raumordnung zugebilligt wird erhalten zum Ausgleich der damit zusammenhängenden Mehraufwendungen eine Zuweisung. </w:t>
      </w:r>
    </w:p>
    <w:p w:rsidR="00C03D1E" w:rsidRDefault="00C03D1E" w:rsidP="00C03D1E"/>
    <w:p w:rsidR="00C03D1E" w:rsidRDefault="00C03D1E" w:rsidP="00C03D1E">
      <w:pPr>
        <w:tabs>
          <w:tab w:val="left" w:pos="709"/>
          <w:tab w:val="decimal" w:pos="7655"/>
        </w:tabs>
      </w:pPr>
      <w:r>
        <w:tab/>
        <w:t>Einwohner Verflechtungsbereich</w:t>
      </w:r>
      <w:r>
        <w:tab/>
        <w:t>5.136</w:t>
      </w:r>
    </w:p>
    <w:p w:rsidR="00C03D1E" w:rsidRDefault="00C03D1E" w:rsidP="00C03D1E">
      <w:pPr>
        <w:tabs>
          <w:tab w:val="left" w:pos="709"/>
          <w:tab w:val="decimal" w:pos="7655"/>
        </w:tabs>
      </w:pPr>
      <w:r>
        <w:t>x</w:t>
      </w:r>
      <w:r>
        <w:tab/>
        <w:t>Ansatzzahl für den Nahbereich</w:t>
      </w:r>
      <w:r>
        <w:tab/>
      </w:r>
      <w:r w:rsidRPr="00ED1A76">
        <w:t>1,797565</w:t>
      </w:r>
      <w:r>
        <w:tab/>
        <w:t>%</w:t>
      </w:r>
    </w:p>
    <w:p w:rsidR="00C03D1E" w:rsidRDefault="00C03D1E" w:rsidP="00C03D1E">
      <w:pPr>
        <w:tabs>
          <w:tab w:val="left" w:pos="709"/>
          <w:tab w:val="decimal" w:pos="7655"/>
        </w:tabs>
      </w:pPr>
      <w:r>
        <w:t>=</w:t>
      </w:r>
      <w:r>
        <w:tab/>
        <w:t>Ansatz (Berechnungsbasis)</w:t>
      </w:r>
      <w:r>
        <w:tab/>
        <w:t>92</w:t>
      </w:r>
    </w:p>
    <w:p w:rsidR="00C03D1E" w:rsidRDefault="00C03D1E" w:rsidP="00C03D1E"/>
    <w:p w:rsidR="00C03D1E" w:rsidRDefault="00C03D1E" w:rsidP="00C03D1E">
      <w:pPr>
        <w:tabs>
          <w:tab w:val="left" w:pos="709"/>
          <w:tab w:val="decimal" w:pos="7655"/>
        </w:tabs>
      </w:pPr>
      <w:r>
        <w:tab/>
        <w:t>Ansatz</w:t>
      </w:r>
      <w:r>
        <w:tab/>
        <w:t>92</w:t>
      </w:r>
    </w:p>
    <w:p w:rsidR="00C03D1E" w:rsidRDefault="00C03D1E" w:rsidP="00C03D1E">
      <w:pPr>
        <w:tabs>
          <w:tab w:val="left" w:pos="709"/>
          <w:tab w:val="decimal" w:pos="7655"/>
        </w:tabs>
      </w:pPr>
      <w:r>
        <w:t>x</w:t>
      </w:r>
      <w:r>
        <w:tab/>
        <w:t xml:space="preserve">Grundbetrag für Ortsgemeinden </w:t>
      </w:r>
      <w:r>
        <w:tab/>
        <w:t>2.072,00 €</w:t>
      </w:r>
    </w:p>
    <w:p w:rsidR="00C03D1E" w:rsidRDefault="00C03D1E" w:rsidP="00C03D1E">
      <w:pPr>
        <w:tabs>
          <w:tab w:val="left" w:pos="709"/>
          <w:tab w:val="decimal" w:pos="7655"/>
        </w:tabs>
      </w:pPr>
      <w:r>
        <w:t>=</w:t>
      </w:r>
      <w:r>
        <w:tab/>
        <w:t xml:space="preserve">Ausgleichsbetrag </w:t>
      </w:r>
      <w:r>
        <w:tab/>
      </w:r>
      <w:r w:rsidRPr="00F94044">
        <w:t>190.624,00 €</w:t>
      </w:r>
    </w:p>
    <w:p w:rsidR="00C03D1E" w:rsidRDefault="00C03D1E" w:rsidP="00C03D1E">
      <w:pPr>
        <w:tabs>
          <w:tab w:val="left" w:pos="709"/>
          <w:tab w:val="decimal" w:pos="7655"/>
        </w:tabs>
      </w:pPr>
    </w:p>
    <w:p w:rsidR="00C03D1E" w:rsidRDefault="00C03D1E" w:rsidP="00C03D1E">
      <w:pPr>
        <w:tabs>
          <w:tab w:val="left" w:pos="709"/>
          <w:tab w:val="decimal" w:pos="7655"/>
        </w:tabs>
      </w:pPr>
      <w:r>
        <w:tab/>
        <w:t>Betrag zentrale Orte</w:t>
      </w:r>
      <w:r>
        <w:tab/>
        <w:t>190.624,00 €</w:t>
      </w:r>
    </w:p>
    <w:p w:rsidR="00C03D1E" w:rsidRDefault="00C03D1E" w:rsidP="00C03D1E">
      <w:pPr>
        <w:tabs>
          <w:tab w:val="left" w:pos="709"/>
          <w:tab w:val="decimal" w:pos="7655"/>
        </w:tabs>
      </w:pPr>
      <w:r>
        <w:t>+</w:t>
      </w:r>
      <w:r>
        <w:tab/>
        <w:t>Ausgleichsmesszahl</w:t>
      </w:r>
      <w:r>
        <w:tab/>
      </w:r>
      <w:r w:rsidRPr="00F94044">
        <w:t>1</w:t>
      </w:r>
      <w:r>
        <w:t>.</w:t>
      </w:r>
      <w:r w:rsidRPr="00F94044">
        <w:t>542</w:t>
      </w:r>
      <w:r>
        <w:t>.</w:t>
      </w:r>
      <w:r w:rsidRPr="00F94044">
        <w:t>514</w:t>
      </w:r>
      <w:r>
        <w:t>,00 €</w:t>
      </w:r>
    </w:p>
    <w:p w:rsidR="00C03D1E" w:rsidRDefault="00C03D1E" w:rsidP="00C03D1E">
      <w:pPr>
        <w:tabs>
          <w:tab w:val="left" w:pos="709"/>
          <w:tab w:val="decimal" w:pos="7655"/>
        </w:tabs>
      </w:pPr>
      <w:r>
        <w:t>./.</w:t>
      </w:r>
      <w:r>
        <w:tab/>
        <w:t>Finanzkraftmesszahl</w:t>
      </w:r>
      <w:r>
        <w:tab/>
      </w:r>
      <w:r w:rsidRPr="00F52AD1">
        <w:t>1</w:t>
      </w:r>
      <w:r>
        <w:t>.</w:t>
      </w:r>
      <w:r w:rsidRPr="00F52AD1">
        <w:t>357</w:t>
      </w:r>
      <w:r>
        <w:t>.</w:t>
      </w:r>
      <w:r w:rsidRPr="00F52AD1">
        <w:t>887</w:t>
      </w:r>
      <w:r>
        <w:t>,00 €</w:t>
      </w:r>
    </w:p>
    <w:p w:rsidR="00C03D1E" w:rsidRDefault="00C03D1E" w:rsidP="00C03D1E">
      <w:pPr>
        <w:tabs>
          <w:tab w:val="left" w:pos="709"/>
          <w:tab w:val="decimal" w:pos="7655"/>
        </w:tabs>
      </w:pPr>
      <w:r>
        <w:t>=</w:t>
      </w:r>
      <w:r>
        <w:tab/>
        <w:t>Differenz</w:t>
      </w:r>
      <w:r>
        <w:tab/>
      </w:r>
      <w:r w:rsidRPr="00F52AD1">
        <w:t>184</w:t>
      </w:r>
      <w:r>
        <w:t>.</w:t>
      </w:r>
      <w:r w:rsidRPr="00F52AD1">
        <w:t>627</w:t>
      </w:r>
      <w:r>
        <w:t>,00 €</w:t>
      </w:r>
    </w:p>
    <w:p w:rsidR="00C03D1E" w:rsidRDefault="00C03D1E" w:rsidP="00C03D1E">
      <w:pPr>
        <w:tabs>
          <w:tab w:val="left" w:pos="709"/>
          <w:tab w:val="decimal" w:pos="7655"/>
        </w:tabs>
      </w:pPr>
      <w:r>
        <w:t>x</w:t>
      </w:r>
      <w:r>
        <w:tab/>
        <w:t>90 %</w:t>
      </w:r>
      <w:r>
        <w:tab/>
      </w:r>
      <w:r w:rsidRPr="00F52AD1">
        <w:t>166</w:t>
      </w:r>
      <w:r>
        <w:t>.</w:t>
      </w:r>
      <w:r w:rsidRPr="00F52AD1">
        <w:t>164,3</w:t>
      </w:r>
      <w:r>
        <w:t>0 €</w:t>
      </w:r>
    </w:p>
    <w:p w:rsidR="00C03D1E" w:rsidRDefault="00C03D1E" w:rsidP="00C03D1E">
      <w:pPr>
        <w:tabs>
          <w:tab w:val="left" w:pos="709"/>
          <w:tab w:val="decimal" w:pos="7655"/>
        </w:tabs>
      </w:pPr>
      <w:r>
        <w:t>./.</w:t>
      </w:r>
      <w:r>
        <w:tab/>
        <w:t>Anrechnung der Schlüsselzuweisung B</w:t>
      </w:r>
      <w:r>
        <w:tab/>
        <w:t>0,00 €</w:t>
      </w:r>
    </w:p>
    <w:p w:rsidR="00C03D1E" w:rsidRDefault="00C03D1E" w:rsidP="00C03D1E">
      <w:pPr>
        <w:tabs>
          <w:tab w:val="left" w:pos="709"/>
          <w:tab w:val="decimal" w:pos="7655"/>
        </w:tabs>
      </w:pPr>
      <w:r>
        <w:t>=</w:t>
      </w:r>
      <w:r>
        <w:tab/>
        <w:t>Zuweisung</w:t>
      </w:r>
      <w:r>
        <w:tab/>
        <w:t>166.164,30 €</w:t>
      </w:r>
    </w:p>
    <w:p w:rsidR="00C03D1E" w:rsidRDefault="00C03D1E" w:rsidP="00C03D1E">
      <w:pPr>
        <w:tabs>
          <w:tab w:val="left" w:pos="709"/>
          <w:tab w:val="decimal" w:pos="7655"/>
        </w:tabs>
      </w:pPr>
    </w:p>
    <w:p w:rsidR="00C03D1E" w:rsidRDefault="00C03D1E" w:rsidP="00C03D1E">
      <w:r>
        <w:t xml:space="preserve">Hierfür wird die Zahl der Bewohner des Verflechtungsraums (5.136) mit </w:t>
      </w:r>
      <w:r w:rsidRPr="000C3358">
        <w:t>1,797565</w:t>
      </w:r>
      <w:r>
        <w:t xml:space="preserve"> % multipliziert. Hieraus ergibt sich ein Ansatz von 92. Dieser Ansatz wird mit einem Grundbetrag bewertet, und der Ausgleichsmesszahl zugeschlagen. Der Differenzbetrag der erhöhten Ausgleichsmesszahl zur Finanzkraftmesszahl wird zu 90 % der Ortsgemeinde zugewiesen. Allerdings wird hierauf die erhaltene Schlüsselzuweisung B angerechnet.</w:t>
      </w:r>
    </w:p>
    <w:p w:rsidR="00C03D1E" w:rsidRDefault="00C03D1E" w:rsidP="00C03D1E">
      <w:pPr>
        <w:pStyle w:val="berschrift3"/>
      </w:pPr>
      <w:r>
        <w:lastRenderedPageBreak/>
        <w:t>4.2.2 sonstige Zuweisungen</w:t>
      </w:r>
    </w:p>
    <w:p w:rsidR="00C03D1E" w:rsidRDefault="00C03D1E" w:rsidP="00C03D1E"/>
    <w:tbl>
      <w:tblPr>
        <w:tblW w:w="9205"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696"/>
        <w:gridCol w:w="5163"/>
        <w:gridCol w:w="1173"/>
        <w:gridCol w:w="1173"/>
      </w:tblGrid>
      <w:tr w:rsidR="00C03D1E" w:rsidRPr="0020380E" w:rsidTr="002C256C">
        <w:trPr>
          <w:trHeight w:val="300"/>
        </w:trPr>
        <w:tc>
          <w:tcPr>
            <w:tcW w:w="1696" w:type="dxa"/>
            <w:tcBorders>
              <w:top w:val="single" w:sz="4" w:space="0" w:color="auto"/>
              <w:bottom w:val="single" w:sz="4" w:space="0" w:color="auto"/>
            </w:tcBorders>
            <w:shd w:val="clear" w:color="auto" w:fill="auto"/>
            <w:noWrap/>
            <w:vAlign w:val="center"/>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Planungsstelle</w:t>
            </w:r>
          </w:p>
        </w:tc>
        <w:tc>
          <w:tcPr>
            <w:tcW w:w="5163" w:type="dxa"/>
            <w:tcBorders>
              <w:top w:val="single" w:sz="4" w:space="0" w:color="auto"/>
              <w:bottom w:val="single" w:sz="4" w:space="0" w:color="auto"/>
            </w:tcBorders>
            <w:shd w:val="clear" w:color="auto" w:fill="auto"/>
            <w:noWrap/>
            <w:vAlign w:val="center"/>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Bezeichnung</w:t>
            </w:r>
          </w:p>
        </w:tc>
        <w:tc>
          <w:tcPr>
            <w:tcW w:w="1173" w:type="dxa"/>
            <w:tcBorders>
              <w:top w:val="single" w:sz="4" w:space="0" w:color="auto"/>
              <w:bottom w:val="single" w:sz="4" w:space="0" w:color="auto"/>
            </w:tcBorders>
            <w:shd w:val="clear" w:color="auto" w:fill="auto"/>
            <w:noWrap/>
            <w:vAlign w:val="center"/>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Ansatz aktuell</w:t>
            </w:r>
          </w:p>
        </w:tc>
        <w:tc>
          <w:tcPr>
            <w:tcW w:w="1173" w:type="dxa"/>
            <w:tcBorders>
              <w:top w:val="single" w:sz="4" w:space="0" w:color="auto"/>
              <w:bottom w:val="single" w:sz="4" w:space="0" w:color="auto"/>
            </w:tcBorders>
            <w:shd w:val="clear" w:color="auto" w:fill="auto"/>
            <w:noWrap/>
            <w:vAlign w:val="center"/>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Ansatz Vorjahr</w:t>
            </w:r>
          </w:p>
        </w:tc>
      </w:tr>
      <w:tr w:rsidR="00C03D1E" w:rsidRPr="0020380E" w:rsidTr="002C256C">
        <w:trPr>
          <w:trHeight w:val="300"/>
        </w:trPr>
        <w:tc>
          <w:tcPr>
            <w:tcW w:w="1696" w:type="dxa"/>
            <w:tcBorders>
              <w:top w:val="single" w:sz="4" w:space="0" w:color="auto"/>
              <w:bottom w:val="single" w:sz="4" w:space="0" w:color="D9D9D9" w:themeColor="background1" w:themeShade="D9"/>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1.1.4.3.414490</w:t>
            </w:r>
          </w:p>
        </w:tc>
        <w:tc>
          <w:tcPr>
            <w:tcW w:w="5163" w:type="dxa"/>
            <w:tcBorders>
              <w:top w:val="single" w:sz="4" w:space="0" w:color="auto"/>
              <w:bottom w:val="single" w:sz="4" w:space="0" w:color="D9D9D9" w:themeColor="background1" w:themeShade="D9"/>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 xml:space="preserve">Zuweisungen vom sonstigen öffentlichen Bereich - </w:t>
            </w:r>
            <w:r w:rsidRPr="004A416B">
              <w:rPr>
                <w:rFonts w:eastAsia="Times New Roman" w:cs="Arial"/>
                <w:color w:val="000000"/>
                <w:lang w:eastAsia="de-DE"/>
              </w:rPr>
              <w:br/>
              <w:t>Die Eingliederungsförderung für einen Bauhofmitarbeiter läuft aus</w:t>
            </w:r>
          </w:p>
        </w:tc>
        <w:tc>
          <w:tcPr>
            <w:tcW w:w="1173" w:type="dxa"/>
            <w:tcBorders>
              <w:top w:val="single" w:sz="4" w:space="0" w:color="auto"/>
              <w:bottom w:val="single" w:sz="4" w:space="0" w:color="D9D9D9" w:themeColor="background1" w:themeShade="D9"/>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0</w:t>
            </w:r>
          </w:p>
        </w:tc>
        <w:tc>
          <w:tcPr>
            <w:tcW w:w="1173" w:type="dxa"/>
            <w:tcBorders>
              <w:top w:val="single" w:sz="4" w:space="0" w:color="auto"/>
              <w:bottom w:val="single" w:sz="4" w:space="0" w:color="D9D9D9" w:themeColor="background1" w:themeShade="D9"/>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22.000</w:t>
            </w:r>
          </w:p>
        </w:tc>
      </w:tr>
      <w:tr w:rsidR="00C03D1E" w:rsidRPr="0020380E" w:rsidTr="002C256C">
        <w:trPr>
          <w:trHeight w:val="300"/>
        </w:trPr>
        <w:tc>
          <w:tcPr>
            <w:tcW w:w="1696"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3.6.5.1.414410</w:t>
            </w:r>
          </w:p>
        </w:tc>
        <w:tc>
          <w:tcPr>
            <w:tcW w:w="5163"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 xml:space="preserve">Zuweisungen vom Bund – </w:t>
            </w:r>
          </w:p>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 xml:space="preserve">Das Förderprogramm </w:t>
            </w:r>
            <w:proofErr w:type="spellStart"/>
            <w:r w:rsidRPr="004A416B">
              <w:rPr>
                <w:rFonts w:eastAsia="Times New Roman" w:cs="Arial"/>
                <w:color w:val="000000"/>
                <w:lang w:eastAsia="de-DE"/>
              </w:rPr>
              <w:t>Sprachkitas</w:t>
            </w:r>
            <w:proofErr w:type="spellEnd"/>
            <w:r w:rsidRPr="004A416B">
              <w:rPr>
                <w:rFonts w:eastAsia="Times New Roman" w:cs="Arial"/>
                <w:color w:val="000000"/>
                <w:lang w:eastAsia="de-DE"/>
              </w:rPr>
              <w:t xml:space="preserve"> wird nicht mehr in dem Umfang gefördert wie in Vorjahren</w:t>
            </w:r>
          </w:p>
        </w:tc>
        <w:tc>
          <w:tcPr>
            <w:tcW w:w="1173"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17.000</w:t>
            </w:r>
          </w:p>
        </w:tc>
        <w:tc>
          <w:tcPr>
            <w:tcW w:w="1173"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29.000</w:t>
            </w:r>
          </w:p>
        </w:tc>
      </w:tr>
      <w:tr w:rsidR="00C03D1E" w:rsidRPr="0020380E" w:rsidTr="002C256C">
        <w:trPr>
          <w:trHeight w:val="300"/>
        </w:trPr>
        <w:tc>
          <w:tcPr>
            <w:tcW w:w="1696"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3.6.5.1.414430</w:t>
            </w:r>
          </w:p>
        </w:tc>
        <w:tc>
          <w:tcPr>
            <w:tcW w:w="5163"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 xml:space="preserve">Zuweisungen von Gemeinden und Gemeindeverbänden – </w:t>
            </w:r>
          </w:p>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durch erhöhte Aufwendungen wird mit erhöhten Zuweisungen gerechnet</w:t>
            </w:r>
          </w:p>
        </w:tc>
        <w:tc>
          <w:tcPr>
            <w:tcW w:w="1173"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1.001.000</w:t>
            </w:r>
          </w:p>
        </w:tc>
        <w:tc>
          <w:tcPr>
            <w:tcW w:w="1173"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880.000</w:t>
            </w:r>
          </w:p>
        </w:tc>
      </w:tr>
      <w:tr w:rsidR="00C03D1E" w:rsidRPr="0020380E" w:rsidTr="002C256C">
        <w:trPr>
          <w:trHeight w:val="300"/>
        </w:trPr>
        <w:tc>
          <w:tcPr>
            <w:tcW w:w="1696" w:type="dxa"/>
            <w:tcBorders>
              <w:top w:val="single" w:sz="4" w:space="0" w:color="D9D9D9" w:themeColor="background1" w:themeShade="D9"/>
              <w:bottom w:val="single" w:sz="4" w:space="0" w:color="auto"/>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5.4.1.0.415100</w:t>
            </w:r>
          </w:p>
        </w:tc>
        <w:tc>
          <w:tcPr>
            <w:tcW w:w="5163" w:type="dxa"/>
            <w:tcBorders>
              <w:top w:val="single" w:sz="4" w:space="0" w:color="D9D9D9" w:themeColor="background1" w:themeShade="D9"/>
              <w:bottom w:val="single" w:sz="4" w:space="0" w:color="auto"/>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 xml:space="preserve">Sonderposten aus Zuwendungen – </w:t>
            </w:r>
          </w:p>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Eine Sonderauflösung fand im Vorjahr statt</w:t>
            </w:r>
          </w:p>
        </w:tc>
        <w:tc>
          <w:tcPr>
            <w:tcW w:w="1173" w:type="dxa"/>
            <w:tcBorders>
              <w:top w:val="single" w:sz="4" w:space="0" w:color="D9D9D9" w:themeColor="background1" w:themeShade="D9"/>
              <w:bottom w:val="single" w:sz="4" w:space="0" w:color="auto"/>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80.548</w:t>
            </w:r>
          </w:p>
        </w:tc>
        <w:tc>
          <w:tcPr>
            <w:tcW w:w="1173" w:type="dxa"/>
            <w:tcBorders>
              <w:top w:val="single" w:sz="4" w:space="0" w:color="D9D9D9" w:themeColor="background1" w:themeShade="D9"/>
              <w:bottom w:val="single" w:sz="4" w:space="0" w:color="auto"/>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424.200</w:t>
            </w:r>
          </w:p>
        </w:tc>
      </w:tr>
    </w:tbl>
    <w:p w:rsidR="00C03D1E" w:rsidRDefault="00C03D1E" w:rsidP="00C03D1E">
      <w:pPr>
        <w:spacing w:after="160" w:line="259" w:lineRule="auto"/>
        <w:jc w:val="left"/>
      </w:pPr>
    </w:p>
    <w:p w:rsidR="00C03D1E" w:rsidRDefault="00C03D1E" w:rsidP="00C03D1E">
      <w:pPr>
        <w:pStyle w:val="berschrift3"/>
      </w:pPr>
      <w:r>
        <w:t>4.2.3 privatrechtliche Erträge</w:t>
      </w:r>
    </w:p>
    <w:p w:rsidR="00C03D1E" w:rsidRDefault="00C03D1E" w:rsidP="00C03D1E"/>
    <w:tbl>
      <w:tblPr>
        <w:tblW w:w="9298" w:type="dxa"/>
        <w:tblInd w:w="-5" w:type="dxa"/>
        <w:tblCellMar>
          <w:left w:w="70" w:type="dxa"/>
          <w:right w:w="70" w:type="dxa"/>
        </w:tblCellMar>
        <w:tblLook w:val="04A0" w:firstRow="1" w:lastRow="0" w:firstColumn="1" w:lastColumn="0" w:noHBand="0" w:noVBand="1"/>
      </w:tblPr>
      <w:tblGrid>
        <w:gridCol w:w="1478"/>
        <w:gridCol w:w="5420"/>
        <w:gridCol w:w="1200"/>
        <w:gridCol w:w="1200"/>
      </w:tblGrid>
      <w:tr w:rsidR="00C03D1E" w:rsidRPr="0020380E" w:rsidTr="002C256C">
        <w:trPr>
          <w:trHeight w:val="300"/>
        </w:trPr>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Planungsstelle</w:t>
            </w:r>
          </w:p>
        </w:tc>
        <w:tc>
          <w:tcPr>
            <w:tcW w:w="542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Bezeichnung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Ansatz aktuell</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A</w:t>
            </w:r>
            <w:r w:rsidRPr="0020380E">
              <w:rPr>
                <w:rFonts w:ascii="Calibri" w:eastAsia="Times New Roman" w:hAnsi="Calibri" w:cs="Calibri"/>
                <w:color w:val="000000"/>
                <w:lang w:eastAsia="de-DE"/>
              </w:rPr>
              <w:t xml:space="preserve">nsatz </w:t>
            </w:r>
            <w:r>
              <w:rPr>
                <w:rFonts w:ascii="Calibri" w:eastAsia="Times New Roman" w:hAnsi="Calibri" w:cs="Calibri"/>
                <w:color w:val="000000"/>
                <w:lang w:eastAsia="de-DE"/>
              </w:rPr>
              <w:t>V</w:t>
            </w:r>
            <w:r w:rsidRPr="0020380E">
              <w:rPr>
                <w:rFonts w:ascii="Calibri" w:eastAsia="Times New Roman" w:hAnsi="Calibri" w:cs="Calibri"/>
                <w:color w:val="000000"/>
                <w:lang w:eastAsia="de-DE"/>
              </w:rPr>
              <w:t>orjahr</w:t>
            </w:r>
          </w:p>
        </w:tc>
      </w:tr>
      <w:tr w:rsidR="00C03D1E" w:rsidRPr="0020380E" w:rsidTr="002C256C">
        <w:trPr>
          <w:trHeight w:val="300"/>
        </w:trPr>
        <w:tc>
          <w:tcPr>
            <w:tcW w:w="1478" w:type="dxa"/>
            <w:tcBorders>
              <w:top w:val="single" w:sz="4" w:space="0" w:color="auto"/>
              <w:left w:val="single" w:sz="4" w:space="0" w:color="auto"/>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3.6.5.1.441400</w:t>
            </w:r>
          </w:p>
        </w:tc>
        <w:tc>
          <w:tcPr>
            <w:tcW w:w="5420" w:type="dxa"/>
            <w:tcBorders>
              <w:top w:val="single" w:sz="4" w:space="0" w:color="auto"/>
              <w:left w:val="nil"/>
              <w:bottom w:val="single" w:sz="4" w:space="0" w:color="BFBFBF" w:themeColor="background1" w:themeShade="BF"/>
              <w:right w:val="single" w:sz="4" w:space="0" w:color="auto"/>
            </w:tcBorders>
            <w:shd w:val="clear" w:color="auto" w:fill="auto"/>
            <w:noWrap/>
            <w:vAlign w:val="bottom"/>
            <w:hideMark/>
          </w:tcPr>
          <w:p w:rsidR="00C03D1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Privatrechtliche Leistungsentgelte: Beteiligung Essenskosten</w:t>
            </w:r>
          </w:p>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Anpassung an die Umsätze 2022</w:t>
            </w:r>
          </w:p>
        </w:tc>
        <w:tc>
          <w:tcPr>
            <w:tcW w:w="1200" w:type="dxa"/>
            <w:tcBorders>
              <w:top w:val="single" w:sz="4" w:space="0" w:color="auto"/>
              <w:left w:val="nil"/>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23.000</w:t>
            </w:r>
          </w:p>
        </w:tc>
        <w:tc>
          <w:tcPr>
            <w:tcW w:w="1200" w:type="dxa"/>
            <w:tcBorders>
              <w:top w:val="single" w:sz="4" w:space="0" w:color="auto"/>
              <w:left w:val="nil"/>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11.000</w:t>
            </w:r>
          </w:p>
        </w:tc>
      </w:tr>
      <w:tr w:rsidR="00C03D1E" w:rsidRPr="0020380E" w:rsidTr="002C256C">
        <w:trPr>
          <w:trHeight w:val="300"/>
        </w:trPr>
        <w:tc>
          <w:tcPr>
            <w:tcW w:w="1478" w:type="dxa"/>
            <w:tcBorders>
              <w:top w:val="single" w:sz="4" w:space="0" w:color="BFBFBF" w:themeColor="background1" w:themeShade="BF"/>
              <w:left w:val="single" w:sz="4" w:space="0" w:color="auto"/>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3.6.5.1.442430</w:t>
            </w:r>
          </w:p>
        </w:tc>
        <w:tc>
          <w:tcPr>
            <w:tcW w:w="5420" w:type="dxa"/>
            <w:tcBorders>
              <w:top w:val="single" w:sz="4" w:space="0" w:color="BFBFBF" w:themeColor="background1" w:themeShade="BF"/>
              <w:left w:val="nil"/>
              <w:bottom w:val="single" w:sz="4" w:space="0" w:color="BFBFBF" w:themeColor="background1" w:themeShade="BF"/>
              <w:right w:val="single" w:sz="4" w:space="0" w:color="auto"/>
            </w:tcBorders>
            <w:shd w:val="clear" w:color="auto" w:fill="auto"/>
            <w:noWrap/>
            <w:vAlign w:val="bottom"/>
            <w:hideMark/>
          </w:tcPr>
          <w:p w:rsidR="00C03D1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Kostenerstattungen vom öffentlichen Bereich von Gemeinden</w:t>
            </w:r>
            <w:r>
              <w:rPr>
                <w:rFonts w:ascii="Calibri" w:eastAsia="Times New Roman" w:hAnsi="Calibri" w:cs="Calibri"/>
                <w:color w:val="000000"/>
                <w:lang w:eastAsia="de-DE"/>
              </w:rPr>
              <w:t xml:space="preserve"> </w:t>
            </w:r>
            <w:r w:rsidRPr="0020380E">
              <w:rPr>
                <w:rFonts w:ascii="Calibri" w:eastAsia="Times New Roman" w:hAnsi="Calibri" w:cs="Calibri"/>
                <w:color w:val="000000"/>
                <w:lang w:eastAsia="de-DE"/>
              </w:rPr>
              <w:t>&amp;</w:t>
            </w:r>
            <w:r>
              <w:rPr>
                <w:rFonts w:ascii="Calibri" w:eastAsia="Times New Roman" w:hAnsi="Calibri" w:cs="Calibri"/>
                <w:color w:val="000000"/>
                <w:lang w:eastAsia="de-DE"/>
              </w:rPr>
              <w:t xml:space="preserve"> </w:t>
            </w:r>
            <w:r w:rsidRPr="0020380E">
              <w:rPr>
                <w:rFonts w:ascii="Calibri" w:eastAsia="Times New Roman" w:hAnsi="Calibri" w:cs="Calibri"/>
                <w:color w:val="000000"/>
                <w:lang w:eastAsia="de-DE"/>
              </w:rPr>
              <w:t>Gemeindeverbänden</w:t>
            </w:r>
          </w:p>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Im vergangenen Jahr fand eine mehrjährige Abrechnung statt. Der Ansatz 2023 ist für ein Jahr kalkuliert</w:t>
            </w:r>
          </w:p>
        </w:tc>
        <w:tc>
          <w:tcPr>
            <w:tcW w:w="1200" w:type="dxa"/>
            <w:tcBorders>
              <w:top w:val="single" w:sz="4" w:space="0" w:color="BFBFBF" w:themeColor="background1" w:themeShade="BF"/>
              <w:left w:val="nil"/>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35.000</w:t>
            </w:r>
          </w:p>
        </w:tc>
        <w:tc>
          <w:tcPr>
            <w:tcW w:w="1200" w:type="dxa"/>
            <w:tcBorders>
              <w:top w:val="single" w:sz="4" w:space="0" w:color="BFBFBF" w:themeColor="background1" w:themeShade="BF"/>
              <w:left w:val="nil"/>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179.000</w:t>
            </w:r>
          </w:p>
        </w:tc>
      </w:tr>
      <w:tr w:rsidR="00C03D1E" w:rsidRPr="0020380E" w:rsidTr="002C256C">
        <w:trPr>
          <w:trHeight w:val="300"/>
        </w:trPr>
        <w:tc>
          <w:tcPr>
            <w:tcW w:w="1478" w:type="dxa"/>
            <w:tcBorders>
              <w:top w:val="single" w:sz="4" w:space="0" w:color="BFBFBF" w:themeColor="background1" w:themeShade="BF"/>
              <w:left w:val="single" w:sz="4" w:space="0" w:color="auto"/>
              <w:bottom w:val="single" w:sz="4" w:space="0" w:color="auto"/>
              <w:right w:val="single" w:sz="4" w:space="0" w:color="auto"/>
            </w:tcBorders>
            <w:shd w:val="clear" w:color="auto" w:fill="auto"/>
            <w:noWrap/>
            <w:vAlign w:val="bottom"/>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3.6.5.1.442490</w:t>
            </w:r>
          </w:p>
        </w:tc>
        <w:tc>
          <w:tcPr>
            <w:tcW w:w="5420" w:type="dxa"/>
            <w:tcBorders>
              <w:top w:val="single" w:sz="4" w:space="0" w:color="BFBFBF" w:themeColor="background1" w:themeShade="BF"/>
              <w:left w:val="nil"/>
              <w:bottom w:val="single" w:sz="4" w:space="0" w:color="auto"/>
              <w:right w:val="single" w:sz="4" w:space="0" w:color="auto"/>
            </w:tcBorders>
            <w:shd w:val="clear" w:color="auto" w:fill="auto"/>
            <w:noWrap/>
            <w:vAlign w:val="bottom"/>
            <w:hideMark/>
          </w:tcPr>
          <w:p w:rsidR="00C03D1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Kostenerstattungen vom sonstigen öffentlichen Bereich</w:t>
            </w:r>
          </w:p>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Anpassung an langjährige Durchschnittswerte</w:t>
            </w:r>
          </w:p>
        </w:tc>
        <w:tc>
          <w:tcPr>
            <w:tcW w:w="1200" w:type="dxa"/>
            <w:tcBorders>
              <w:top w:val="single" w:sz="4" w:space="0" w:color="BFBFBF" w:themeColor="background1" w:themeShade="BF"/>
              <w:left w:val="nil"/>
              <w:bottom w:val="single" w:sz="4" w:space="0" w:color="auto"/>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10.000</w:t>
            </w:r>
          </w:p>
        </w:tc>
        <w:tc>
          <w:tcPr>
            <w:tcW w:w="1200" w:type="dxa"/>
            <w:tcBorders>
              <w:top w:val="single" w:sz="4" w:space="0" w:color="BFBFBF" w:themeColor="background1" w:themeShade="BF"/>
              <w:left w:val="nil"/>
              <w:bottom w:val="single" w:sz="4" w:space="0" w:color="auto"/>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0</w:t>
            </w:r>
          </w:p>
        </w:tc>
      </w:tr>
    </w:tbl>
    <w:p w:rsidR="00C03D1E" w:rsidRDefault="00C03D1E" w:rsidP="00C03D1E"/>
    <w:p w:rsidR="00C03D1E" w:rsidRDefault="00C03D1E" w:rsidP="00C03D1E">
      <w:pPr>
        <w:pStyle w:val="berschrift3"/>
      </w:pPr>
      <w:r>
        <w:t>4.2.4 sonstige laufende Erträge</w:t>
      </w:r>
    </w:p>
    <w:p w:rsidR="00C03D1E" w:rsidRDefault="00C03D1E" w:rsidP="00C03D1E"/>
    <w:tbl>
      <w:tblPr>
        <w:tblW w:w="9298" w:type="dxa"/>
        <w:tblInd w:w="-5" w:type="dxa"/>
        <w:tblCellMar>
          <w:left w:w="70" w:type="dxa"/>
          <w:right w:w="70" w:type="dxa"/>
        </w:tblCellMar>
        <w:tblLook w:val="04A0" w:firstRow="1" w:lastRow="0" w:firstColumn="1" w:lastColumn="0" w:noHBand="0" w:noVBand="1"/>
      </w:tblPr>
      <w:tblGrid>
        <w:gridCol w:w="1478"/>
        <w:gridCol w:w="5420"/>
        <w:gridCol w:w="1200"/>
        <w:gridCol w:w="1200"/>
      </w:tblGrid>
      <w:tr w:rsidR="00C03D1E" w:rsidRPr="0020380E" w:rsidTr="002C256C">
        <w:trPr>
          <w:trHeight w:val="300"/>
        </w:trPr>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Planungsstelle</w:t>
            </w:r>
          </w:p>
        </w:tc>
        <w:tc>
          <w:tcPr>
            <w:tcW w:w="542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Bezeichnung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Ansatz aktuell</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A</w:t>
            </w:r>
            <w:r w:rsidRPr="0020380E">
              <w:rPr>
                <w:rFonts w:ascii="Calibri" w:eastAsia="Times New Roman" w:hAnsi="Calibri" w:cs="Calibri"/>
                <w:color w:val="000000"/>
                <w:lang w:eastAsia="de-DE"/>
              </w:rPr>
              <w:t xml:space="preserve">nsatz </w:t>
            </w:r>
            <w:r>
              <w:rPr>
                <w:rFonts w:ascii="Calibri" w:eastAsia="Times New Roman" w:hAnsi="Calibri" w:cs="Calibri"/>
                <w:color w:val="000000"/>
                <w:lang w:eastAsia="de-DE"/>
              </w:rPr>
              <w:t>V</w:t>
            </w:r>
            <w:r w:rsidRPr="0020380E">
              <w:rPr>
                <w:rFonts w:ascii="Calibri" w:eastAsia="Times New Roman" w:hAnsi="Calibri" w:cs="Calibri"/>
                <w:color w:val="000000"/>
                <w:lang w:eastAsia="de-DE"/>
              </w:rPr>
              <w:t>orjahr</w:t>
            </w:r>
          </w:p>
        </w:tc>
      </w:tr>
      <w:tr w:rsidR="00C03D1E" w:rsidRPr="0020380E" w:rsidTr="002C256C">
        <w:trPr>
          <w:trHeight w:val="300"/>
        </w:trPr>
        <w:tc>
          <w:tcPr>
            <w:tcW w:w="1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3D1E" w:rsidRDefault="00C03D1E" w:rsidP="002C256C">
            <w:pPr>
              <w:rPr>
                <w:rFonts w:ascii="Calibri" w:hAnsi="Calibri" w:cs="Calibri"/>
                <w:color w:val="000000"/>
              </w:rPr>
            </w:pPr>
            <w:r>
              <w:rPr>
                <w:rFonts w:ascii="Calibri" w:hAnsi="Calibri" w:cs="Calibri"/>
                <w:color w:val="000000"/>
              </w:rPr>
              <w:t>5.4.1.1.462500</w:t>
            </w:r>
          </w:p>
        </w:tc>
        <w:tc>
          <w:tcPr>
            <w:tcW w:w="5420" w:type="dxa"/>
            <w:tcBorders>
              <w:top w:val="single" w:sz="4" w:space="0" w:color="auto"/>
              <w:left w:val="nil"/>
              <w:bottom w:val="single" w:sz="4" w:space="0" w:color="auto"/>
              <w:right w:val="single" w:sz="4" w:space="0" w:color="auto"/>
            </w:tcBorders>
            <w:shd w:val="clear" w:color="auto" w:fill="auto"/>
            <w:noWrap/>
            <w:vAlign w:val="bottom"/>
            <w:hideMark/>
          </w:tcPr>
          <w:p w:rsidR="00C03D1E" w:rsidRDefault="00C03D1E" w:rsidP="002C256C">
            <w:pPr>
              <w:rPr>
                <w:rFonts w:ascii="Calibri" w:hAnsi="Calibri" w:cs="Calibri"/>
                <w:color w:val="000000"/>
              </w:rPr>
            </w:pPr>
            <w:r>
              <w:rPr>
                <w:rFonts w:ascii="Calibri" w:hAnsi="Calibri" w:cs="Calibri"/>
                <w:color w:val="000000"/>
              </w:rPr>
              <w:t>Konzessionsabgaben –</w:t>
            </w:r>
          </w:p>
          <w:p w:rsidR="00C03D1E" w:rsidRDefault="00C03D1E" w:rsidP="002C256C">
            <w:pPr>
              <w:rPr>
                <w:rFonts w:ascii="Calibri" w:hAnsi="Calibri" w:cs="Calibri"/>
                <w:color w:val="000000"/>
              </w:rPr>
            </w:pPr>
            <w:r>
              <w:rPr>
                <w:rFonts w:ascii="Calibri" w:hAnsi="Calibri" w:cs="Calibri"/>
                <w:color w:val="000000"/>
              </w:rPr>
              <w:t>Anpassung aufgrund steigender Umsätze im Energiesektor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03D1E" w:rsidRDefault="00C03D1E" w:rsidP="002C256C">
            <w:pPr>
              <w:jc w:val="right"/>
              <w:rPr>
                <w:rFonts w:ascii="Calibri" w:hAnsi="Calibri" w:cs="Calibri"/>
                <w:color w:val="000000"/>
              </w:rPr>
            </w:pPr>
            <w:r>
              <w:rPr>
                <w:rFonts w:ascii="Calibri" w:hAnsi="Calibri" w:cs="Calibri"/>
                <w:color w:val="000000"/>
              </w:rPr>
              <w:t>126.000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03D1E" w:rsidRDefault="00C03D1E" w:rsidP="002C256C">
            <w:pPr>
              <w:jc w:val="right"/>
              <w:rPr>
                <w:rFonts w:ascii="Calibri" w:hAnsi="Calibri" w:cs="Calibri"/>
                <w:color w:val="000000"/>
              </w:rPr>
            </w:pPr>
            <w:r>
              <w:rPr>
                <w:rFonts w:ascii="Calibri" w:hAnsi="Calibri" w:cs="Calibri"/>
                <w:color w:val="000000"/>
              </w:rPr>
              <w:t>110.000</w:t>
            </w:r>
          </w:p>
        </w:tc>
      </w:tr>
    </w:tbl>
    <w:p w:rsidR="00C03D1E" w:rsidRDefault="00C03D1E" w:rsidP="00C03D1E"/>
    <w:p w:rsidR="00C03D1E" w:rsidRDefault="00C03D1E" w:rsidP="00C03D1E">
      <w:r>
        <w:t>Weitere Abweichungen ergaben sich aus Auflösungserträgen für Rückstellungen im vergangenen Jahr</w:t>
      </w:r>
    </w:p>
    <w:p w:rsidR="00C03D1E" w:rsidRDefault="00C03D1E" w:rsidP="00C03D1E">
      <w:pPr>
        <w:spacing w:after="160" w:line="259" w:lineRule="auto"/>
        <w:jc w:val="left"/>
      </w:pPr>
      <w:r>
        <w:br w:type="page"/>
      </w:r>
    </w:p>
    <w:p w:rsidR="0015474A" w:rsidRPr="00C03D1E" w:rsidRDefault="0015474A" w:rsidP="00C03D1E"/>
    <w:sectPr w:rsidR="0015474A" w:rsidRPr="00C03D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26"/>
    <w:rsid w:val="000B0F32"/>
    <w:rsid w:val="0015474A"/>
    <w:rsid w:val="00280B21"/>
    <w:rsid w:val="00611E5B"/>
    <w:rsid w:val="0071339A"/>
    <w:rsid w:val="007E0D47"/>
    <w:rsid w:val="00C03D1E"/>
    <w:rsid w:val="00C611C4"/>
    <w:rsid w:val="00D36551"/>
    <w:rsid w:val="00D92536"/>
    <w:rsid w:val="00E002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689</Words>
  <Characters>4342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Dz</dc:creator>
  <cp:lastModifiedBy>Michael Dz</cp:lastModifiedBy>
  <cp:revision>6</cp:revision>
  <dcterms:created xsi:type="dcterms:W3CDTF">2023-04-19T07:55:00Z</dcterms:created>
  <dcterms:modified xsi:type="dcterms:W3CDTF">2023-07-04T20:08:00Z</dcterms:modified>
</cp:coreProperties>
</file>