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 xml:space="preserve">Die Hebesätze haben sich wie folgt entwickelt</w:t>
      </w:r>
    </w:p>
    <w:p w:rsidR="001411CC" w:rsidRDefault="001411CC" w:rsidP="00C03D1E">
      <w:r>
        <w:t xml:space="preserve"/>
      </w:r>
      <w:r>
        <w:drawing>
          <wp:inline xmlns:a="http://schemas.openxmlformats.org/drawingml/2006/main" xmlns:pic="http://schemas.openxmlformats.org/drawingml/2006/picture">
            <wp:extent cx="5486400" cy="3291840"/>
            <wp:docPr id="1001" name="Picture 1"/>
            <wp:cNvGraphicFramePr>
              <a:graphicFrameLocks noChangeAspect="1"/>
            </wp:cNvGraphicFramePr>
            <a:graphic>
              <a:graphicData uri="http://schemas.openxmlformats.org/drawingml/2006/picture">
                <pic:pic>
                  <pic:nvPicPr>
                    <pic:cNvPr id="0" name="img_hebesatz_entwicklung.png"/>
                    <pic:cNvPicPr/>
                  </pic:nvPicPr>
                  <pic:blipFill>
                    <a:blip r:embed="rId8"/>
                    <a:stretch>
                      <a:fillRect/>
                    </a:stretch>
                  </pic:blipFill>
                  <pic:spPr>
                    <a:xfrm>
                      <a:off x="0" y="0"/>
                      <a:ext cx="5486400" cy="3291840"/>
                    </a:xfrm>
                    <a:prstGeom prst="rect"/>
                  </pic:spPr>
                </pic:pic>
              </a:graphicData>
            </a:graphic>
          </wp:inline>
        </w:drawing>
      </w:r>
      <w:r>
        <w:t xml:space="preserve"/>
      </w:r>
    </w:p>
    <w:p w:rsidR="001411CC" w:rsidRDefault="001411CC" w:rsidP="00C03D1E"/>
    <w:p w:rsidR="000B0F32" w:rsidRDefault="000B0F32" w:rsidP="00C03D1E">
      <w:r>
        <w:t xml:space="preserve">Die Steuererträge entwickelten sich in den vergangenen Jahren wie folgt:</w:t>
      </w:r>
    </w:p>
    <w:p w:rsidR="001411CC" w:rsidRDefault="001411CC" w:rsidP="00C03D1E"/>
    <w:p w:rsidR="000B0F32" w:rsidRDefault="001411CC" w:rsidP="00C03D1E">
      <w:r>
        <w:t xml:space="preserve"/>
      </w:r>
      <w:r>
        <w:drawing>
          <wp:inline xmlns:a="http://schemas.openxmlformats.org/drawingml/2006/main" xmlns:pic="http://schemas.openxmlformats.org/drawingml/2006/picture">
            <wp:extent cx="5486400" cy="4572000"/>
            <wp:docPr id="1002" name="Picture 1"/>
            <wp:cNvGraphicFramePr>
              <a:graphicFrameLocks noChangeAspect="1"/>
            </wp:cNvGraphicFramePr>
            <a:graphic>
              <a:graphicData uri="http://schemas.openxmlformats.org/drawingml/2006/picture">
                <pic:pic>
                  <pic:nvPicPr>
                    <pic:cNvPr id="0" name="img_steuer_entwicklung.png"/>
                    <pic:cNvPicPr/>
                  </pic:nvPicPr>
                  <pic:blipFill>
                    <a:blip r:embed="rId9"/>
                    <a:stretch>
                      <a:fillRect/>
                    </a:stretch>
                  </pic:blipFill>
                  <pic:spPr>
                    <a:xfrm>
                      <a:off x="0" y="0"/>
                      <a:ext cx="5486400" cy="4572000"/>
                    </a:xfrm>
                    <a:prstGeom prst="rect"/>
                  </pic:spPr>
                </pic:pic>
              </a:graphicData>
            </a:graphic>
          </wp:inline>
        </w:drawing>
      </w:r>
      <w:r>
        <w:t xml:space="preserve"/>
      </w:r>
    </w:p>
    <w:p w:rsidR="00C03D1E" w:rsidRDefault="00C03D1E" w:rsidP="00C03D1E">
      <w:pPr>
        <w:rPr>
          <w:u w:val="single"/>
        </w:rPr>
      </w:pPr>
    </w:p>
    <w:p w:rsidR="00C03D1E" w:rsidRPr="00DB26D9" w:rsidRDefault="00C03D1E" w:rsidP="000C2AE6">
      <w:pPr>
        <w:keepLines/>
        <w:rPr>
          <w:u w:val="single"/>
        </w:rPr>
      </w:pPr>
      <w:r>
        <w:rPr>
          <w:u w:val="single"/>
        </w:rPr>
        <w:t>Steuerkraft</w:t>
      </w:r>
    </w:p>
    <w:p w:rsidR="00C03D1E" w:rsidRDefault="00C03D1E" w:rsidP="000C2AE6">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B76F5E">
            <w:pPr>
              <w:keepNext/>
              <w:keepLines/>
              <w:spacing w:after="0"/>
              <w:jc w:val="center"/>
              <w:rPr>
                <w:rFonts w:eastAsia="Times New Roman" w:cs="Arial"/>
                <w:b/>
                <w:bCs/>
                <w:sz w:val="20"/>
                <w:szCs w:val="20"/>
                <w:lang w:eastAsia="de-DE"/>
              </w:rPr>
            </w:pPr>
            <w:r w:rsidRPr="00104855">
              <w:rPr>
                <w:rFonts w:eastAsia="Times New Roman" w:cs="Arial"/>
                <w:b/>
                <w:bCs/>
                <w:sz w:val="20"/>
                <w:szCs w:val="20"/>
                <w:lang w:eastAsia="de-DE"/>
              </w:rPr>
              <w:lastRenderedPageBreak/>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B76F5E">
            <w:pPr>
              <w:keepNext/>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322,92</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136.805,07</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181.213,85</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558.648,80</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proofErr w:type="gramStart"/>
            <w:r>
              <w:rPr>
                <w:rFonts w:eastAsia="Times New Roman" w:cs="Arial"/>
                <w:sz w:val="16"/>
                <w:szCs w:val="16"/>
                <w:lang w:eastAsia="de-DE"/>
              </w:rPr>
              <w:t xml:space="preserve">1.557.129,22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420.0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2.115.778,02</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84,98</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34.201,27</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43.146,15</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2.356,01</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449.362,09</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1234423.63</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80.908,12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202.706,25</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283.614,37</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620,00</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112.340,52</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293.910,39</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B76F5E">
            <w:pPr>
              <w:keepNext/>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 xml:space="preserve">)</w:t>
            </w:r>
          </w:p>
        </w:tc>
        <w:tc>
          <w:tcPr>
            <w:tcW w:w="1666"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704,98</w:t>
            </w:r>
          </w:p>
        </w:tc>
        <w:tc>
          <w:tcPr>
            <w:tcW w:w="1559"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146.541,79</w:t>
            </w:r>
          </w:p>
        </w:tc>
        <w:tc>
          <w:tcPr>
            <w:tcW w:w="1559"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337.056,54</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55.275,72</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345</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465.0</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345.0</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160.198,22</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2.432,18</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681.419,32</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1.162.845,06</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215.473,94</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B76F5E">
            <w:pPr>
              <w:keepNext/>
              <w:keepLines/>
              <w:spacing w:after="0"/>
              <w:jc w:val="left"/>
              <w:rPr>
                <w:rFonts w:eastAsia="Times New Roman" w:cs="Arial"/>
                <w:lang w:eastAsia="de-DE"/>
              </w:rPr>
            </w:pPr>
            <w:r w:rsidRPr="00104855">
              <w:rPr>
                <w:rFonts w:eastAsia="Times New Roman" w:cs="Arial"/>
                <w:lang w:eastAsia="de-DE"/>
              </w:rPr>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B76F5E">
            <w:pPr>
              <w:keepNext/>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4.461.563,00</w:t>
            </w:r>
          </w:p>
        </w:tc>
      </w:tr>
    </w:tbl>
    <w:p w:rsidR="00C03D1E" w:rsidRPr="00DB26D9" w:rsidRDefault="00C03D1E" w:rsidP="000C2AE6">
      <w:pPr>
        <w:keepLines/>
      </w:pPr>
    </w:p>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17"/>
        <w:gridCol w:w="6309"/>
        <w:gridCol w:w="2486"/>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4.461.563,00</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 xml:space="preserve">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4.131</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1.080,02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1.807,01</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1.097,43</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-17,41</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 xml:space="preserve">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4.131</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b/>
                <w:bCs/>
                <w:u w:val="double"/>
                <w:lang w:eastAsia="de-DE"/>
              </w:rPr>
            </w:pPr>
            <w:r>
              <w:rPr>
                <w:rFonts w:eastAsia="Times New Roman" w:cs="Arial"/>
                <w:b/>
                <w:bCs/>
                <w:u w:val="double"/>
                <w:lang w:eastAsia="de-DE"/>
              </w:rPr>
              <w:t xml:space="preserve">70.227,00</w:t>
            </w:r>
          </w:p>
        </w:tc>
      </w:tr>
    </w:tbl>
    <w:p w:rsidR="00C03D1E" w:rsidRDefault="00C03D1E" w:rsidP="00C03D1E"/>
    <w:p w:rsidR="000C2AE6" w:rsidRDefault="000C2AE6" w:rsidP="00C03D1E">
      <w:pPr>
        <w:rPr>
          <w:u w:val="single"/>
        </w:rPr>
      </w:pPr>
    </w:p>
    <w:p w:rsidR="000073F9" w:rsidRDefault="000073F9" w:rsidP="00C03D1E">
      <w:pPr>
        <w:rPr>
          <w:u w:val="single"/>
        </w:rPr>
      </w:pPr>
      <w:r>
        <w:rPr>
          <w:u w:val="single"/>
        </w:rPr>
        <w:t>Schlüsselzuweisungen B</w:t>
      </w:r>
    </w:p>
    <w:p w:rsidR="000073F9" w:rsidRDefault="000073F9" w:rsidP="00C03D1E">
      <w:pPr>
        <w:rPr>
          <w:u w:val="single"/>
        </w:rPr>
      </w:pPr>
    </w:p>
    <w:p w:rsidR="000073F9" w:rsidRDefault="000073F9" w:rsidP="00B76F5E">
      <w:pPr>
        <w:tabs>
          <w:tab w:val="decimal" w:pos="8931"/>
        </w:tabs>
      </w:pPr>
      <w:r>
        <w:t>1. Ermittlung der Ausgleichsmesszahl:</w:t>
      </w:r>
    </w:p>
    <w:p w:rsidR="000073F9" w:rsidRDefault="000073F9" w:rsidP="00145A80">
      <w:pPr>
        <w:tabs>
          <w:tab w:val="decimal" w:pos="8222"/>
        </w:tabs>
      </w:pPr>
      <w:r>
        <w:t xml:space="preserve">Hauptansatz (= 4.131 EW x 0.3) </w:t>
      </w:r>
      <w:r>
        <w:tab/>
      </w:r>
      <w:r>
        <w:tab/>
        <w:t xml:space="preserve">1.239</w:t>
      </w:r>
    </w:p>
    <w:p w:rsidR="000073F9" w:rsidRDefault="000073F9" w:rsidP="00145A80">
      <w:pPr>
        <w:tabs>
          <w:tab w:val="decimal" w:pos="8222"/>
        </w:tabs>
      </w:pPr>
      <w:r>
        <w:t xml:space="preserve">+ Nebenansätze</w:t>
      </w:r>
      <w:r w:rsidR="00B2152C">
        <w:tab/>
        <w:t xml:space="preserve">2</w:t>
      </w:r>
    </w:p>
    <w:p w:rsidR="000073F9" w:rsidRDefault="000073F9" w:rsidP="00145A80">
      <w:pPr>
        <w:tabs>
          <w:tab w:val="left" w:pos="709"/>
          <w:tab w:val="decimal" w:pos="5954"/>
        </w:tabs>
      </w:pPr>
      <w:r>
        <w:tab/>
        <w:t xml:space="preserve">Kitas:</w:t>
      </w:r>
      <w:r w:rsidR="00145A80">
        <w:tab/>
      </w:r>
      <w:r>
        <w:tab/>
        <w:t xml:space="preserve">2</w:t>
      </w:r>
    </w:p>
    <w:p w:rsidR="000073F9" w:rsidRDefault="000073F9" w:rsidP="00145A80">
      <w:pPr>
        <w:tabs>
          <w:tab w:val="left" w:pos="709"/>
          <w:tab w:val="decimal" w:pos="5954"/>
        </w:tabs>
      </w:pPr>
      <w:r>
        <w:tab/>
        <w:t xml:space="preserve"/>
      </w:r>
    </w:p>
    <w:p w:rsidR="000073F9" w:rsidRDefault="000073F9" w:rsidP="00145A80">
      <w:pPr>
        <w:tabs>
          <w:tab w:val="decimal" w:pos="8222"/>
        </w:tabs>
      </w:pPr>
      <w:r>
        <w:t>= Gesamtansatz</w:t>
      </w:r>
      <w:r>
        <w:tab/>
      </w:r>
      <w:proofErr w:type="gramStart"/>
      <w:r>
        <w:t xml:space="preserve">1.241</w:t>
      </w:r>
    </w:p>
    <w:p w:rsidR="000073F9" w:rsidRDefault="000073F9" w:rsidP="00145A80">
      <w:pPr>
        <w:tabs>
          <w:tab w:val="decimal" w:pos="8222"/>
        </w:tabs>
      </w:pPr>
      <w:r>
        <w:t xml:space="preserve">X Grundbetrag</w:t>
      </w:r>
      <w:r w:rsidR="00B76F5E">
        <w:tab/>
      </w:r>
      <w:r>
        <w:t xml:space="preserve">810,00</w:t>
      </w:r>
    </w:p>
    <w:p w:rsidR="000073F9" w:rsidRDefault="00B76F5E" w:rsidP="00145A80">
      <w:pPr>
        <w:tabs>
          <w:tab w:val="decimal" w:pos="8222"/>
        </w:tabs>
      </w:pPr>
      <w:r>
        <w:t xml:space="preserve">= Ausgleichsmesszahl</w:t>
      </w:r>
      <w:r w:rsidR="000073F9">
        <w:tab/>
        <w:t xml:space="preserve">1.005.210,00</w:t>
      </w:r>
    </w:p>
    <w:p w:rsidR="000073F9" w:rsidRDefault="000073F9" w:rsidP="00145A80">
      <w:pPr>
        <w:tabs>
          <w:tab w:val="decimal" w:pos="8222"/>
        </w:tabs>
      </w:pPr>
    </w:p>
    <w:p w:rsidR="00706CE6" w:rsidRDefault="000073F9" w:rsidP="00145A80">
      <w:pPr>
        <w:tabs>
          <w:tab w:val="decimal" w:pos="8222"/>
        </w:tabs>
      </w:pPr>
      <w:r>
        <w:t>2. Ermittlung der Finanzkraftmesszahl</w:t>
      </w:r>
    </w:p>
    <w:p w:rsidR="000073F9" w:rsidRDefault="000073F9" w:rsidP="00145A80">
      <w:pPr>
        <w:tabs>
          <w:tab w:val="decimal" w:pos="8222"/>
        </w:tabs>
      </w:pPr>
      <w:r>
        <w:t xml:space="preserve">Steuerkraft:</w:t>
      </w:r>
      <w:r>
        <w:tab/>
        <w:t xml:space="preserve">4.461.563</w:t>
      </w:r>
    </w:p>
    <w:p w:rsidR="000073F9" w:rsidRDefault="004F35F7" w:rsidP="00145A80">
      <w:pPr>
        <w:tabs>
          <w:tab w:val="decimal" w:pos="8222"/>
        </w:tabs>
      </w:pPr>
      <w:r>
        <w:t xml:space="preserve">+ Schlüsselzuweisungen A</w:t>
      </w:r>
      <w:r w:rsidR="000073F9">
        <w:tab/>
        <w:t xml:space="preserve">70.227</w:t>
      </w:r>
    </w:p>
    <w:p w:rsidR="000073F9" w:rsidRDefault="000073F9" w:rsidP="00145A80">
      <w:pPr>
        <w:tabs>
          <w:tab w:val="decimal" w:pos="8222"/>
        </w:tabs>
      </w:pPr>
      <w:r>
        <w:t xml:space="preserve">= Zwischenergebnis</w:t>
      </w:r>
      <w:r>
        <w:tab/>
        <w:t xml:space="preserve">4.531.790 </w:t>
      </w:r>
    </w:p>
    <w:p w:rsidR="000073F9" w:rsidRDefault="000073F9" w:rsidP="00145A80">
      <w:pPr>
        <w:tabs>
          <w:tab w:val="decimal" w:pos="8222"/>
        </w:tabs>
      </w:pPr>
      <w:r>
        <w:t>X Anrechnungsquote</w:t>
      </w:r>
      <w:r>
        <w:tab/>
        <w:t xml:space="preserve">30.00 %</w:t>
      </w:r>
    </w:p>
    <w:p w:rsidR="000073F9" w:rsidRDefault="000073F9" w:rsidP="00145A80">
      <w:pPr>
        <w:tabs>
          <w:tab w:val="decimal" w:pos="8222"/>
        </w:tabs>
      </w:pPr>
      <w:r>
        <w:t xml:space="preserve">= </w:t>
      </w:r>
      <w:r w:rsidR="004F35F7">
        <w:t xml:space="preserve">Finanzkraftmesszahl</w:t>
      </w:r>
      <w:r>
        <w:tab/>
        <w:t xml:space="preserve">1.359.537</w:t>
      </w:r>
    </w:p>
    <w:p w:rsidR="00535FE0" w:rsidRDefault="00535FE0" w:rsidP="00C03D1E"/>
    <w:p w:rsidR="00535FE0" w:rsidRDefault="00535FE0" w:rsidP="00C03D1E">
      <w:r>
        <w:t xml:space="preserve">3. Zuweisungsbetrag</w:t>
      </w:r>
    </w:p>
    <w:p w:rsidR="00535FE0" w:rsidRDefault="00535FE0" w:rsidP="00C03D1E">
      <w:r>
        <w:t xml:space="preserve"/>
      </w:r>
      <w:r w:rsidR="00033196">
        <w:t xml:space="preserve">G</w:t>
      </w:r>
      <w:r>
        <w:t xml:space="preserve">em. § 14 Abs. 2 LFAG wird keine Zuweisung gewährt, weil die Finanzkraftmesszahl größer ist als die Ausgleichsmesszahl. </w:t>
      </w:r>
    </w:p>
    <w:p w:rsidR="00535FE0" w:rsidRDefault="00535FE0" w:rsidP="00C03D1E">
      <w:r>
        <w:t xml:space="preserve"/>
      </w:r>
    </w:p>
    <w:p w:rsidR="00D904AD" w:rsidRDefault="00F5579F" w:rsidP="00C03D1E">
      <w:pPr>
        <w:rPr>
          <w:u w:val="single"/>
        </w:rPr>
      </w:pPr>
      <w:r>
        <w:rPr>
          <w:u w:val="single"/>
        </w:rPr>
        <w:t xml:space="preserve"/>
      </w:r>
    </w:p>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464A0" w:rsidRDefault="00C464A0" w:rsidP="005645DE"/>
    <w:p w:rsidR="005645DE" w:rsidRPr="005645DE" w:rsidRDefault="005645DE" w:rsidP="00F87C45">
      <w:pPr>
        <w:ind w:left="709" w:firstLine="709"/>
      </w:pPr>
      <w:r>
        <w:t xml:space="preserve">Einwohner </w:t>
      </w:r>
      <w:r>
        <w:tab/>
        <w:t>x</w:t>
      </w:r>
      <w:r>
        <w:tab/>
        <w:t>Multiplikator</w:t>
      </w:r>
      <w:r>
        <w:tab/>
      </w:r>
      <w:r>
        <w:tab/>
        <w:t>=</w:t>
      </w:r>
      <w:r>
        <w:tab/>
      </w:r>
      <w:r>
        <w:tab/>
        <w:t>Ansatz</w:t>
      </w:r>
    </w:p>
    <w:p w:rsidR="005645DE" w:rsidRDefault="00F87C45" w:rsidP="00F87C45">
      <w:pPr>
        <w:tabs>
          <w:tab w:val="left" w:pos="1418"/>
          <w:tab w:val="left" w:pos="3544"/>
          <w:tab w:val="left" w:pos="7088"/>
        </w:tabs>
      </w:pPr>
      <w:r w:rsidRPr="00F87C45">
        <w:t>Mittelber</w:t>
      </w:r>
      <w:r>
        <w:t>e</w:t>
      </w:r>
      <w:bookmarkStart w:id="0" w:name="_GoBack"/>
      <w:bookmarkEnd w:id="0"/>
      <w:r w:rsidRPr="00F87C45">
        <w:t xml:space="preserve">ich</w:t>
      </w:r>
      <w:r w:rsidRPr="00F87C45">
        <w:tab/>
      </w:r>
      <w:r w:rsidR="00510CB4" w:rsidRPr="00F87C45">
        <w:t xml:space="preserve"/>
      </w:r>
    </w:p>
    <w:p w:rsidR="005645DE" w:rsidRDefault="005645DE" w:rsidP="005645DE">
      <w:pPr>
        <w:rPr>
          <w:u w:val="single"/>
        </w:rPr>
      </w:pPr>
      <w:r>
        <w:rPr>
          <w:u w:val="single"/>
        </w:rPr>
        <w:lastRenderedPageBreak/>
        <w:t xml:space="preserve"/>
      </w:r>
    </w:p>
    <w:p w:rsidR="005645DE" w:rsidRDefault="00F87C45" w:rsidP="00F87C45">
      <w:pPr>
        <w:tabs>
          <w:tab w:val="left" w:pos="1418"/>
          <w:tab w:val="left" w:pos="3544"/>
          <w:tab w:val="left" w:pos="7088"/>
        </w:tabs>
        <w:jc w:val="left"/>
      </w:pPr>
      <w:r>
        <w:t>Nahbereich</w:t>
      </w:r>
      <w:r>
        <w:tab/>
      </w:r>
      <w:proofErr w:type="gramStart"/>
      <w:r w:rsidR="005645DE">
        <w:t xml:space="preserve">5.136</w:t>
      </w:r>
      <w:r w:rsidR="005645DE">
        <w:tab/>
        <w:t xml:space="preserve">1.797565</w:t>
      </w:r>
      <w:r w:rsidR="005645DE">
        <w:tab/>
      </w:r>
      <w:r w:rsidR="0016339D">
        <w:t xml:space="preserve">92</w:t>
      </w:r>
    </w:p>
    <w:p w:rsidR="005645DE" w:rsidRDefault="005645DE" w:rsidP="005645DE"/>
    <w:p w:rsidR="00C03D1E" w:rsidRDefault="00C03D1E" w:rsidP="00C03D1E">
      <w:pPr>
        <w:tabs>
          <w:tab w:val="left" w:pos="709"/>
          <w:tab w:val="decimal" w:pos="7655"/>
        </w:tabs>
      </w:pPr>
      <w:r>
        <w:t>=</w:t>
      </w:r>
      <w:r>
        <w:tab/>
        <w:t>Ansatz (Berechnungsbasis)</w:t>
      </w:r>
      <w:r>
        <w:tab/>
      </w:r>
      <w:proofErr w:type="gramStart"/>
      <w:r w:rsidR="00151EDB">
        <w:t xml:space="preserve">92</w:t>
      </w:r>
    </w:p>
    <w:p w:rsidR="00C03D1E" w:rsidRDefault="00C03D1E" w:rsidP="00C03D1E"/>
    <w:p w:rsidR="00C03D1E" w:rsidRDefault="00C03D1E" w:rsidP="00C03D1E">
      <w:pPr>
        <w:tabs>
          <w:tab w:val="left" w:pos="709"/>
          <w:tab w:val="decimal" w:pos="7655"/>
        </w:tabs>
      </w:pPr>
      <w:r>
        <w:t xml:space="preserve">x</w:t>
      </w:r>
      <w:r>
        <w:tab/>
        <w:t xml:space="preserve">Grundbetrag für Ortsgemeinden </w:t>
      </w:r>
      <w:r>
        <w:tab/>
      </w:r>
      <w:r w:rsidR="00151EDB">
        <w:t xml:space="preserve">2.072,00</w:t>
      </w:r>
    </w:p>
    <w:p w:rsidR="00C03D1E" w:rsidRDefault="00C03D1E" w:rsidP="00C03D1E">
      <w:pPr>
        <w:tabs>
          <w:tab w:val="left" w:pos="709"/>
          <w:tab w:val="decimal" w:pos="7655"/>
        </w:tabs>
      </w:pPr>
      <w:r>
        <w:t xml:space="preserve">=</w:t>
      </w:r>
      <w:r>
        <w:tab/>
        <w:t xml:space="preserve">Ausgleichsbetrag </w:t>
      </w:r>
      <w:r>
        <w:tab/>
      </w:r>
      <w:r w:rsidR="00151EDB">
        <w:t xml:space="preserve">190.624,00</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 xml:space="preserve">190.624,00</w:t>
      </w:r>
    </w:p>
    <w:p w:rsidR="00C03D1E" w:rsidRDefault="00C03D1E" w:rsidP="00C03D1E">
      <w:pPr>
        <w:tabs>
          <w:tab w:val="left" w:pos="709"/>
          <w:tab w:val="decimal" w:pos="7655"/>
        </w:tabs>
      </w:pPr>
      <w:r>
        <w:t>+</w:t>
      </w:r>
      <w:r>
        <w:tab/>
        <w:t xml:space="preserve">Ausgleichsmesszahl</w:t>
      </w:r>
      <w:r>
        <w:tab/>
      </w:r>
      <w:r w:rsidR="00151EDB">
        <w:t xml:space="preserve">0,00</w:t>
      </w:r>
    </w:p>
    <w:p w:rsidR="00C03D1E" w:rsidRDefault="00C03D1E" w:rsidP="00C03D1E">
      <w:pPr>
        <w:tabs>
          <w:tab w:val="left" w:pos="709"/>
          <w:tab w:val="decimal" w:pos="7655"/>
        </w:tabs>
      </w:pPr>
      <w:r>
        <w:t>./.</w:t>
      </w:r>
      <w:r>
        <w:tab/>
        <w:t xml:space="preserve">Finanzkraftmesszahl</w:t>
      </w:r>
      <w:r>
        <w:tab/>
      </w:r>
      <w:r w:rsidR="00151EDB">
        <w:t xml:space="preserve">1.359.537,00</w:t>
      </w:r>
    </w:p>
    <w:p w:rsidR="00C03D1E" w:rsidRDefault="00C03D1E" w:rsidP="00C03D1E">
      <w:pPr>
        <w:tabs>
          <w:tab w:val="left" w:pos="709"/>
          <w:tab w:val="decimal" w:pos="7655"/>
        </w:tabs>
      </w:pPr>
      <w:r>
        <w:t>=</w:t>
      </w:r>
      <w:r>
        <w:tab/>
        <w:t xml:space="preserve">Differenz</w:t>
      </w:r>
      <w:r>
        <w:tab/>
      </w:r>
      <w:r w:rsidR="00151EDB">
        <w:t xml:space="preserve">-1.168.913,00</w:t>
      </w:r>
    </w:p>
    <w:p w:rsidR="00C03D1E" w:rsidRDefault="00C03D1E" w:rsidP="00C03D1E">
      <w:pPr>
        <w:tabs>
          <w:tab w:val="left" w:pos="709"/>
          <w:tab w:val="decimal" w:pos="7655"/>
        </w:tabs>
      </w:pPr>
      <w:r>
        <w:t>x</w:t>
      </w:r>
      <w:r>
        <w:tab/>
        <w:t xml:space="preserve">90 %</w:t>
      </w:r>
      <w:r>
        <w:tab/>
      </w:r>
      <w:r w:rsidR="00151EDB">
        <w:t xml:space="preserve">-1.052.021,70</w:t>
      </w:r>
    </w:p>
    <w:p w:rsidR="00C03D1E" w:rsidRDefault="00C03D1E" w:rsidP="00C03D1E">
      <w:pPr>
        <w:tabs>
          <w:tab w:val="left" w:pos="709"/>
          <w:tab w:val="decimal" w:pos="7655"/>
        </w:tabs>
      </w:pPr>
      <w:r>
        <w:t>./.</w:t>
      </w:r>
      <w:r>
        <w:tab/>
        <w:t xml:space="preserve">Anrechnung der Schlüsselzuweisung B</w:t>
      </w:r>
      <w:r>
        <w:tab/>
      </w:r>
      <w:r w:rsidR="00151EDB">
        <w:t xml:space="preserve">1,00</w:t>
      </w:r>
    </w:p>
    <w:p w:rsidR="00C03D1E" w:rsidRDefault="00C03D1E" w:rsidP="00C03D1E">
      <w:pPr>
        <w:tabs>
          <w:tab w:val="left" w:pos="709"/>
          <w:tab w:val="decimal" w:pos="7655"/>
        </w:tabs>
      </w:pPr>
      <w:r>
        <w:t>=</w:t>
      </w:r>
      <w:r>
        <w:tab/>
        <w:t xml:space="preserve">Zuweisung</w:t>
      </w:r>
      <w:r>
        <w:tab/>
      </w:r>
      <w:r w:rsidR="00151EDB">
        <w:t xml:space="preserve">-1.052.022,70</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 xml:space="preserve"/>
      </w:r>
      <w:r>
        <w:t xml:space="preserve">) mit </w:t>
      </w:r>
      <w:r w:rsidR="001411CC">
        <w:t xml:space="preserve">1.797565</w:t>
      </w:r>
      <w:r>
        <w:t xml:space="preserve"> % multipliziert. Hieraus ergibt sich ein Ansatz von </w:t>
      </w:r>
      <w:proofErr w:type="gramStart"/>
      <w:r w:rsidR="00151EDB">
        <w:t xml:space="preserve">92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60102A" w:rsidP="00C03D1E">
      <w:pPr>
        <w:pStyle w:val="berschrift3"/>
      </w:pPr>
      <w:r>
        <w:t xml:space="preserve"/>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1.1.4.3.414490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Zuschuss Jobcenter für Gemeindearbeiter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Bund</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17.000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Bundesprogramm "Sprach-Kitas: Weil Sprache der Schlüssel zur Welt ist"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von Gemeinden und Gemeindeverbänden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1.001.000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880.000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Zuwendung Personalkosten durch den Kreis (87,5 %)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4.2.4.0.415900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Sonstige Sonderposten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1.217</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5.4.1.0.415100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Sonderposten aus Zuwendungen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80.548</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424.200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in 2022: Ertrag aus der Auflösung des Sonderpostens für die Maßnahme 297, der aus dem Abbruch der Gebäude und der Veräußerung der Grundstücke resultiert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6.1.1.0.411130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 für Stationierungsgemeinden und zentrale Orte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166.100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127.120</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w:r>
    </w:p>
    <w:p w:rsidR="00E06AF8" w:rsidRDefault="00E06AF8" w:rsidP="00E06AF8">
      <w:pPr>
        <w:pStyle w:val="berschrift3"/>
      </w:pPr>
      <w:r>
        <w:lastRenderedPageBreak/>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9F1E8E">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5.4.1.0.437001</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Ertr.a d Aufl v Anz a Sopo f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92.057</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94.360</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5.5.3.1.432240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Entgelte für das Bestattungswesen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25.200</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5.5.3.1.439001</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Auflösung SoPo Grabnutzung</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33.960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31.680</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5.7.3.1.432250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Entgelte für die Sondernutzung von Straßen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13.000</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Standgeld Kirmes</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r w:rsidR="00E06AF8" w:rsidRPr="00611E5B" w:rsidTr="009F1E8E">
        <w:trPr>
          <w:trHeight w:val="70"/>
        </w:trPr>
        <w:tc>
          <w:tcPr>
            <w:tcW w:w="1732"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 xml:space="preserve">.</w:t>
      </w:r>
    </w:p>
    <w:p w:rsidR="00C03D1E" w:rsidRDefault="00A57B49" w:rsidP="00C03D1E">
      <w:pPr>
        <w:spacing w:after="160" w:line="259" w:lineRule="auto"/>
        <w:jc w:val="left"/>
      </w:pPr>
      <w:r>
        <w:t xml:space="preserve"/>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3.6.5.1.441400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11.000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5.7.3.1.441900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Sonstige privatrechtliche Erträge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8.000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Stromkostenpauschale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5.7.3.2.441200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von Mieten und Pachten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500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Benutzungsgebühren Grillhütte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1.1.4.5.442500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privaten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6.000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öffentlichen Bereich von Gemeinden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179.000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Erstattung Essenskosten (Bildungs- und Teilhabepaket) durch die Kreisverwaltung Altenkirchen; Kostenerstattung durch die Ortsgemeinde Harbach und die Stadt Kirchen für Personal- u. Sachkosten der komm. Kita (für 2022: 70.000 EUR, als periodenfremder Ertrag für 2021 29.000 EUR, für 2020 28.000 EUR, für 2019 52.000 EUR)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u.a. Erstattungen für Beschäftigungsverbot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 xml:space="preserve">.</w:t>
      </w:r>
    </w:p>
    <w:p w:rsidR="00151EDB" w:rsidRDefault="00151EDB" w:rsidP="00CD3FE3">
      <w:pPr>
        <w:rPr>
          <w:lang w:val="en-US"/>
        </w:rPr>
      </w:pPr>
    </w:p>
    <w:p w:rsidR="00151EDB" w:rsidRPr="00611E5B" w:rsidRDefault="00151EDB" w:rsidP="00151EDB">
      <w:pPr>
        <w:rPr>
          <w:lang w:val="en-US"/>
        </w:rPr>
      </w:pPr>
      <w:r>
        <w:rPr>
          <w:lang w:val="en-US"/>
        </w:rPr>
        <w:t xml:space="preserve"/>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A22DA"/>
    <w:multiLevelType w:val="hybridMultilevel"/>
    <w:tmpl w:val="0E46F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03E23"/>
    <w:rsid w:val="000073F9"/>
    <w:rsid w:val="00033196"/>
    <w:rsid w:val="00034CEE"/>
    <w:rsid w:val="0004576D"/>
    <w:rsid w:val="00093483"/>
    <w:rsid w:val="00095C7E"/>
    <w:rsid w:val="000B0F32"/>
    <w:rsid w:val="000B7733"/>
    <w:rsid w:val="000C2AE6"/>
    <w:rsid w:val="000F0C3C"/>
    <w:rsid w:val="00127823"/>
    <w:rsid w:val="00136361"/>
    <w:rsid w:val="001411CC"/>
    <w:rsid w:val="00145A80"/>
    <w:rsid w:val="00151EDB"/>
    <w:rsid w:val="0015474A"/>
    <w:rsid w:val="0016339D"/>
    <w:rsid w:val="00177445"/>
    <w:rsid w:val="001A6FDA"/>
    <w:rsid w:val="001C1F62"/>
    <w:rsid w:val="001F1E8C"/>
    <w:rsid w:val="00212502"/>
    <w:rsid w:val="00250AB1"/>
    <w:rsid w:val="00251BF0"/>
    <w:rsid w:val="00262485"/>
    <w:rsid w:val="002758D2"/>
    <w:rsid w:val="00280B21"/>
    <w:rsid w:val="00286463"/>
    <w:rsid w:val="002C030B"/>
    <w:rsid w:val="002C17A2"/>
    <w:rsid w:val="002E2BCD"/>
    <w:rsid w:val="002F76BB"/>
    <w:rsid w:val="003B1812"/>
    <w:rsid w:val="0040292E"/>
    <w:rsid w:val="0040652A"/>
    <w:rsid w:val="00434142"/>
    <w:rsid w:val="00437720"/>
    <w:rsid w:val="00461E47"/>
    <w:rsid w:val="00465A31"/>
    <w:rsid w:val="004D1929"/>
    <w:rsid w:val="004E2EE4"/>
    <w:rsid w:val="004E79C9"/>
    <w:rsid w:val="004F35F7"/>
    <w:rsid w:val="005025EB"/>
    <w:rsid w:val="0051036A"/>
    <w:rsid w:val="00510CB4"/>
    <w:rsid w:val="00517C82"/>
    <w:rsid w:val="00535FE0"/>
    <w:rsid w:val="005409F5"/>
    <w:rsid w:val="0055597F"/>
    <w:rsid w:val="005645DE"/>
    <w:rsid w:val="00583F89"/>
    <w:rsid w:val="00585751"/>
    <w:rsid w:val="00595BBD"/>
    <w:rsid w:val="005977B2"/>
    <w:rsid w:val="005A6C98"/>
    <w:rsid w:val="005B7EE8"/>
    <w:rsid w:val="005D1BBE"/>
    <w:rsid w:val="005E5807"/>
    <w:rsid w:val="0060102A"/>
    <w:rsid w:val="00611E5B"/>
    <w:rsid w:val="00632CA8"/>
    <w:rsid w:val="00637482"/>
    <w:rsid w:val="006B38BC"/>
    <w:rsid w:val="006D37CC"/>
    <w:rsid w:val="006D671A"/>
    <w:rsid w:val="006F0973"/>
    <w:rsid w:val="00706CE6"/>
    <w:rsid w:val="00711115"/>
    <w:rsid w:val="0071339A"/>
    <w:rsid w:val="00713F28"/>
    <w:rsid w:val="00714AD1"/>
    <w:rsid w:val="007216F0"/>
    <w:rsid w:val="00744573"/>
    <w:rsid w:val="007508C1"/>
    <w:rsid w:val="00755143"/>
    <w:rsid w:val="007607BD"/>
    <w:rsid w:val="00767965"/>
    <w:rsid w:val="007802FA"/>
    <w:rsid w:val="00784A56"/>
    <w:rsid w:val="007A6CC8"/>
    <w:rsid w:val="007B5AF8"/>
    <w:rsid w:val="007E0D47"/>
    <w:rsid w:val="007F7082"/>
    <w:rsid w:val="00836754"/>
    <w:rsid w:val="00863966"/>
    <w:rsid w:val="008A086B"/>
    <w:rsid w:val="008D7ACD"/>
    <w:rsid w:val="008F59D8"/>
    <w:rsid w:val="00923FF6"/>
    <w:rsid w:val="00930661"/>
    <w:rsid w:val="00977C9F"/>
    <w:rsid w:val="009F1E8E"/>
    <w:rsid w:val="009F4744"/>
    <w:rsid w:val="00A52CF3"/>
    <w:rsid w:val="00A54082"/>
    <w:rsid w:val="00A57B49"/>
    <w:rsid w:val="00A902D6"/>
    <w:rsid w:val="00AA5A05"/>
    <w:rsid w:val="00AC07E7"/>
    <w:rsid w:val="00AC4CED"/>
    <w:rsid w:val="00AE5B14"/>
    <w:rsid w:val="00B04F99"/>
    <w:rsid w:val="00B2152C"/>
    <w:rsid w:val="00B215A5"/>
    <w:rsid w:val="00B32B58"/>
    <w:rsid w:val="00B5185D"/>
    <w:rsid w:val="00B76F5E"/>
    <w:rsid w:val="00B81EB7"/>
    <w:rsid w:val="00B8275C"/>
    <w:rsid w:val="00B85EE3"/>
    <w:rsid w:val="00BC466A"/>
    <w:rsid w:val="00C03D1E"/>
    <w:rsid w:val="00C0513D"/>
    <w:rsid w:val="00C464A0"/>
    <w:rsid w:val="00C611C4"/>
    <w:rsid w:val="00CA1459"/>
    <w:rsid w:val="00CD3FE3"/>
    <w:rsid w:val="00CF5B7E"/>
    <w:rsid w:val="00D31E8F"/>
    <w:rsid w:val="00D36551"/>
    <w:rsid w:val="00D444DE"/>
    <w:rsid w:val="00D732FB"/>
    <w:rsid w:val="00D77ED7"/>
    <w:rsid w:val="00D904AD"/>
    <w:rsid w:val="00D92536"/>
    <w:rsid w:val="00D96469"/>
    <w:rsid w:val="00DA0DE6"/>
    <w:rsid w:val="00DB618C"/>
    <w:rsid w:val="00DC08D4"/>
    <w:rsid w:val="00DC6099"/>
    <w:rsid w:val="00DD6606"/>
    <w:rsid w:val="00DD708D"/>
    <w:rsid w:val="00E00226"/>
    <w:rsid w:val="00E02F56"/>
    <w:rsid w:val="00E04396"/>
    <w:rsid w:val="00E05076"/>
    <w:rsid w:val="00E06AF8"/>
    <w:rsid w:val="00E525B8"/>
    <w:rsid w:val="00E806FC"/>
    <w:rsid w:val="00ED2B88"/>
    <w:rsid w:val="00ED56DA"/>
    <w:rsid w:val="00EF7533"/>
    <w:rsid w:val="00F264DE"/>
    <w:rsid w:val="00F5579F"/>
    <w:rsid w:val="00F60252"/>
    <w:rsid w:val="00F60930"/>
    <w:rsid w:val="00F747F8"/>
    <w:rsid w:val="00F819C4"/>
    <w:rsid w:val="00F87C45"/>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722">
      <w:bodyDiv w:val="1"/>
      <w:marLeft w:val="0"/>
      <w:marRight w:val="0"/>
      <w:marTop w:val="0"/>
      <w:marBottom w:val="0"/>
      <w:divBdr>
        <w:top w:val="none" w:sz="0" w:space="0" w:color="auto"/>
        <w:left w:val="none" w:sz="0" w:space="0" w:color="auto"/>
        <w:bottom w:val="none" w:sz="0" w:space="0" w:color="auto"/>
        <w:right w:val="none" w:sz="0" w:space="0" w:color="auto"/>
      </w:divBdr>
      <w:divsChild>
        <w:div w:id="1625383206">
          <w:marLeft w:val="0"/>
          <w:marRight w:val="0"/>
          <w:marTop w:val="0"/>
          <w:marBottom w:val="0"/>
          <w:divBdr>
            <w:top w:val="none" w:sz="0" w:space="0" w:color="auto"/>
            <w:left w:val="none" w:sz="0" w:space="0" w:color="auto"/>
            <w:bottom w:val="none" w:sz="0" w:space="0" w:color="auto"/>
            <w:right w:val="none" w:sz="0" w:space="0" w:color="auto"/>
          </w:divBdr>
          <w:divsChild>
            <w:div w:id="511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180">
      <w:bodyDiv w:val="1"/>
      <w:marLeft w:val="0"/>
      <w:marRight w:val="0"/>
      <w:marTop w:val="0"/>
      <w:marBottom w:val="0"/>
      <w:divBdr>
        <w:top w:val="none" w:sz="0" w:space="0" w:color="auto"/>
        <w:left w:val="none" w:sz="0" w:space="0" w:color="auto"/>
        <w:bottom w:val="none" w:sz="0" w:space="0" w:color="auto"/>
        <w:right w:val="none" w:sz="0" w:space="0" w:color="auto"/>
      </w:divBdr>
      <w:divsChild>
        <w:div w:id="938952460">
          <w:marLeft w:val="0"/>
          <w:marRight w:val="0"/>
          <w:marTop w:val="0"/>
          <w:marBottom w:val="0"/>
          <w:divBdr>
            <w:top w:val="none" w:sz="0" w:space="0" w:color="auto"/>
            <w:left w:val="none" w:sz="0" w:space="0" w:color="auto"/>
            <w:bottom w:val="none" w:sz="0" w:space="0" w:color="auto"/>
            <w:right w:val="none" w:sz="0" w:space="0" w:color="auto"/>
          </w:divBdr>
          <w:divsChild>
            <w:div w:id="15139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194">
      <w:bodyDiv w:val="1"/>
      <w:marLeft w:val="0"/>
      <w:marRight w:val="0"/>
      <w:marTop w:val="0"/>
      <w:marBottom w:val="0"/>
      <w:divBdr>
        <w:top w:val="none" w:sz="0" w:space="0" w:color="auto"/>
        <w:left w:val="none" w:sz="0" w:space="0" w:color="auto"/>
        <w:bottom w:val="none" w:sz="0" w:space="0" w:color="auto"/>
        <w:right w:val="none" w:sz="0" w:space="0" w:color="auto"/>
      </w:divBdr>
      <w:divsChild>
        <w:div w:id="484862301">
          <w:marLeft w:val="0"/>
          <w:marRight w:val="0"/>
          <w:marTop w:val="0"/>
          <w:marBottom w:val="0"/>
          <w:divBdr>
            <w:top w:val="none" w:sz="0" w:space="0" w:color="auto"/>
            <w:left w:val="none" w:sz="0" w:space="0" w:color="auto"/>
            <w:bottom w:val="none" w:sz="0" w:space="0" w:color="auto"/>
            <w:right w:val="none" w:sz="0" w:space="0" w:color="auto"/>
          </w:divBdr>
          <w:divsChild>
            <w:div w:id="1021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7340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129</cp:revision>
  <dcterms:created xsi:type="dcterms:W3CDTF">2023-10-10T13:44:00Z</dcterms:created>
  <dcterms:modified xsi:type="dcterms:W3CDTF">2024-01-05T19:29:00Z</dcterms:modified>
  <dc:description/>
  <dc:identifier/>
  <dc:language/>
  <dc:subject/>
</cp:coreProperties>
</file>