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1498250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1488300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6400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ersaufwandstrukt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1.1.4.5.529110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Bikeleasing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Essenskosten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Mittagsverpflegung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allgemeine Unterhaltung, Reparaturen, Inspektionen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Unterhaltung der Sportstätten (15.000 EUR); Mauer Fluchtweg Turnhalle (8.000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Gebäude einschließlich der Bestandteile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Turnhallen, Sportplätze, Vereinsheim Mehraufwand Reinigung Adlerhorst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14.500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Wartung Straßenleuchten; 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86.000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Straßen- und Brückenunterhaltung, Sinkkastenreinigung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Straßenunterhaltung Jahresverträge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Abrechnung Arbeiten durch Infrastrukturservice gAöR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5.4.1.0.525310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Eigenbetriebe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68.800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 lfd. Straßenoberflächenentwässerung lt. Wirtschaftsplan VGW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5.5.5.9.523300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Instandsetzung Wege; in 2022: Windeckenstraße 20.000 EUR, Verlängerung Rothenbergstraße 5.000 EUR, Verlängerung Amperfeld 1.000 EUR, Weg zur Grillhütte 5.000 EUR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5.7.3.1.529200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Dienstleistungen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Feuerwerk, Bühnenbeleuchtung, Gage Kirmes etc.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/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 xml:space="preserve">Abschreibungen in Höhe von</w:t>
      </w:r>
      <w:r>
        <w:tab/>
        <w:t xml:space="preserve">622404.0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Abschreibungen in Höhe von</w:t>
      </w:r>
      <w:r>
        <w:tab/>
      </w:r>
      <w:proofErr w:type="gramStart"/>
      <w:r>
        <w:t xml:space="preserve">798980.0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AA04D2" w:rsidRDefault="00AA04D2" w:rsidP="007D051D">
      <w:pPr>
        <w:tabs>
          <w:tab w:val="decimal" w:pos="8647"/>
        </w:tabs>
      </w:pP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Gemeinde 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374.800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340.400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Sonderumlage Grundschule: Berechnung erfolgt nach den tatsächlichen Erträgen und Aufwendungen der Schulen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zu Klassenfahrten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Allgemeine Umlagen an Zwecksverbände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Umstellung auf 2.1.1.1.541430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2.5.3.1.541500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Beteiligung der Ortsgemeinde am Darlehen des Tierparks (3.000 EUR); Zuschuss für Tierpark (10.000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2.8.1.1.541500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Jahresbeitrag Aktionsgemeinschaft; Zuschuss Jubiläum 150 Jahre Schützen, Jubiläum 112 Jahre Feuerwehr (je 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2.9.1.1.541500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4.900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3.700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Zuschüsse an Büchereien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3.3.1.0.541500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Kath. Frauengemeinschaft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3.6.5.3.541490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Sonstigen öffentlicher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Personalkostenbeteiligung (67.000 EUR) zzgl. Sachkostenbeteiligung (15.000 EUR) Umstellung von 3.6.5.3.541490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jährlicher Zuschuss für die Unterhaltung des Kunstrasenplatzes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Aufwendungen wegen Steuerbeteiligungen und dergleichen:Gewerbesteuerumlage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 2019: Wegfall des Finanzierungsbeitrags der Gemeinden zur Abfinanzierung des Fonds "Deutsche Einheit"; ab 2020: Reduzierung des Landesvervielfältigers um 29 v.H. gem. § 6 Abs. 3 GemFinRefG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Landkreise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1.876.982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1.902.250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Kreisumlage von 40 %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Verbandsgemeinden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1.220.038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1.154.170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Umlagegrundlage von 26 %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 xml:space="preserve"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A31304" w:rsidP="006239E5">
            <w:pPr>
              <w:jc w:val="right"/>
            </w:pPr>
            <w:r>
              <w:t xml:space="preserve">4461563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 xml:space="preserve"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A31304">
            <w:pPr>
              <w:jc w:val="right"/>
            </w:pPr>
            <w:r>
              <w:t xml:space="preserve">70227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 xml:space="preserve"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A31304">
            <w:pPr>
              <w:jc w:val="right"/>
            </w:pPr>
            <w:r>
              <w:t xml:space="preserve">-1052022.7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 xml:space="preserve"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A31304">
            <w:pPr>
              <w:jc w:val="right"/>
            </w:pPr>
            <w:r>
              <w:t xml:space="preserve">3479767.3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Kreisumlage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/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Verbandsgemeindeumlage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/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 xml:space="preserve">Sonderumlage Grundschulen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3479767.3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/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572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Umlage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5.1.1.0.562500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Wohnbaustudie (in 2022: 40.000 EUR, in 2023: 25.000 EUR); B-Plan "Auf dem alten Hahn" (in 2022: 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5.2.2.1.565120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419.750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Verlust aus der Veräußerung der Grundstücke in der K.-A.-Str. nach Abbruch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6.1.1.0.579100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aus d VollVzins d Gewerbesteue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6.1.2.1.574300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Gemeinde u.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Verzinsung negativer Kassenbestände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79.600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82.670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Sparkassen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11.830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6.1.2.1.575140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Girozentralen / Landesbanken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27.500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28.500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Sonst inländische Kreditinst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Zinsaufwendungen für geplante Darlehen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6.1.2.1.579300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Kreditbeschaffungskosten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546410"/>
    <w:rsid w:val="007D051D"/>
    <w:rsid w:val="00933308"/>
    <w:rsid w:val="00A31304"/>
    <w:rsid w:val="00A92BC2"/>
    <w:rsid w:val="00AA04D2"/>
    <w:rsid w:val="00CD27B1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7</cp:revision>
  <dcterms:created xsi:type="dcterms:W3CDTF">2023-04-18T15:06:00Z</dcterms:created>
  <dcterms:modified xsi:type="dcterms:W3CDTF">2024-01-08T20:57:00Z</dcterms:modified>
  <dc:description/>
  <dc:identifier/>
  <dc:language/>
  <dc:subject/>
  <dc:title/>
</cp:coreProperties>
</file>