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79" w:rsidRDefault="00B00C79" w:rsidP="00B00C79">
      <w:pPr>
        <w:pStyle w:val="berschrift2"/>
      </w:pPr>
      <w:r>
        <w:t>3.3 Haushalt 2022</w:t>
      </w:r>
    </w:p>
    <w:p w:rsidR="00B00C79" w:rsidRPr="00732770" w:rsidRDefault="00B00C79" w:rsidP="00B00C79">
      <w:r>
        <w:t>Der Haushaltsplan 2022 wurde nicht durch Nachtragshaushalt geändert. Insofern sind die Entwicklungen 2022 im Haushalt 2023 zur Planungsgrundlage herangezogen worden.</w:t>
      </w:r>
    </w:p>
    <w:p w:rsidR="0015474A" w:rsidRDefault="0015474A">
      <w:bookmarkStart w:id="0" w:name="_GoBack"/>
      <w:bookmarkEnd w:id="0"/>
    </w:p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79"/>
    <w:rsid w:val="0015474A"/>
    <w:rsid w:val="00B00C79"/>
    <w:rsid w:val="00D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0C79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0C79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00C79"/>
    <w:rPr>
      <w:rFonts w:ascii="Arial" w:eastAsiaTheme="majorEastAsia" w:hAnsi="Arial" w:cstheme="majorBidi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0C79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0C79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00C79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1</cp:revision>
  <dcterms:created xsi:type="dcterms:W3CDTF">2023-04-19T08:15:00Z</dcterms:created>
  <dcterms:modified xsi:type="dcterms:W3CDTF">2023-04-19T08:15:00Z</dcterms:modified>
</cp:coreProperties>
</file>