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4.5 Finanzwirtschaft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Liquidität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Entwicklung der Bestände, bzw. der Schulden bei der Verbandsgemeindekasse: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 img_Liquiditaet 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Zum Jahresende {{ hhj-1 }} wird, basierend auf der Haushaltsplangung,  voraussichtlich ein </w:t>
      </w:r>
      <w:r w:rsidDel="00000000" w:rsidR="00000000" w:rsidRPr="00000000">
        <w:rPr>
          <w:color w:val="00b050"/>
          <w:rtl w:val="0"/>
        </w:rPr>
        <w:t xml:space="preserve">{% if liqVJ &gt; 0 %}</w:t>
      </w:r>
      <w:r w:rsidDel="00000000" w:rsidR="00000000" w:rsidRPr="00000000">
        <w:rPr>
          <w:rtl w:val="0"/>
        </w:rPr>
        <w:t xml:space="preserve"> Bestand </w:t>
      </w:r>
      <w:r w:rsidDel="00000000" w:rsidR="00000000" w:rsidRPr="00000000">
        <w:rPr>
          <w:color w:val="00b050"/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e Verbindlichkeit </w:t>
      </w:r>
      <w:r w:rsidDel="00000000" w:rsidR="00000000" w:rsidRPr="00000000">
        <w:rPr>
          <w:color w:val="00b050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von </w:t>
      </w:r>
      <w:r w:rsidDel="00000000" w:rsidR="00000000" w:rsidRPr="00000000">
        <w:rPr>
          <w:b w:val="1"/>
          <w:u w:val="single"/>
          <w:rtl w:val="0"/>
        </w:rPr>
        <w:t xml:space="preserve">{{ liqVJ }}</w:t>
      </w:r>
      <w:r w:rsidDel="00000000" w:rsidR="00000000" w:rsidRPr="00000000">
        <w:rPr>
          <w:rtl w:val="0"/>
        </w:rPr>
        <w:t xml:space="preserve"> bei der Verbandsgemeindekasse ausgewiesen werden. 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zf78ivl17ri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Insofern werden die Liquiditätsüberschüsse des Haushaltsplans verwendet um die Fehlbestände abzubauen.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Layout w:type="fixed"/>
        <w:tblLook w:val="0400"/>
      </w:tblPr>
      <w:tblGrid>
        <w:gridCol w:w="1820"/>
        <w:gridCol w:w="480"/>
        <w:gridCol w:w="1200"/>
        <w:gridCol w:w="1200"/>
        <w:gridCol w:w="1200"/>
        <w:gridCol w:w="2817"/>
        <w:tblGridChange w:id="0">
          <w:tblGrid>
            <w:gridCol w:w="1820"/>
            <w:gridCol w:w="480"/>
            <w:gridCol w:w="1200"/>
            <w:gridCol w:w="1200"/>
            <w:gridCol w:w="1200"/>
            <w:gridCol w:w="28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Kreditbedarf: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Zur Finanzierung der Investitionen erforderliche Finanzmittel: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Einnahme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invE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Ausgabe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invA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=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Saldo aus Investitionstätigkeit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SaldoInv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Finanzierung aus dem lfd. Haushalt: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ord. Einzahlungen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OrdEZ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ord. Auszahlungen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OrdAZ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SaldoOrdZ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Tilgung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pmTilgung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=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Freie Finanzspitze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ffs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Tilgung Liquiditätskredit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tilgLiqKred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Liquiditätskreditaufnahme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aufnLiqKred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Kreditbedarf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 kreditbedarf_inv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{{ img_verschuldung }}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{{ img_prokopfverschuldung }}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75.0" w:type="dxa"/>
        <w:tblLayout w:type="fixed"/>
        <w:tblLook w:val="0400"/>
      </w:tblPr>
      <w:tblGrid>
        <w:gridCol w:w="567"/>
        <w:gridCol w:w="3544"/>
        <w:gridCol w:w="2824"/>
        <w:gridCol w:w="2410"/>
        <w:gridCol w:w="10"/>
        <w:tblGridChange w:id="0">
          <w:tblGrid>
            <w:gridCol w:w="567"/>
            <w:gridCol w:w="3544"/>
            <w:gridCol w:w="2824"/>
            <w:gridCol w:w="2410"/>
            <w:gridCol w:w="10"/>
          </w:tblGrid>
        </w:tblGridChange>
      </w:tblGrid>
      <w:tr>
        <w:trPr>
          <w:cantSplit w:val="0"/>
          <w:trHeight w:val="433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Übersicht über den voraussichtlichen Stand der Verbindlichkeiten zum Ende des Haushaltsjahres 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Voraussichtlicher Stand zu Beginn des Haushaltsjahres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Voraussichtlicher Stand zum Ende des Haushaltsjahres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(gem. § 47 Abs. 5 Nr. 4 GemHVO)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€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Anleihen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Verbindlichkeiten aus Kreditaufnahmen für Investitionen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invkredvj }}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invkredhhj }}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Verbindlichkeiten aus Kreditaufnahmen zur </w:t>
              <w:br w:type="textWrapping"/>
              <w:t xml:space="preserve"> Liquiditätssicherung (bei der Verbandsgemeinde)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liqkredvj }}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liqkredhhj }}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Verbindlichkeiten aus Vorgängen, die Kreditaufnahmen</w:t>
              <w:br w:type="textWrapping"/>
              <w:t xml:space="preserve"> wirtschaftlich gleichkommen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-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-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Summe der Verbindlichkeiten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{{ kreditgesamtvj }}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{{ kreditgesamthhj }}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  <w:t xml:space="preserve">4.6 Haushaltsausgleich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Der Haushalt ist gem. § 93 GemO jedes Jahr in Haushaltsplanung und Jahresrechnung auszugleichen. Der Haushaltsausgleich richtet sich nach den Regelungen des § 18 GemHVO.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Demnach wird der Haushaltsausgleich erreicht wenn: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Der Ergebnishaushalt mindestens ausgeglichen 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Eine freie Finanzspitze vorliegt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Die Gemeinde nicht überschuldet 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