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E9" w:rsidRDefault="00335EC1">
      <w:pPr>
        <w:pStyle w:val="berschrift1"/>
      </w:pPr>
      <w:r>
        <w:t>4. Finanzplan</w:t>
      </w:r>
    </w:p>
    <w:p w:rsidR="00475CE9" w:rsidRDefault="00475CE9"/>
    <w:p w:rsidR="00475CE9" w:rsidRDefault="00335EC1">
      <w:r>
        <w:t>Der Finanzplan stellt die Zahlungsseite der kommunalen Buchführung dar. Hierdurch werden die Mittelströme in Plan und Rechnung dargestellt.</w:t>
      </w:r>
    </w:p>
    <w:p w:rsidR="00475CE9" w:rsidRDefault="00335EC1">
      <w:r>
        <w:t>Hierdurch werden im Vergleich zum Ergebnishaushalt</w:t>
      </w:r>
    </w:p>
    <w:p w:rsidR="00475CE9" w:rsidRDefault="00335EC1">
      <w:pPr>
        <w:pStyle w:val="Listenabsatz"/>
        <w:numPr>
          <w:ilvl w:val="0"/>
          <w:numId w:val="1"/>
        </w:numPr>
      </w:pPr>
      <w:r>
        <w:t xml:space="preserve">Zahlungsunwirksame Erträge (z.B. Auflösungen von </w:t>
      </w:r>
      <w:r>
        <w:t>sonderposten) und Aufwendungen (z.B. Abschreibungen) ausgeblendet</w:t>
      </w:r>
    </w:p>
    <w:p w:rsidR="00475CE9" w:rsidRDefault="00335EC1">
      <w:pPr>
        <w:pStyle w:val="Listenabsatz"/>
        <w:numPr>
          <w:ilvl w:val="0"/>
          <w:numId w:val="1"/>
        </w:numPr>
      </w:pPr>
      <w:r>
        <w:t>Nicht bezahlte Forderungen und Verbindlichkeiten ausgeblendet.</w:t>
      </w:r>
    </w:p>
    <w:p w:rsidR="00475CE9" w:rsidRDefault="00335EC1">
      <w:pPr>
        <w:pStyle w:val="Listenabsatz"/>
        <w:numPr>
          <w:ilvl w:val="0"/>
          <w:numId w:val="1"/>
        </w:numPr>
      </w:pPr>
      <w:r>
        <w:t>Zahlungsströme aus Bilanzumschichtungen dargestellt (z.B. Kreditaufnahme oder Investitionen)</w:t>
      </w:r>
    </w:p>
    <w:p w:rsidR="00475CE9" w:rsidRDefault="00335EC1">
      <w:r>
        <w:t>In der nachfolgenden Übersicht wir</w:t>
      </w:r>
      <w:r>
        <w:t>d über den Finanzhaushalt berichtet. Im Anschluss werden die Finanzierung, Kreditaufnahme, Kasse</w:t>
      </w:r>
      <w:r w:rsidR="006127E3">
        <w:t>n</w:t>
      </w:r>
      <w:r>
        <w:t>bestände und Investitionen im Detail beleuchtet.</w:t>
      </w:r>
    </w:p>
    <w:p w:rsidR="00475CE9" w:rsidRDefault="00475CE9">
      <w:pPr>
        <w:rPr>
          <w:sz w:val="16"/>
          <w:szCs w:val="16"/>
        </w:rPr>
      </w:pP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74"/>
        <w:gridCol w:w="2132"/>
        <w:gridCol w:w="1109"/>
        <w:gridCol w:w="1110"/>
        <w:gridCol w:w="1108"/>
        <w:gridCol w:w="1110"/>
        <w:gridCol w:w="1109"/>
        <w:gridCol w:w="1110"/>
      </w:tblGrid>
      <w:tr w:rsidR="00475CE9">
        <w:tc>
          <w:tcPr>
            <w:tcW w:w="273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Bezeichnung</w:t>
            </w:r>
          </w:p>
        </w:tc>
        <w:tc>
          <w:tcPr>
            <w:tcW w:w="1109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RE</w:t>
            </w:r>
          </w:p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{{ hhj-2 }}</w:t>
            </w:r>
          </w:p>
        </w:tc>
        <w:tc>
          <w:tcPr>
            <w:tcW w:w="1110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Plan</w:t>
            </w:r>
          </w:p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{{ hhj-1 }}</w:t>
            </w:r>
          </w:p>
        </w:tc>
        <w:tc>
          <w:tcPr>
            <w:tcW w:w="1108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Plan</w:t>
            </w:r>
          </w:p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hhj</w:t>
            </w:r>
            <w:proofErr w:type="spellEnd"/>
            <w:r>
              <w:rPr>
                <w:rFonts w:eastAsia="Calibri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Plan</w:t>
            </w:r>
          </w:p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{{ hhj+1 }}</w:t>
            </w:r>
          </w:p>
        </w:tc>
        <w:tc>
          <w:tcPr>
            <w:tcW w:w="1109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Plan</w:t>
            </w:r>
          </w:p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hhj</w:t>
            </w:r>
            <w:proofErr w:type="spellEnd"/>
            <w:r>
              <w:rPr>
                <w:rFonts w:eastAsia="Calibri"/>
              </w:rPr>
              <w:t xml:space="preserve"> +2 }}</w:t>
            </w:r>
          </w:p>
        </w:tc>
        <w:tc>
          <w:tcPr>
            <w:tcW w:w="1110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Plan</w:t>
            </w:r>
          </w:p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hhj</w:t>
            </w:r>
            <w:proofErr w:type="spellEnd"/>
            <w:r>
              <w:rPr>
                <w:rFonts w:eastAsia="Calibri"/>
              </w:rPr>
              <w:t xml:space="preserve"> +3 </w:t>
            </w:r>
            <w:r>
              <w:rPr>
                <w:rFonts w:eastAsia="Calibri"/>
              </w:rPr>
              <w:t>}}</w:t>
            </w:r>
          </w:p>
        </w:tc>
      </w:tr>
      <w:tr w:rsidR="00475CE9">
        <w:tc>
          <w:tcPr>
            <w:tcW w:w="273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Summe der lfd. Einzahlungen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lfd_ez_2vj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lfd_ez_1vj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lfd_ez_hhjj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lfd_ez_1pj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lfd_ez_2pj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lfd_ez_3pj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Summe der lfd. Auszahlungen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lfd_az_2vj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lfd_az_1vj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lfd_az_hhj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lfd_az_1pj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lfd_az_2pj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r>
              <w:rPr>
                <w:rFonts w:eastAsia="Calibri"/>
                <w:sz w:val="18"/>
                <w:szCs w:val="18"/>
              </w:rPr>
              <w:t>lfd_az_3pj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=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Saldo der lfd. Zahlungsvorgänge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lfd_slz_2vj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lfd_slz_1vj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lfd_slz_hhj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lfd_slz_1pj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lfd_slz_2pj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lfd_slz_3pj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Saldo der Zins- und </w:t>
            </w:r>
            <w:proofErr w:type="spellStart"/>
            <w:r>
              <w:rPr>
                <w:rFonts w:eastAsia="Calibri"/>
              </w:rPr>
              <w:t>Finanzein</w:t>
            </w:r>
            <w:proofErr w:type="spellEnd"/>
            <w:r>
              <w:rPr>
                <w:rFonts w:eastAsia="Calibri"/>
              </w:rPr>
              <w:t>- und Auszahlungen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fin_slz_2vj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fin_slz_1vj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fin_slz_hhj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fin_slz_1pj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fin_slz_2pj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fin_slz_3pj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=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Saldo der </w:t>
            </w:r>
            <w:proofErr w:type="spellStart"/>
            <w:r>
              <w:rPr>
                <w:rFonts w:eastAsia="Calibri"/>
              </w:rPr>
              <w:t>ordentl</w:t>
            </w:r>
            <w:proofErr w:type="spellEnd"/>
            <w:r>
              <w:rPr>
                <w:rFonts w:eastAsia="Calibri"/>
              </w:rPr>
              <w:t>. Zahlungen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ord_slz_2vj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ord_slz_1vj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ord_slz_hhj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ord_slz_1pj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ord_slz_2pj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ord_slz_3pj }}</w:t>
            </w:r>
          </w:p>
        </w:tc>
      </w:tr>
      <w:tr w:rsidR="00475CE9">
        <w:tc>
          <w:tcPr>
            <w:tcW w:w="273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2132" w:type="dxa"/>
            <w:tcBorders>
              <w:bottom w:val="double" w:sz="4" w:space="0" w:color="000000"/>
            </w:tcBorders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Saldo der </w:t>
            </w:r>
            <w:proofErr w:type="spellStart"/>
            <w:r>
              <w:rPr>
                <w:rFonts w:eastAsia="Calibri"/>
              </w:rPr>
              <w:t>außerordentl</w:t>
            </w:r>
            <w:proofErr w:type="spellEnd"/>
            <w:r>
              <w:rPr>
                <w:rFonts w:eastAsia="Calibri"/>
              </w:rPr>
              <w:t>. Zahl.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ao_slz_2vj </w:t>
            </w:r>
            <w:r>
              <w:rPr>
                <w:rFonts w:eastAsia="Calibri"/>
                <w:sz w:val="18"/>
                <w:szCs w:val="18"/>
              </w:rPr>
              <w:t>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ao_slz_1vj }}</w:t>
            </w:r>
          </w:p>
        </w:tc>
        <w:tc>
          <w:tcPr>
            <w:tcW w:w="1108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ao_slz_hhj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ao_slz_1pj }}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ao_slz_2pj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ao_slz_3pj }}</w:t>
            </w:r>
          </w:p>
        </w:tc>
      </w:tr>
      <w:tr w:rsidR="00475CE9">
        <w:tc>
          <w:tcPr>
            <w:tcW w:w="273" w:type="dxa"/>
            <w:tcBorders>
              <w:top w:val="double" w:sz="4" w:space="0" w:color="000000"/>
            </w:tcBorders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double" w:sz="4" w:space="0" w:color="000000"/>
            </w:tcBorders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Summe der </w:t>
            </w:r>
            <w:proofErr w:type="spellStart"/>
            <w:r>
              <w:rPr>
                <w:rFonts w:eastAsia="Calibri"/>
              </w:rPr>
              <w:t>Investitionseinz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inv_ez_2vj}}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inv_ez_1vj }}</w:t>
            </w:r>
          </w:p>
        </w:tc>
        <w:tc>
          <w:tcPr>
            <w:tcW w:w="1108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inv_ez_hhj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inv_ez_1pj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inv_ez_2pj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inv_ez_3pj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Summe der </w:t>
            </w:r>
            <w:proofErr w:type="spellStart"/>
            <w:r>
              <w:rPr>
                <w:rFonts w:eastAsia="Calibri"/>
              </w:rPr>
              <w:t>Investitionsausz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r>
              <w:rPr>
                <w:rFonts w:eastAsia="Calibri"/>
                <w:sz w:val="18"/>
                <w:szCs w:val="18"/>
              </w:rPr>
              <w:t>inv_az_2vj}}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inv_az_1vj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inv_az_hhj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inv_az_1pj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inv_az_2pj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inv_az_3pj }}</w:t>
            </w:r>
          </w:p>
        </w:tc>
      </w:tr>
      <w:tr w:rsidR="00475CE9">
        <w:tc>
          <w:tcPr>
            <w:tcW w:w="273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=</w:t>
            </w:r>
          </w:p>
        </w:tc>
        <w:tc>
          <w:tcPr>
            <w:tcW w:w="2132" w:type="dxa"/>
            <w:tcBorders>
              <w:bottom w:val="double" w:sz="4" w:space="0" w:color="000000"/>
            </w:tcBorders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Saldo der </w:t>
            </w:r>
            <w:proofErr w:type="spellStart"/>
            <w:r>
              <w:rPr>
                <w:rFonts w:eastAsia="Calibri"/>
              </w:rPr>
              <w:t>Investitionstätigk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inv_slz_2vj}}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inv_slz_1vj }}</w:t>
            </w:r>
          </w:p>
        </w:tc>
        <w:tc>
          <w:tcPr>
            <w:tcW w:w="1108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inv_slz_hhj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inv_slz_1pj }}</w:t>
            </w:r>
          </w:p>
        </w:tc>
        <w:tc>
          <w:tcPr>
            <w:tcW w:w="1109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inv_slz_2pj }}</w:t>
            </w:r>
          </w:p>
        </w:tc>
        <w:tc>
          <w:tcPr>
            <w:tcW w:w="1110" w:type="dxa"/>
            <w:tcBorders>
              <w:bottom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inv_slz_3pj }}</w:t>
            </w:r>
          </w:p>
        </w:tc>
      </w:tr>
      <w:tr w:rsidR="00475CE9">
        <w:tc>
          <w:tcPr>
            <w:tcW w:w="273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=</w:t>
            </w:r>
          </w:p>
        </w:tc>
        <w:tc>
          <w:tcPr>
            <w:tcW w:w="2132" w:type="dxa"/>
            <w:tcBorders>
              <w:top w:val="double" w:sz="4" w:space="0" w:color="000000"/>
            </w:tcBorders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Finanzmittel{{ </w:t>
            </w:r>
            <w:proofErr w:type="spellStart"/>
            <w:r>
              <w:rPr>
                <w:rFonts w:eastAsia="Calibri"/>
              </w:rPr>
              <w:t>uebofb</w:t>
            </w:r>
            <w:proofErr w:type="spellEnd"/>
            <w:r>
              <w:rPr>
                <w:rFonts w:eastAsia="Calibri"/>
              </w:rPr>
              <w:t xml:space="preserve">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finm_slz_2vj}}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finm_slz_1vj }}</w:t>
            </w:r>
          </w:p>
        </w:tc>
        <w:tc>
          <w:tcPr>
            <w:tcW w:w="1108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finm_slz_hhj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finm_slz_1pj }}</w:t>
            </w:r>
          </w:p>
        </w:tc>
        <w:tc>
          <w:tcPr>
            <w:tcW w:w="1109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finm_slz_2pj }}</w:t>
            </w:r>
          </w:p>
        </w:tc>
        <w:tc>
          <w:tcPr>
            <w:tcW w:w="1110" w:type="dxa"/>
            <w:tcBorders>
              <w:top w:val="double" w:sz="4" w:space="0" w:color="000000"/>
            </w:tcBorders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finm_slz_3pj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Aufnahme </w:t>
            </w:r>
            <w:r>
              <w:rPr>
                <w:rFonts w:eastAsia="Calibri"/>
              </w:rPr>
              <w:br/>
            </w:r>
            <w:proofErr w:type="spellStart"/>
            <w:r>
              <w:rPr>
                <w:rFonts w:eastAsia="Calibri"/>
              </w:rPr>
              <w:t>Inv</w:t>
            </w:r>
            <w:proofErr w:type="spellEnd"/>
            <w:r>
              <w:rPr>
                <w:rFonts w:eastAsia="Calibri"/>
              </w:rPr>
              <w:t>. Kredite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kred_ez_2vj}}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kred_ez_1vj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kred_ez_hhj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kred_ez_1pj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kred_ez_2pj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kred_ez_3pj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Tilgung</w:t>
            </w:r>
          </w:p>
          <w:p w:rsidR="00475CE9" w:rsidRDefault="00335EC1">
            <w:pPr>
              <w:spacing w:after="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Inv</w:t>
            </w:r>
            <w:proofErr w:type="spellEnd"/>
            <w:r>
              <w:rPr>
                <w:rFonts w:eastAsia="Calibri"/>
              </w:rPr>
              <w:t>. Kredite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{{ kred_az_2</w:t>
            </w:r>
            <w:r>
              <w:rPr>
                <w:rFonts w:eastAsia="Calibri"/>
                <w:sz w:val="18"/>
                <w:szCs w:val="18"/>
              </w:rPr>
              <w:lastRenderedPageBreak/>
              <w:t>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{{ kred_az_1</w:t>
            </w:r>
            <w:r>
              <w:rPr>
                <w:rFonts w:eastAsia="Calibri"/>
                <w:sz w:val="18"/>
                <w:szCs w:val="18"/>
              </w:rPr>
              <w:lastRenderedPageBreak/>
              <w:t>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kred_az_h</w:t>
            </w:r>
            <w:r>
              <w:rPr>
                <w:rFonts w:eastAsia="Calibri"/>
                <w:sz w:val="18"/>
                <w:szCs w:val="18"/>
              </w:rPr>
              <w:lastRenderedPageBreak/>
              <w:t>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{{ kred_az_1</w:t>
            </w:r>
            <w:r>
              <w:rPr>
                <w:rFonts w:eastAsia="Calibri"/>
                <w:sz w:val="18"/>
                <w:szCs w:val="18"/>
              </w:rPr>
              <w:lastRenderedPageBreak/>
              <w:t>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{{ kred_az_2</w:t>
            </w:r>
            <w:r>
              <w:rPr>
                <w:rFonts w:eastAsia="Calibri"/>
                <w:sz w:val="18"/>
                <w:szCs w:val="18"/>
              </w:rPr>
              <w:lastRenderedPageBreak/>
              <w:t>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lastRenderedPageBreak/>
              <w:t>{{ kred_az_3</w:t>
            </w:r>
            <w:r>
              <w:rPr>
                <w:rFonts w:eastAsia="Calibri"/>
                <w:sz w:val="18"/>
                <w:szCs w:val="18"/>
              </w:rPr>
              <w:lastRenderedPageBreak/>
              <w:t>pj }}</w:t>
            </w:r>
          </w:p>
        </w:tc>
      </w:tr>
      <w:tr w:rsidR="00475CE9">
        <w:tc>
          <w:tcPr>
            <w:tcW w:w="273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Davon für noch nicht genehmigte Kredite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kred_ng_2vj}}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kred_ng_1vj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kred_ng_hhj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kred_ng_1pj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r>
              <w:rPr>
                <w:rFonts w:eastAsia="Calibri"/>
                <w:sz w:val="18"/>
                <w:szCs w:val="18"/>
              </w:rPr>
              <w:t>kred_ng_2pj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kred_ng_3pj }}</w:t>
            </w:r>
          </w:p>
        </w:tc>
      </w:tr>
      <w:tr w:rsidR="00475CE9">
        <w:tc>
          <w:tcPr>
            <w:tcW w:w="273" w:type="dxa"/>
          </w:tcPr>
          <w:p w:rsidR="00475CE9" w:rsidRDefault="00335EC1">
            <w:pPr>
              <w:rPr>
                <w:rFonts w:eastAsia="Calibri"/>
              </w:rPr>
            </w:pPr>
            <w:r>
              <w:rPr>
                <w:rFonts w:eastAsia="Calibri"/>
              </w:rPr>
              <w:t>+</w:t>
            </w: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Saldo aus der </w:t>
            </w:r>
            <w:proofErr w:type="spellStart"/>
            <w:r>
              <w:rPr>
                <w:rFonts w:eastAsia="Calibri"/>
              </w:rPr>
              <w:t>Veränderumng</w:t>
            </w:r>
            <w:proofErr w:type="spellEnd"/>
            <w:r>
              <w:rPr>
                <w:rFonts w:eastAsia="Calibri"/>
              </w:rPr>
              <w:t xml:space="preserve"> von Beständen bei der VG-Kasse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kbv_slz_2vj}}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kbv_slz_1vj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kbv_slz_hhj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kbv_slz_1pj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kbv_slz_2pj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kbv_slz_3pj }}</w:t>
            </w:r>
          </w:p>
        </w:tc>
      </w:tr>
      <w:tr w:rsidR="00475CE9">
        <w:tc>
          <w:tcPr>
            <w:tcW w:w="273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</w:tcPr>
          <w:p w:rsidR="00475CE9" w:rsidRDefault="00335E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Freie Finanzspitze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ffs_2vj}}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ffs_1vj }}</w:t>
            </w:r>
          </w:p>
        </w:tc>
        <w:tc>
          <w:tcPr>
            <w:tcW w:w="1108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eastAsia="Calibri"/>
                <w:sz w:val="18"/>
                <w:szCs w:val="18"/>
              </w:rPr>
              <w:t>ffs_</w:t>
            </w:r>
            <w:r>
              <w:rPr>
                <w:rFonts w:eastAsia="Calibri"/>
                <w:sz w:val="18"/>
                <w:szCs w:val="18"/>
              </w:rPr>
              <w:t>hhj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ffs_1pj }}</w:t>
            </w:r>
          </w:p>
        </w:tc>
        <w:tc>
          <w:tcPr>
            <w:tcW w:w="1109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ffs_2pj }}</w:t>
            </w:r>
          </w:p>
        </w:tc>
        <w:tc>
          <w:tcPr>
            <w:tcW w:w="1110" w:type="dxa"/>
          </w:tcPr>
          <w:p w:rsidR="00475CE9" w:rsidRDefault="00335EC1">
            <w:pPr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{{ ffs_3pj }}</w:t>
            </w:r>
          </w:p>
        </w:tc>
      </w:tr>
      <w:tr w:rsidR="00475CE9">
        <w:tc>
          <w:tcPr>
            <w:tcW w:w="273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2132" w:type="dxa"/>
          </w:tcPr>
          <w:p w:rsidR="00475CE9" w:rsidRDefault="00475CE9">
            <w:pPr>
              <w:spacing w:after="0"/>
              <w:rPr>
                <w:rFonts w:eastAsia="Calibri"/>
              </w:rPr>
            </w:pPr>
          </w:p>
        </w:tc>
        <w:tc>
          <w:tcPr>
            <w:tcW w:w="1109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1110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1108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1110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1109" w:type="dxa"/>
          </w:tcPr>
          <w:p w:rsidR="00475CE9" w:rsidRDefault="00475CE9">
            <w:pPr>
              <w:rPr>
                <w:rFonts w:eastAsia="Calibri"/>
              </w:rPr>
            </w:pPr>
          </w:p>
        </w:tc>
        <w:tc>
          <w:tcPr>
            <w:tcW w:w="1110" w:type="dxa"/>
          </w:tcPr>
          <w:p w:rsidR="00475CE9" w:rsidRDefault="00475CE9">
            <w:pPr>
              <w:rPr>
                <w:rFonts w:eastAsia="Calibri"/>
              </w:rPr>
            </w:pPr>
          </w:p>
        </w:tc>
      </w:tr>
    </w:tbl>
    <w:p w:rsidR="00475CE9" w:rsidRDefault="00475CE9"/>
    <w:p w:rsidR="00475CE9" w:rsidRDefault="00335EC1">
      <w:r>
        <w:t xml:space="preserve">Die Freie Finanzspitze ist </w:t>
      </w:r>
      <w:r w:rsidR="006127E3">
        <w:t>das Maß für die Fähigkeit der Gemeinde neue Schulden aus den ordentlichen Ein- und Auszahlungen zu bedienen. Sie ist eines der drei Kriterien, anhand derer der Haushaltsausgleich festgestellt wird.</w:t>
      </w:r>
    </w:p>
    <w:p w:rsidR="006127E3" w:rsidRDefault="006127E3"/>
    <w:p w:rsidR="006127E3" w:rsidRDefault="006127E3">
      <w:bookmarkStart w:id="0" w:name="_GoBack"/>
      <w:bookmarkEnd w:id="0"/>
    </w:p>
    <w:sectPr w:rsidR="006127E3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C1" w:rsidRDefault="00335EC1">
      <w:pPr>
        <w:spacing w:after="0"/>
      </w:pPr>
      <w:r>
        <w:separator/>
      </w:r>
    </w:p>
  </w:endnote>
  <w:endnote w:type="continuationSeparator" w:id="0">
    <w:p w:rsidR="00335EC1" w:rsidRDefault="00335E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C1" w:rsidRDefault="00335EC1">
      <w:pPr>
        <w:spacing w:after="0"/>
      </w:pPr>
      <w:r>
        <w:separator/>
      </w:r>
    </w:p>
  </w:footnote>
  <w:footnote w:type="continuationSeparator" w:id="0">
    <w:p w:rsidR="00335EC1" w:rsidRDefault="00335E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CE9" w:rsidRDefault="00335EC1">
    <w:pP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475CE9" w:rsidRDefault="00475CE9">
    <w:pPr>
      <w:pBdr>
        <w:bottom w:val="single" w:sz="4" w:space="1" w:color="000000"/>
      </w:pBdr>
      <w:tabs>
        <w:tab w:val="center" w:pos="4536"/>
        <w:tab w:val="right" w:pos="9072"/>
      </w:tabs>
      <w:spacing w:after="0"/>
      <w:rPr>
        <w:color w:val="000000"/>
      </w:rPr>
    </w:pPr>
  </w:p>
  <w:p w:rsidR="00475CE9" w:rsidRDefault="00475CE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04B1"/>
    <w:multiLevelType w:val="multilevel"/>
    <w:tmpl w:val="79F64914"/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925089C"/>
    <w:multiLevelType w:val="multilevel"/>
    <w:tmpl w:val="136EAA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E9"/>
    <w:rsid w:val="00335EC1"/>
    <w:rsid w:val="00475CE9"/>
    <w:rsid w:val="0061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BC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B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7B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71BD8"/>
    <w:pPr>
      <w:keepNext/>
      <w:keepLines/>
      <w:spacing w:before="40"/>
      <w:ind w:left="284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271BD8"/>
    <w:rPr>
      <w:rFonts w:ascii="Arial" w:eastAsiaTheme="majorEastAsia" w:hAnsi="Arial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F7BC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7F7BC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BA13FB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BA13FB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271BD8"/>
    <w:rPr>
      <w:rFonts w:ascii="Arial" w:eastAsiaTheme="majorEastAsia" w:hAnsi="Arial" w:cstheme="majorBidi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271BD8"/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53986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F53986"/>
    <w:rPr>
      <w:rFonts w:ascii="Arial" w:hAnsi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uiPriority w:val="1"/>
    <w:qFormat/>
    <w:rsid w:val="00271BD8"/>
  </w:style>
  <w:style w:type="paragraph" w:styleId="Listenabsatz">
    <w:name w:val="List Paragraph"/>
    <w:basedOn w:val="Standard"/>
    <w:uiPriority w:val="34"/>
    <w:qFormat/>
    <w:rsid w:val="00BA13F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1BD8"/>
    <w:pPr>
      <w:spacing w:after="0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1BD8"/>
    <w:rPr>
      <w:rFonts w:eastAsiaTheme="minorEastAsia"/>
      <w:color w:val="5A5A5A" w:themeColor="text1" w:themeTint="A5"/>
      <w:spacing w:val="15"/>
      <w:sz w:val="28"/>
    </w:rPr>
  </w:style>
  <w:style w:type="paragraph" w:customStyle="1" w:styleId="Zahlenkolonne">
    <w:name w:val="Zahlenkolonne"/>
    <w:basedOn w:val="Standard"/>
    <w:next w:val="Standard"/>
    <w:qFormat/>
    <w:rsid w:val="007F7BCD"/>
    <w:pPr>
      <w:tabs>
        <w:tab w:val="left" w:pos="1247"/>
        <w:tab w:val="decimal" w:pos="7938"/>
      </w:tabs>
      <w:spacing w:after="0"/>
    </w:pPr>
  </w:style>
  <w:style w:type="paragraph" w:customStyle="1" w:styleId="LangzitatVorschriftUrteil">
    <w:name w:val="Langzitat Vorschrift/Urteil"/>
    <w:basedOn w:val="Standard"/>
    <w:next w:val="Standard"/>
    <w:qFormat/>
    <w:rsid w:val="007F7BCD"/>
    <w:pPr>
      <w:ind w:left="851"/>
    </w:pPr>
    <w:rPr>
      <w:i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link w:val="Fu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2E0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BC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BC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7B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1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71BD8"/>
    <w:pPr>
      <w:keepNext/>
      <w:keepLines/>
      <w:spacing w:before="40"/>
      <w:ind w:left="284"/>
      <w:outlineLvl w:val="4"/>
    </w:pPr>
    <w:rPr>
      <w:rFonts w:eastAsiaTheme="majorEastAsia" w:cstheme="maj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271BD8"/>
    <w:rPr>
      <w:rFonts w:ascii="Arial" w:eastAsiaTheme="majorEastAsia" w:hAnsi="Arial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F7BC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7F7BC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BA13FB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BA13FB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271BD8"/>
    <w:rPr>
      <w:rFonts w:ascii="Arial" w:eastAsiaTheme="majorEastAsia" w:hAnsi="Arial" w:cstheme="majorBidi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271BD8"/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53986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F53986"/>
    <w:rPr>
      <w:rFonts w:ascii="Arial" w:hAnsi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uiPriority w:val="1"/>
    <w:qFormat/>
    <w:rsid w:val="00271BD8"/>
  </w:style>
  <w:style w:type="paragraph" w:styleId="Listenabsatz">
    <w:name w:val="List Paragraph"/>
    <w:basedOn w:val="Standard"/>
    <w:uiPriority w:val="34"/>
    <w:qFormat/>
    <w:rsid w:val="00BA13F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1BD8"/>
    <w:pPr>
      <w:spacing w:after="0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1BD8"/>
    <w:rPr>
      <w:rFonts w:eastAsiaTheme="minorEastAsia"/>
      <w:color w:val="5A5A5A" w:themeColor="text1" w:themeTint="A5"/>
      <w:spacing w:val="15"/>
      <w:sz w:val="28"/>
    </w:rPr>
  </w:style>
  <w:style w:type="paragraph" w:customStyle="1" w:styleId="Zahlenkolonne">
    <w:name w:val="Zahlenkolonne"/>
    <w:basedOn w:val="Standard"/>
    <w:next w:val="Standard"/>
    <w:qFormat/>
    <w:rsid w:val="007F7BCD"/>
    <w:pPr>
      <w:tabs>
        <w:tab w:val="left" w:pos="1247"/>
        <w:tab w:val="decimal" w:pos="7938"/>
      </w:tabs>
      <w:spacing w:after="0"/>
    </w:pPr>
  </w:style>
  <w:style w:type="paragraph" w:customStyle="1" w:styleId="LangzitatVorschriftUrteil">
    <w:name w:val="Langzitat Vorschrift/Urteil"/>
    <w:basedOn w:val="Standard"/>
    <w:next w:val="Standard"/>
    <w:qFormat/>
    <w:rsid w:val="007F7BCD"/>
    <w:pPr>
      <w:ind w:left="851"/>
    </w:pPr>
    <w:rPr>
      <w:i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link w:val="FuzeileZchn"/>
    <w:uiPriority w:val="99"/>
    <w:unhideWhenUsed/>
    <w:rsid w:val="00F53986"/>
    <w:pPr>
      <w:tabs>
        <w:tab w:val="center" w:pos="4536"/>
        <w:tab w:val="right" w:pos="9072"/>
      </w:tabs>
      <w:spacing w:after="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2E01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2659</Characters>
  <Application>Microsoft Office Word</Application>
  <DocSecurity>0</DocSecurity>
  <Lines>22</Lines>
  <Paragraphs>6</Paragraphs>
  <ScaleCrop>false</ScaleCrop>
  <Company>VG Kirchen Sieg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Dützer</dc:creator>
  <dc:description/>
  <cp:lastModifiedBy>M Dz</cp:lastModifiedBy>
  <cp:revision>3</cp:revision>
  <dcterms:created xsi:type="dcterms:W3CDTF">2024-01-15T08:00:00Z</dcterms:created>
  <dcterms:modified xsi:type="dcterms:W3CDTF">2024-10-27T20:25:00Z</dcterms:modified>
  <dc:language>de-DE</dc:language>
</cp:coreProperties>
</file>