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AidanHaggarty.com</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Aidan Haggarty is an aspiring systems operator and front-end web developer pursuing a bachelor's in Information Science at Michigan State University.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Aidan is a  student familiar with JavaScript, Python, HTML, and CSS. Michigan State University currently employs him as an Undergraduate Learning Assistant for the CSE 102 course where he educates students on Python programming and logical problem solving along with working with teams of other Learning Assistants to assess the effectiveness and overall student understanding of lessons. His goal is to get into a position where he can work in a team on web development and systems operations in order to help facilitate efficient and poignant work that will benefit the needs of firms and clients.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Personas: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Systems Operator/Web Development Recruiter:</w:t>
      </w:r>
    </w:p>
    <w:p w:rsidR="00000000" w:rsidDel="00000000" w:rsidP="00000000" w:rsidRDefault="00000000" w:rsidRPr="00000000" w14:paraId="0000000C">
      <w:pPr>
        <w:numPr>
          <w:ilvl w:val="0"/>
          <w:numId w:val="4"/>
        </w:numPr>
        <w:ind w:left="720" w:hanging="360"/>
        <w:rPr>
          <w:sz w:val="24"/>
          <w:szCs w:val="24"/>
          <w:u w:val="none"/>
        </w:rPr>
      </w:pPr>
      <w:r w:rsidDel="00000000" w:rsidR="00000000" w:rsidRPr="00000000">
        <w:rPr>
          <w:sz w:val="24"/>
          <w:szCs w:val="24"/>
          <w:rtl w:val="0"/>
        </w:rPr>
        <w:t xml:space="preserve">Prospective employer at a firm or company.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Prospective Co-Worker:</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A prospective co-worker with whom to work in development/operations.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New Client:</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Prospective clients, whether government or commercial</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Flow:</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User Enters the home page -&gt; Navigate through the home page which will contain the main content, including bio, experience, and special interest. -&gt; user will navigate to the contact page using the top nav bar. -&gt; Read through the Contact page content and use the contact form.</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Comps: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sz w:val="24"/>
          <w:szCs w:val="24"/>
          <w:u w:val="none"/>
        </w:rPr>
      </w:pPr>
      <w:hyperlink r:id="rId6">
        <w:r w:rsidDel="00000000" w:rsidR="00000000" w:rsidRPr="00000000">
          <w:rPr>
            <w:color w:val="1155cc"/>
            <w:sz w:val="24"/>
            <w:szCs w:val="24"/>
            <w:u w:val="single"/>
            <w:rtl w:val="0"/>
          </w:rPr>
          <w:t xml:space="preserve">https://mattfarley.ca/</w:t>
        </w:r>
      </w:hyperlink>
      <w:r w:rsidDel="00000000" w:rsidR="00000000" w:rsidRPr="00000000">
        <w:rPr>
          <w:rtl w:val="0"/>
        </w:rPr>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https://caferati.me/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Comps cont./ Wireframes: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4195763" cy="385284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95763" cy="385284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ttfarley.ca/"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