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A5378" w14:textId="77777777" w:rsidR="00732F7B" w:rsidRPr="00C028F0" w:rsidRDefault="00732F7B" w:rsidP="00D06727">
      <w:pPr>
        <w:spacing w:line="276" w:lineRule="auto"/>
        <w:jc w:val="center"/>
        <w:rPr>
          <w:rFonts w:asciiTheme="majorBidi" w:hAnsiTheme="majorBidi" w:cstheme="majorBidi"/>
          <w:b/>
          <w:bCs/>
          <w:sz w:val="38"/>
          <w:szCs w:val="38"/>
        </w:rPr>
      </w:pPr>
      <w:r w:rsidRPr="00C028F0">
        <w:rPr>
          <w:rFonts w:asciiTheme="majorBidi" w:hAnsiTheme="majorBidi" w:cstheme="majorBidi"/>
          <w:b/>
          <w:bCs/>
          <w:sz w:val="38"/>
          <w:szCs w:val="38"/>
        </w:rPr>
        <w:t>Simulation of Electrochemical Aptamer-Based Sensors: A Kinetic and Binding Model Perspective</w:t>
      </w:r>
    </w:p>
    <w:p w14:paraId="701595EF" w14:textId="7F9D889A" w:rsidR="007661F0" w:rsidRPr="00C028F0" w:rsidRDefault="007661F0" w:rsidP="00D06727">
      <w:pPr>
        <w:spacing w:line="276" w:lineRule="auto"/>
        <w:jc w:val="center"/>
        <w:rPr>
          <w:rFonts w:asciiTheme="majorBidi" w:hAnsiTheme="majorBidi" w:cstheme="majorBidi"/>
          <w:i/>
          <w:iCs/>
        </w:rPr>
      </w:pPr>
      <w:r w:rsidRPr="00C028F0">
        <w:rPr>
          <w:rFonts w:asciiTheme="majorBidi" w:hAnsiTheme="majorBidi" w:cstheme="majorBidi"/>
          <w:i/>
          <w:iCs/>
        </w:rPr>
        <w:t>A Haghighatbin</w:t>
      </w:r>
    </w:p>
    <w:p w14:paraId="499E0BB5" w14:textId="73090680" w:rsidR="007661F0"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 xml:space="preserve">Electrochemical aptamer-based sensors represent a rapidly evolving class of biosensors that exploit the specific binding properties of nucleic acid aptamers to detect target molecules. The operation of these sensors is intrinsically linked to the conformational dynamics of the aptamer and its subsequent modulation of electron transfer kinetics. This article provides </w:t>
      </w:r>
      <w:proofErr w:type="spellStart"/>
      <w:proofErr w:type="gramStart"/>
      <w:r w:rsidRPr="00C028F0">
        <w:rPr>
          <w:rFonts w:asciiTheme="majorBidi" w:hAnsiTheme="majorBidi" w:cstheme="majorBidi"/>
        </w:rPr>
        <w:t>a</w:t>
      </w:r>
      <w:proofErr w:type="spellEnd"/>
      <w:proofErr w:type="gramEnd"/>
      <w:r w:rsidRPr="00C028F0">
        <w:rPr>
          <w:rFonts w:asciiTheme="majorBidi" w:hAnsiTheme="majorBidi" w:cstheme="majorBidi"/>
        </w:rPr>
        <w:t xml:space="preserve"> overview of the simulation of such sensors, detailing the derivation of the governing kinetic equations, the relationship between these equations and the Hill–Langmuir isotherm, and the factors that contribute to the characteristic sigmoidal binding curves observed in experimental data. By integrating fundamental principles of chemical kinetics with established binding models, the simulation framework elucidates the operational mechanisms of these sensors and offers insight into their optimisation and performance evaluation.</w:t>
      </w:r>
    </w:p>
    <w:p w14:paraId="39D38A8D" w14:textId="2E574D51"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Electrochemical aptamer-based sensors have emerged as a significant technological innovation in the field of biosensing. Unlike conventional antibody-based systems, aptamers are synthetic oligonucleotides that can be engineered to recognise a wide array of targets, including proteins, small molecules, and even cells. Their stability, ease of synthesis, and capacity for conformational modulation upon target binding render them particularly attractive for incorporation into electrochemical sensing platforms. The core principle of these sensors lies in the translation of a molecular recognition event into a measurable electrical signal, primarily through changes in electron transfer rates induced by aptamer conformational changes.</w:t>
      </w:r>
    </w:p>
    <w:p w14:paraId="0377035E" w14:textId="578484C9"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 xml:space="preserve">Understanding and simulating the behaviour of electrochemical aptamer-based sensors is crucial for advancing their design and application. Simulation not only allows for the prediction of sensor responses under various conditions but also aids in the optimisation of sensor parameters, such as binding kinetics and electron transfer efficiency. In this context, the derivation of the underlying kinetic equations and the incorporation of binding models such as the Hill–Langmuir isotherm </w:t>
      </w:r>
      <w:r w:rsidR="00271C0A" w:rsidRPr="00C028F0">
        <w:rPr>
          <w:rFonts w:asciiTheme="majorBidi" w:hAnsiTheme="majorBidi" w:cstheme="majorBidi"/>
        </w:rPr>
        <w:t>is</w:t>
      </w:r>
      <w:r w:rsidRPr="00C028F0">
        <w:rPr>
          <w:rFonts w:asciiTheme="majorBidi" w:hAnsiTheme="majorBidi" w:cstheme="majorBidi"/>
        </w:rPr>
        <w:t xml:space="preserve"> fundamental to a robust simulation framework.</w:t>
      </w:r>
    </w:p>
    <w:p w14:paraId="07C8CCD9" w14:textId="77777777" w:rsidR="00732F7B" w:rsidRPr="00C028F0" w:rsidRDefault="00732F7B" w:rsidP="00D06727">
      <w:pPr>
        <w:spacing w:line="276" w:lineRule="auto"/>
        <w:jc w:val="both"/>
        <w:rPr>
          <w:rFonts w:asciiTheme="majorBidi" w:hAnsiTheme="majorBidi" w:cstheme="majorBidi"/>
        </w:rPr>
      </w:pPr>
    </w:p>
    <w:p w14:paraId="3D674DF0" w14:textId="77777777" w:rsidR="00732F7B" w:rsidRPr="00C028F0" w:rsidRDefault="00732F7B" w:rsidP="00D06727">
      <w:pPr>
        <w:spacing w:line="276" w:lineRule="auto"/>
        <w:jc w:val="both"/>
        <w:rPr>
          <w:rFonts w:asciiTheme="majorBidi" w:hAnsiTheme="majorBidi" w:cstheme="majorBidi"/>
          <w:b/>
          <w:bCs/>
        </w:rPr>
      </w:pPr>
      <w:r w:rsidRPr="00C028F0">
        <w:rPr>
          <w:rFonts w:asciiTheme="majorBidi" w:hAnsiTheme="majorBidi" w:cstheme="majorBidi"/>
          <w:b/>
          <w:bCs/>
        </w:rPr>
        <w:t>Kinetic Modelling of Aptamer–Target Interactions</w:t>
      </w:r>
    </w:p>
    <w:p w14:paraId="3F25D75D" w14:textId="77777777"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At the heart of the simulation of electrochemical aptamer-based sensors is the kinetic model that describes the binding interaction between the aptamer and its target. The reaction is typically represented as a simple reversible binding process:</w:t>
      </w:r>
    </w:p>
    <w:p w14:paraId="29C3E932" w14:textId="77777777" w:rsidR="00732F7B" w:rsidRPr="00C028F0" w:rsidRDefault="00000000" w:rsidP="00D06727">
      <w:pPr>
        <w:spacing w:line="276" w:lineRule="auto"/>
        <w:jc w:val="both"/>
        <w:rPr>
          <w:rFonts w:asciiTheme="majorBidi" w:hAnsiTheme="majorBidi" w:cstheme="majorBidi"/>
        </w:rPr>
      </w:pPr>
      <m:oMathPara>
        <m:oMath>
          <m:m>
            <m:mPr>
              <m:plcHide m:val="1"/>
              <m:mcs>
                <m:mc>
                  <m:mcPr>
                    <m:count m:val="3"/>
                    <m:mcJc m:val="center"/>
                  </m:mcPr>
                </m:mc>
              </m:mcs>
              <m:ctrlPr>
                <w:rPr>
                  <w:rFonts w:ascii="Cambria Math" w:hAnsi="Cambria Math" w:cstheme="majorBidi"/>
                  <w:i/>
                </w:rPr>
              </m:ctrlPr>
            </m:mPr>
            <m:mr>
              <m:e/>
              <m:e>
                <m:r>
                  <w:rPr>
                    <w:rFonts w:ascii="Cambria Math" w:hAnsi="Cambria Math" w:cstheme="majorBidi"/>
                  </w:rPr>
                  <m:t>kon</m:t>
                </m:r>
              </m:e>
              <m:e/>
            </m:mr>
            <m:mr>
              <m:e>
                <m:r>
                  <w:rPr>
                    <w:rFonts w:ascii="Cambria Math" w:hAnsi="Cambria Math" w:cstheme="majorBidi"/>
                  </w:rPr>
                  <m:t>A+T</m:t>
                </m:r>
              </m:e>
              <m:e>
                <m:r>
                  <w:rPr>
                    <w:rFonts w:ascii="Cambria Math" w:hAnsi="Cambria Math" w:cstheme="majorBidi"/>
                  </w:rPr>
                  <m:t>⇌</m:t>
                </m:r>
              </m:e>
              <m:e>
                <m:r>
                  <w:rPr>
                    <w:rFonts w:ascii="Cambria Math" w:hAnsi="Cambria Math" w:cstheme="majorBidi"/>
                  </w:rPr>
                  <m:t>AT</m:t>
                </m:r>
              </m:e>
            </m:mr>
            <m:mr>
              <m:e/>
              <m:e>
                <m:r>
                  <w:rPr>
                    <w:rFonts w:ascii="Cambria Math" w:hAnsi="Cambria Math" w:cstheme="majorBidi"/>
                  </w:rPr>
                  <m:t>koff</m:t>
                </m:r>
              </m:e>
              <m:e/>
            </m:mr>
          </m:m>
        </m:oMath>
      </m:oMathPara>
    </w:p>
    <w:p w14:paraId="3A9469D4" w14:textId="77777777"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 xml:space="preserve">Here, </w:t>
      </w:r>
      <m:oMath>
        <m:r>
          <w:rPr>
            <w:rFonts w:ascii="Cambria Math" w:hAnsi="Cambria Math" w:cstheme="majorBidi"/>
          </w:rPr>
          <m:t>A</m:t>
        </m:r>
      </m:oMath>
      <w:r w:rsidRPr="00C028F0">
        <w:rPr>
          <w:rFonts w:asciiTheme="majorBidi" w:hAnsiTheme="majorBidi" w:cstheme="majorBidi"/>
        </w:rPr>
        <w:t xml:space="preserve"> denotes the aptamer, </w:t>
      </w:r>
      <m:oMath>
        <m:r>
          <w:rPr>
            <w:rFonts w:ascii="Cambria Math" w:hAnsi="Cambria Math" w:cstheme="majorBidi"/>
          </w:rPr>
          <m:t>T</m:t>
        </m:r>
      </m:oMath>
      <w:r w:rsidRPr="00C028F0">
        <w:rPr>
          <w:rFonts w:asciiTheme="majorBidi" w:hAnsiTheme="majorBidi" w:cstheme="majorBidi"/>
        </w:rPr>
        <w:t xml:space="preserve"> represents the target molecule, and </w:t>
      </w:r>
      <m:oMath>
        <m:r>
          <w:rPr>
            <w:rFonts w:ascii="Cambria Math" w:hAnsi="Cambria Math" w:cstheme="majorBidi"/>
          </w:rPr>
          <m:t>AT</m:t>
        </m:r>
      </m:oMath>
      <w:r w:rsidRPr="00C028F0">
        <w:rPr>
          <w:rFonts w:asciiTheme="majorBidi" w:hAnsiTheme="majorBidi" w:cstheme="majorBidi"/>
        </w:rPr>
        <w:t xml:space="preserve"> is the aptamer–target complex. The rate constants </w:t>
      </w:r>
      <m:oMath>
        <m:r>
          <w:rPr>
            <w:rFonts w:ascii="Cambria Math" w:hAnsi="Cambria Math" w:cstheme="majorBidi"/>
          </w:rPr>
          <m:t>kon</m:t>
        </m:r>
      </m:oMath>
      <w:r w:rsidRPr="00C028F0">
        <w:rPr>
          <w:rFonts w:asciiTheme="majorBidi" w:hAnsiTheme="majorBidi" w:cstheme="majorBidi"/>
        </w:rPr>
        <w:t xml:space="preserve"> and </w:t>
      </w:r>
      <m:oMath>
        <m:r>
          <w:rPr>
            <w:rFonts w:ascii="Cambria Math" w:hAnsi="Cambria Math" w:cstheme="majorBidi"/>
          </w:rPr>
          <m:t>koff</m:t>
        </m:r>
      </m:oMath>
      <w:r w:rsidRPr="00C028F0">
        <w:rPr>
          <w:rFonts w:asciiTheme="majorBidi" w:hAnsiTheme="majorBidi" w:cstheme="majorBidi"/>
        </w:rPr>
        <w:t xml:space="preserve"> govern the forward (binding) and reverse (dissociation) reactions, respectively.</w:t>
      </w:r>
    </w:p>
    <w:p w14:paraId="6AACCF17" w14:textId="77777777"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The application of the law of mass action to this system stipulates that the rate of the forward reaction is proportional to the product of the concentrations of the free aptamer and the target:</w:t>
      </w:r>
    </w:p>
    <w:p w14:paraId="0291A6D6" w14:textId="77777777" w:rsidR="00732F7B" w:rsidRPr="00C028F0"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m:rPr>
                  <m:nor/>
                </m:rPr>
                <w:rPr>
                  <w:rFonts w:asciiTheme="majorBidi" w:hAnsiTheme="majorBidi" w:cstheme="majorBidi"/>
                </w:rPr>
                <m:t>Rate</m:t>
              </m:r>
            </m:e>
            <m:sub>
              <m:r>
                <m:rPr>
                  <m:nor/>
                </m:rPr>
                <w:rPr>
                  <w:rFonts w:asciiTheme="majorBidi" w:hAnsiTheme="majorBidi" w:cstheme="majorBidi"/>
                </w:rPr>
                <m:t>forward</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r>
            <w:rPr>
              <w:rFonts w:ascii="Cambria Math" w:hAnsi="Cambria Math" w:cstheme="majorBidi"/>
            </w:rPr>
            <m:t>⋅[</m:t>
          </m:r>
          <m:r>
            <m:rPr>
              <m:nor/>
            </m:rPr>
            <w:rPr>
              <w:rFonts w:asciiTheme="majorBidi" w:hAnsiTheme="majorBidi" w:cstheme="majorBidi"/>
            </w:rPr>
            <m:t>A</m:t>
          </m:r>
          <m:r>
            <w:rPr>
              <w:rFonts w:ascii="Cambria Math" w:hAnsi="Cambria Math" w:cstheme="majorBidi"/>
            </w:rPr>
            <m:t>]⋅[</m:t>
          </m:r>
          <m:r>
            <m:rPr>
              <m:nor/>
            </m:rPr>
            <w:rPr>
              <w:rFonts w:asciiTheme="majorBidi" w:hAnsiTheme="majorBidi" w:cstheme="majorBidi"/>
            </w:rPr>
            <m:t>T</m:t>
          </m:r>
          <m:r>
            <w:rPr>
              <w:rFonts w:ascii="Cambria Math" w:hAnsi="Cambria Math" w:cstheme="majorBidi"/>
            </w:rPr>
            <m:t>]</m:t>
          </m:r>
        </m:oMath>
      </m:oMathPara>
    </w:p>
    <w:p w14:paraId="28BA0E6D" w14:textId="77777777"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lastRenderedPageBreak/>
        <w:t>Similarly, the rate of dissociation is proportional to the concentration of the formed complex:</w:t>
      </w:r>
    </w:p>
    <w:p w14:paraId="04C8254C" w14:textId="77777777" w:rsidR="00732F7B" w:rsidRPr="00C028F0"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m:rPr>
                  <m:nor/>
                </m:rPr>
                <w:rPr>
                  <w:rFonts w:asciiTheme="majorBidi" w:hAnsiTheme="majorBidi" w:cstheme="majorBidi"/>
                </w:rPr>
                <m:t>Rate</m:t>
              </m:r>
            </m:e>
            <m:sub>
              <m:r>
                <m:rPr>
                  <m:nor/>
                </m:rPr>
                <w:rPr>
                  <w:rFonts w:asciiTheme="majorBidi" w:hAnsiTheme="majorBidi" w:cstheme="majorBidi"/>
                </w:rPr>
                <m:t>reverse</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off</m:t>
              </m:r>
            </m:sub>
          </m:sSub>
          <m:r>
            <w:rPr>
              <w:rFonts w:ascii="Cambria Math" w:hAnsi="Cambria Math" w:cstheme="majorBidi"/>
            </w:rPr>
            <m:t>⋅[</m:t>
          </m:r>
          <m:r>
            <m:rPr>
              <m:nor/>
            </m:rPr>
            <w:rPr>
              <w:rFonts w:asciiTheme="majorBidi" w:hAnsiTheme="majorBidi" w:cstheme="majorBidi"/>
            </w:rPr>
            <m:t>AT</m:t>
          </m:r>
          <m:r>
            <w:rPr>
              <w:rFonts w:ascii="Cambria Math" w:hAnsi="Cambria Math" w:cstheme="majorBidi"/>
            </w:rPr>
            <m:t>]</m:t>
          </m:r>
        </m:oMath>
      </m:oMathPara>
    </w:p>
    <w:p w14:paraId="0D4B99D9" w14:textId="77777777"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 xml:space="preserve">Thus, the net rate of formation of the complex </w:t>
      </w:r>
      <m:oMath>
        <m:r>
          <w:rPr>
            <w:rFonts w:ascii="Cambria Math" w:hAnsi="Cambria Math" w:cstheme="majorBidi"/>
          </w:rPr>
          <m:t>[AT]</m:t>
        </m:r>
      </m:oMath>
      <w:r w:rsidRPr="00C028F0">
        <w:rPr>
          <w:rFonts w:asciiTheme="majorBidi" w:hAnsiTheme="majorBidi" w:cstheme="majorBidi"/>
        </w:rPr>
        <w:t xml:space="preserve"> is given by the difference between these two rates:</w:t>
      </w:r>
    </w:p>
    <w:p w14:paraId="2859C704" w14:textId="77777777" w:rsidR="00732F7B" w:rsidRPr="00C028F0" w:rsidRDefault="00000000" w:rsidP="00D06727">
      <w:pPr>
        <w:spacing w:line="276" w:lineRule="auto"/>
        <w:jc w:val="both"/>
        <w:rPr>
          <w:rFonts w:asciiTheme="majorBidi" w:hAnsiTheme="majorBidi" w:cstheme="majorBidi"/>
        </w:rPr>
      </w:pPr>
      <m:oMathPara>
        <m:oMath>
          <m:f>
            <m:fPr>
              <m:ctrlPr>
                <w:rPr>
                  <w:rFonts w:ascii="Cambria Math" w:hAnsi="Cambria Math" w:cstheme="majorBidi"/>
                </w:rPr>
              </m:ctrlPr>
            </m:fPr>
            <m:num>
              <m:r>
                <w:rPr>
                  <w:rFonts w:ascii="Cambria Math" w:hAnsi="Cambria Math" w:cstheme="majorBidi"/>
                </w:rPr>
                <m:t>d[</m:t>
              </m:r>
              <m:r>
                <m:rPr>
                  <m:nor/>
                </m:rPr>
                <w:rPr>
                  <w:rFonts w:asciiTheme="majorBidi" w:hAnsiTheme="majorBidi" w:cstheme="majorBidi"/>
                </w:rPr>
                <m:t>AT</m:t>
              </m:r>
              <m:r>
                <w:rPr>
                  <w:rFonts w:ascii="Cambria Math" w:hAnsi="Cambria Math" w:cstheme="majorBidi"/>
                </w:rPr>
                <m:t>]</m:t>
              </m:r>
            </m:num>
            <m:den>
              <m:r>
                <w:rPr>
                  <w:rFonts w:ascii="Cambria Math" w:hAnsi="Cambria Math" w:cstheme="majorBidi"/>
                </w:rPr>
                <m:t>dt</m:t>
              </m:r>
            </m:den>
          </m:f>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r>
            <w:rPr>
              <w:rFonts w:ascii="Cambria Math" w:hAnsi="Cambria Math" w:cstheme="majorBidi"/>
            </w:rPr>
            <m:t>⋅[</m:t>
          </m:r>
          <m:r>
            <m:rPr>
              <m:nor/>
            </m:rPr>
            <w:rPr>
              <w:rFonts w:asciiTheme="majorBidi" w:hAnsiTheme="majorBidi" w:cstheme="majorBidi"/>
            </w:rPr>
            <m:t>A</m:t>
          </m:r>
          <m:r>
            <w:rPr>
              <w:rFonts w:ascii="Cambria Math" w:hAnsi="Cambria Math" w:cstheme="majorBidi"/>
            </w:rPr>
            <m:t>]⋅[</m:t>
          </m:r>
          <m:r>
            <m:rPr>
              <m:nor/>
            </m:rPr>
            <w:rPr>
              <w:rFonts w:asciiTheme="majorBidi" w:hAnsiTheme="majorBidi" w:cstheme="majorBidi"/>
            </w:rPr>
            <m:t>T</m:t>
          </m:r>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off</m:t>
              </m:r>
            </m:sub>
          </m:sSub>
          <m:r>
            <w:rPr>
              <w:rFonts w:ascii="Cambria Math" w:hAnsi="Cambria Math" w:cstheme="majorBidi"/>
            </w:rPr>
            <m:t>⋅[</m:t>
          </m:r>
          <m:r>
            <m:rPr>
              <m:nor/>
            </m:rPr>
            <w:rPr>
              <w:rFonts w:asciiTheme="majorBidi" w:hAnsiTheme="majorBidi" w:cstheme="majorBidi"/>
            </w:rPr>
            <m:t>AT</m:t>
          </m:r>
          <m:r>
            <w:rPr>
              <w:rFonts w:ascii="Cambria Math" w:hAnsi="Cambria Math" w:cstheme="majorBidi"/>
            </w:rPr>
            <m:t>]</m:t>
          </m:r>
        </m:oMath>
      </m:oMathPara>
    </w:p>
    <w:p w14:paraId="1734AC3D" w14:textId="77777777"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 xml:space="preserve">To account for the conservation of the total aptamer concentration, we introduce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Total</m:t>
            </m:r>
          </m:sub>
        </m:sSub>
      </m:oMath>
      <w:r w:rsidRPr="00C028F0">
        <w:rPr>
          <w:rFonts w:asciiTheme="majorBidi" w:hAnsiTheme="majorBidi" w:cstheme="majorBidi"/>
          <w:vertAlign w:val="subscript"/>
        </w:rPr>
        <w:t xml:space="preserve"> </w:t>
      </w:r>
      <w:proofErr w:type="gramStart"/>
      <w:r w:rsidRPr="00C028F0">
        <w:rPr>
          <w:rFonts w:asciiTheme="majorBidi" w:hAnsiTheme="majorBidi" w:cstheme="majorBidi"/>
        </w:rPr>
        <w:t>where</w:t>
      </w:r>
      <w:proofErr w:type="gramEnd"/>
    </w:p>
    <w:p w14:paraId="5AC05416" w14:textId="77777777" w:rsidR="00732F7B" w:rsidRPr="00C028F0"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r>
            <w:rPr>
              <w:rFonts w:ascii="Cambria Math" w:hAnsi="Cambria Math" w:cstheme="majorBidi"/>
            </w:rPr>
            <m:t>=[</m:t>
          </m:r>
          <m:r>
            <m:rPr>
              <m:nor/>
            </m:rPr>
            <w:rPr>
              <w:rFonts w:asciiTheme="majorBidi" w:hAnsiTheme="majorBidi" w:cstheme="majorBidi"/>
            </w:rPr>
            <m:t>A</m:t>
          </m:r>
          <m:r>
            <w:rPr>
              <w:rFonts w:ascii="Cambria Math" w:hAnsi="Cambria Math" w:cstheme="majorBidi"/>
            </w:rPr>
            <m:t>]+[</m:t>
          </m:r>
          <m:r>
            <m:rPr>
              <m:nor/>
            </m:rPr>
            <w:rPr>
              <w:rFonts w:asciiTheme="majorBidi" w:hAnsiTheme="majorBidi" w:cstheme="majorBidi"/>
            </w:rPr>
            <m:t>AT</m:t>
          </m:r>
          <m:r>
            <w:rPr>
              <w:rFonts w:ascii="Cambria Math" w:hAnsi="Cambria Math" w:cstheme="majorBidi"/>
            </w:rPr>
            <m:t>]</m:t>
          </m:r>
        </m:oMath>
      </m:oMathPara>
    </w:p>
    <w:p w14:paraId="1F66A51D" w14:textId="77777777"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Thus, the concentration of free aptamer is expressed as:</w:t>
      </w:r>
    </w:p>
    <w:p w14:paraId="3FD90A33" w14:textId="77777777" w:rsidR="00732F7B" w:rsidRPr="00C028F0" w:rsidRDefault="00732F7B" w:rsidP="00D06727">
      <w:pPr>
        <w:spacing w:line="276" w:lineRule="auto"/>
        <w:jc w:val="both"/>
        <w:rPr>
          <w:rFonts w:asciiTheme="majorBidi" w:hAnsiTheme="majorBidi" w:cstheme="majorBidi"/>
        </w:rPr>
      </w:pPr>
      <m:oMathPara>
        <m:oMath>
          <m:r>
            <w:rPr>
              <w:rFonts w:ascii="Cambria Math" w:hAnsi="Cambria Math" w:cstheme="majorBidi"/>
            </w:rPr>
            <m:t>[</m:t>
          </m:r>
          <m:r>
            <m:rPr>
              <m:nor/>
            </m:rPr>
            <w:rPr>
              <w:rFonts w:asciiTheme="majorBidi" w:hAnsiTheme="majorBidi" w:cstheme="majorBidi"/>
            </w:rPr>
            <m:t>A</m:t>
          </m:r>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r>
            <w:rPr>
              <w:rFonts w:ascii="Cambria Math" w:hAnsi="Cambria Math" w:cstheme="majorBidi"/>
            </w:rPr>
            <m:t>-[</m:t>
          </m:r>
          <m:r>
            <m:rPr>
              <m:nor/>
            </m:rPr>
            <w:rPr>
              <w:rFonts w:asciiTheme="majorBidi" w:hAnsiTheme="majorBidi" w:cstheme="majorBidi"/>
            </w:rPr>
            <m:t>AT</m:t>
          </m:r>
          <m:r>
            <w:rPr>
              <w:rFonts w:ascii="Cambria Math" w:hAnsi="Cambria Math" w:cstheme="majorBidi"/>
            </w:rPr>
            <m:t>]</m:t>
          </m:r>
        </m:oMath>
      </m:oMathPara>
    </w:p>
    <w:p w14:paraId="04691701" w14:textId="77777777"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Substituting this into the net rate equation yields:</w:t>
      </w:r>
    </w:p>
    <w:p w14:paraId="4EA437FC" w14:textId="77777777" w:rsidR="00732F7B" w:rsidRPr="00C028F0" w:rsidRDefault="00000000" w:rsidP="00D06727">
      <w:pPr>
        <w:spacing w:line="276" w:lineRule="auto"/>
        <w:jc w:val="both"/>
        <w:rPr>
          <w:rFonts w:asciiTheme="majorBidi" w:hAnsiTheme="majorBidi" w:cstheme="majorBidi"/>
        </w:rPr>
      </w:pPr>
      <m:oMathPara>
        <m:oMath>
          <m:f>
            <m:fPr>
              <m:ctrlPr>
                <w:rPr>
                  <w:rFonts w:ascii="Cambria Math" w:hAnsi="Cambria Math" w:cstheme="majorBidi"/>
                </w:rPr>
              </m:ctrlPr>
            </m:fPr>
            <m:num>
              <m:r>
                <w:rPr>
                  <w:rFonts w:ascii="Cambria Math" w:hAnsi="Cambria Math" w:cstheme="majorBidi"/>
                </w:rPr>
                <m:t>d[</m:t>
              </m:r>
              <m:r>
                <m:rPr>
                  <m:nor/>
                </m:rPr>
                <w:rPr>
                  <w:rFonts w:asciiTheme="majorBidi" w:hAnsiTheme="majorBidi" w:cstheme="majorBidi"/>
                </w:rPr>
                <m:t>AT</m:t>
              </m:r>
              <m:r>
                <w:rPr>
                  <w:rFonts w:ascii="Cambria Math" w:hAnsi="Cambria Math" w:cstheme="majorBidi"/>
                </w:rPr>
                <m:t>]</m:t>
              </m:r>
            </m:num>
            <m:den>
              <m:r>
                <w:rPr>
                  <w:rFonts w:ascii="Cambria Math" w:hAnsi="Cambria Math" w:cstheme="majorBidi"/>
                </w:rPr>
                <m:t>dt</m:t>
              </m:r>
            </m:den>
          </m:f>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r>
            <w:rPr>
              <w:rFonts w:ascii="Cambria Math" w:hAnsi="Cambria Math" w:cstheme="majorBidi"/>
            </w:rPr>
            <m:t>-[</m:t>
          </m:r>
          <m:r>
            <m:rPr>
              <m:nor/>
            </m:rPr>
            <w:rPr>
              <w:rFonts w:asciiTheme="majorBidi" w:hAnsiTheme="majorBidi" w:cstheme="majorBidi"/>
            </w:rPr>
            <m:t>AT</m:t>
          </m:r>
          <m:r>
            <w:rPr>
              <w:rFonts w:ascii="Cambria Math" w:hAnsi="Cambria Math" w:cstheme="majorBidi"/>
            </w:rPr>
            <m:t>])⋅[</m:t>
          </m:r>
          <m:r>
            <m:rPr>
              <m:nor/>
            </m:rPr>
            <w:rPr>
              <w:rFonts w:asciiTheme="majorBidi" w:hAnsiTheme="majorBidi" w:cstheme="majorBidi"/>
            </w:rPr>
            <m:t>T</m:t>
          </m:r>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off</m:t>
              </m:r>
            </m:sub>
          </m:sSub>
          <m:r>
            <w:rPr>
              <w:rFonts w:ascii="Cambria Math" w:hAnsi="Cambria Math" w:cstheme="majorBidi"/>
            </w:rPr>
            <m:t>⋅[</m:t>
          </m:r>
          <m:r>
            <m:rPr>
              <m:nor/>
            </m:rPr>
            <w:rPr>
              <w:rFonts w:asciiTheme="majorBidi" w:hAnsiTheme="majorBidi" w:cstheme="majorBidi"/>
            </w:rPr>
            <m:t>AT</m:t>
          </m:r>
          <m:r>
            <w:rPr>
              <w:rFonts w:ascii="Cambria Math" w:hAnsi="Cambria Math" w:cstheme="majorBidi"/>
            </w:rPr>
            <m:t>]</m:t>
          </m:r>
        </m:oMath>
      </m:oMathPara>
    </w:p>
    <w:p w14:paraId="2A6948BA" w14:textId="675FE51A"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This differential equation forms the cornerstone of the simulation model, capturing the time-dependent kinetics of the aptamer–target binding process.</w:t>
      </w:r>
      <w:r w:rsidR="00526D72" w:rsidRPr="00C028F0">
        <w:rPr>
          <w:rFonts w:asciiTheme="majorBidi" w:hAnsiTheme="majorBidi" w:cstheme="majorBidi"/>
        </w:rPr>
        <w:t xml:space="preserve"> </w:t>
      </w:r>
      <w:r w:rsidRPr="00C028F0">
        <w:rPr>
          <w:rFonts w:asciiTheme="majorBidi" w:hAnsiTheme="majorBidi" w:cstheme="majorBidi"/>
        </w:rPr>
        <w:t xml:space="preserve">While the differential equation derived above provides a dynamic description of binding, its steady-state solution is intimately connected to the well-known Hill–Langmuir isotherm. At equilibrium, where </w:t>
      </w:r>
      <w:r w:rsidRPr="00C028F0">
        <w:rPr>
          <w:rFonts w:ascii="Cambria Math" w:hAnsi="Cambria Math"/>
        </w:rPr>
        <w:br/>
      </w:r>
      <m:oMath>
        <m:f>
          <m:fPr>
            <m:ctrlPr>
              <w:rPr>
                <w:rFonts w:ascii="Cambria Math" w:hAnsi="Cambria Math" w:cstheme="majorBidi"/>
              </w:rPr>
            </m:ctrlPr>
          </m:fPr>
          <m:num>
            <m:r>
              <w:rPr>
                <w:rFonts w:ascii="Cambria Math" w:hAnsi="Cambria Math" w:cstheme="majorBidi"/>
              </w:rPr>
              <m:t>d[</m:t>
            </m:r>
            <m:r>
              <m:rPr>
                <m:nor/>
              </m:rPr>
              <w:rPr>
                <w:rFonts w:asciiTheme="majorBidi" w:hAnsiTheme="majorBidi" w:cstheme="majorBidi"/>
              </w:rPr>
              <m:t>AT</m:t>
            </m:r>
            <m:r>
              <w:rPr>
                <w:rFonts w:ascii="Cambria Math" w:hAnsi="Cambria Math" w:cstheme="majorBidi"/>
              </w:rPr>
              <m:t>]</m:t>
            </m:r>
          </m:num>
          <m:den>
            <m:r>
              <w:rPr>
                <w:rFonts w:ascii="Cambria Math" w:hAnsi="Cambria Math" w:cstheme="majorBidi"/>
              </w:rPr>
              <m:t>dt</m:t>
            </m:r>
          </m:den>
        </m:f>
        <m:r>
          <w:rPr>
            <w:rFonts w:ascii="Cambria Math" w:hAnsi="Cambria Math" w:cstheme="majorBidi"/>
          </w:rPr>
          <m:t xml:space="preserve">=0 </m:t>
        </m:r>
      </m:oMath>
      <w:r w:rsidRPr="00C028F0">
        <w:rPr>
          <w:rFonts w:asciiTheme="majorBidi" w:hAnsiTheme="majorBidi" w:cstheme="majorBidi"/>
        </w:rPr>
        <w:t>the rate of association equals the rate of dissociation:</w:t>
      </w:r>
    </w:p>
    <w:p w14:paraId="2417BE1F" w14:textId="77777777" w:rsidR="00732F7B" w:rsidRPr="00C028F0"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r>
            <w:rPr>
              <w:rFonts w:ascii="Cambria Math" w:hAnsi="Cambria Math" w:cstheme="majorBidi"/>
            </w:rPr>
            <m:t>⋅</m:t>
          </m:r>
          <m:d>
            <m:dPr>
              <m:ctrlPr>
                <w:rPr>
                  <w:rFonts w:ascii="Cambria Math" w:hAnsi="Cambria Math" w:cstheme="majorBidi"/>
                  <w:i/>
                </w:rPr>
              </m:ctrlPr>
            </m:dPr>
            <m:e>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r>
                <w:rPr>
                  <w:rFonts w:ascii="Cambria Math" w:hAnsi="Cambria Math" w:cstheme="majorBidi"/>
                </w:rPr>
                <m:t>-</m:t>
              </m:r>
              <m:d>
                <m:dPr>
                  <m:begChr m:val="["/>
                  <m:endChr m:val="]"/>
                  <m:ctrlPr>
                    <w:rPr>
                      <w:rFonts w:ascii="Cambria Math" w:hAnsi="Cambria Math" w:cstheme="majorBidi"/>
                      <w:i/>
                    </w:rPr>
                  </m:ctrlPr>
                </m:dPr>
                <m:e>
                  <m:r>
                    <m:rPr>
                      <m:nor/>
                    </m:rPr>
                    <w:rPr>
                      <w:rFonts w:asciiTheme="majorBidi" w:hAnsiTheme="majorBidi" w:cstheme="majorBidi"/>
                    </w:rPr>
                    <m:t>AT</m:t>
                  </m:r>
                </m:e>
              </m:d>
            </m:e>
          </m:d>
          <m:r>
            <w:rPr>
              <w:rFonts w:ascii="Cambria Math" w:hAnsi="Cambria Math" w:cstheme="majorBidi"/>
            </w:rPr>
            <m:t>⋅</m:t>
          </m:r>
          <m:d>
            <m:dPr>
              <m:begChr m:val="["/>
              <m:endChr m:val="]"/>
              <m:ctrlPr>
                <w:rPr>
                  <w:rFonts w:ascii="Cambria Math" w:hAnsi="Cambria Math" w:cstheme="majorBidi"/>
                  <w:i/>
                </w:rPr>
              </m:ctrlPr>
            </m:dPr>
            <m:e>
              <m:r>
                <m:rPr>
                  <m:nor/>
                </m:rPr>
                <w:rPr>
                  <w:rFonts w:asciiTheme="majorBidi" w:hAnsiTheme="majorBidi" w:cstheme="majorBidi"/>
                </w:rPr>
                <m:t>T</m:t>
              </m:r>
            </m:e>
          </m:d>
          <m:r>
            <w:rPr>
              <w:rFonts w:ascii="Cambria Math" w:hAnsi="Cambria Math" w:cstheme="majorBidi"/>
            </w:rPr>
            <m:t>= -</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off</m:t>
              </m:r>
            </m:sub>
          </m:sSub>
          <m:r>
            <w:rPr>
              <w:rFonts w:ascii="Cambria Math" w:hAnsi="Cambria Math" w:cstheme="majorBidi"/>
            </w:rPr>
            <m:t>⋅[</m:t>
          </m:r>
          <m:r>
            <m:rPr>
              <m:nor/>
            </m:rPr>
            <w:rPr>
              <w:rFonts w:asciiTheme="majorBidi" w:hAnsiTheme="majorBidi" w:cstheme="majorBidi"/>
            </w:rPr>
            <m:t>AT</m:t>
          </m:r>
          <m:r>
            <w:rPr>
              <w:rFonts w:ascii="Cambria Math" w:hAnsi="Cambria Math" w:cstheme="majorBidi"/>
            </w:rPr>
            <m:t>]</m:t>
          </m:r>
        </m:oMath>
      </m:oMathPara>
    </w:p>
    <w:p w14:paraId="3DE567BB" w14:textId="77777777"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 xml:space="preserve">Rearranging this equation allows one to solve for the equilibrium concentration </w:t>
      </w:r>
      <m:oMath>
        <m:r>
          <w:rPr>
            <w:rFonts w:ascii="Cambria Math" w:hAnsi="Cambria Math" w:cstheme="majorBidi"/>
          </w:rPr>
          <m:t>[</m:t>
        </m:r>
        <m:r>
          <m:rPr>
            <m:nor/>
          </m:rPr>
          <w:rPr>
            <w:rFonts w:asciiTheme="majorBidi" w:hAnsiTheme="majorBidi" w:cstheme="majorBidi"/>
          </w:rPr>
          <m:t>AT</m:t>
        </m:r>
        <m:sSub>
          <m:sSubPr>
            <m:ctrlPr>
              <w:rPr>
                <w:rFonts w:ascii="Cambria Math" w:hAnsi="Cambria Math" w:cstheme="majorBidi"/>
              </w:rPr>
            </m:ctrlPr>
          </m:sSubPr>
          <m:e>
            <m:r>
              <w:rPr>
                <w:rFonts w:ascii="Cambria Math" w:hAnsi="Cambria Math" w:cstheme="majorBidi"/>
              </w:rPr>
              <m:t>]</m:t>
            </m:r>
          </m:e>
          <m:sub>
            <m:r>
              <m:rPr>
                <m:nor/>
              </m:rPr>
              <w:rPr>
                <w:rFonts w:asciiTheme="majorBidi" w:hAnsiTheme="majorBidi" w:cstheme="majorBidi"/>
              </w:rPr>
              <m:t>eq</m:t>
            </m:r>
          </m:sub>
        </m:sSub>
      </m:oMath>
    </w:p>
    <w:p w14:paraId="24C93AD1" w14:textId="77777777" w:rsidR="00732F7B" w:rsidRPr="00C028F0" w:rsidRDefault="00732F7B" w:rsidP="00D06727">
      <w:pPr>
        <w:spacing w:line="276" w:lineRule="auto"/>
        <w:jc w:val="both"/>
        <w:rPr>
          <w:rFonts w:asciiTheme="majorBidi" w:hAnsiTheme="majorBidi" w:cstheme="majorBidi"/>
        </w:rPr>
      </w:pPr>
      <m:oMathPara>
        <m:oMath>
          <m:r>
            <w:rPr>
              <w:rFonts w:ascii="Cambria Math" w:hAnsi="Cambria Math" w:cstheme="majorBidi"/>
            </w:rPr>
            <m:t>[</m:t>
          </m:r>
          <m:r>
            <m:rPr>
              <m:nor/>
            </m:rPr>
            <w:rPr>
              <w:rFonts w:asciiTheme="majorBidi" w:hAnsiTheme="majorBidi" w:cstheme="majorBidi"/>
            </w:rPr>
            <m:t>AT</m:t>
          </m:r>
          <m:sSub>
            <m:sSubPr>
              <m:ctrlPr>
                <w:rPr>
                  <w:rFonts w:ascii="Cambria Math" w:hAnsi="Cambria Math" w:cstheme="majorBidi"/>
                </w:rPr>
              </m:ctrlPr>
            </m:sSubPr>
            <m:e>
              <m:r>
                <w:rPr>
                  <w:rFonts w:ascii="Cambria Math" w:hAnsi="Cambria Math" w:cstheme="majorBidi"/>
                </w:rPr>
                <m:t>]</m:t>
              </m:r>
            </m:e>
            <m:sub>
              <m:r>
                <m:rPr>
                  <m:nor/>
                </m:rPr>
                <w:rPr>
                  <w:rFonts w:asciiTheme="majorBidi" w:hAnsiTheme="majorBidi" w:cstheme="majorBidi"/>
                </w:rPr>
                <m:t>eq</m:t>
              </m:r>
            </m:sub>
          </m:sSub>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T</m:t>
              </m:r>
              <m:r>
                <w:rPr>
                  <w:rFonts w:ascii="Cambria Math" w:hAnsi="Cambria Math" w:cstheme="majorBidi"/>
                </w:rPr>
                <m:t>]</m:t>
              </m:r>
            </m:num>
            <m:den>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off</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T</m:t>
              </m:r>
              <m:r>
                <w:rPr>
                  <w:rFonts w:ascii="Cambria Math" w:hAnsi="Cambria Math" w:cstheme="majorBidi"/>
                </w:rPr>
                <m:t>]</m:t>
              </m:r>
            </m:den>
          </m:f>
        </m:oMath>
      </m:oMathPara>
    </w:p>
    <w:p w14:paraId="56E21B26" w14:textId="77777777"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 xml:space="preserve">The fraction of aptamers that are bound at equilibrium, defined as </w:t>
      </w:r>
      <m:oMath>
        <m:r>
          <w:rPr>
            <w:rFonts w:ascii="Cambria Math" w:hAnsi="Cambria Math" w:cstheme="majorBidi"/>
          </w:rPr>
          <m:t>θ</m:t>
        </m:r>
      </m:oMath>
      <w:r w:rsidRPr="00C028F0">
        <w:rPr>
          <w:rFonts w:asciiTheme="majorBidi" w:hAnsiTheme="majorBidi" w:cstheme="majorBidi"/>
        </w:rPr>
        <w:t>, is then:</w:t>
      </w:r>
    </w:p>
    <w:p w14:paraId="3B3855A0" w14:textId="77777777" w:rsidR="00732F7B" w:rsidRPr="00C028F0" w:rsidRDefault="00732F7B" w:rsidP="00D06727">
      <w:pPr>
        <w:spacing w:line="276" w:lineRule="auto"/>
        <w:jc w:val="both"/>
        <w:rPr>
          <w:rFonts w:asciiTheme="majorBidi" w:hAnsiTheme="majorBidi" w:cstheme="majorBidi"/>
        </w:rPr>
      </w:pPr>
      <m:oMathPara>
        <m:oMath>
          <m:r>
            <w:rPr>
              <w:rFonts w:ascii="Cambria Math" w:hAnsi="Cambria Math" w:cstheme="majorBidi"/>
            </w:rPr>
            <m:t>θ=</m:t>
          </m:r>
          <m:f>
            <m:fPr>
              <m:ctrlPr>
                <w:rPr>
                  <w:rFonts w:ascii="Cambria Math" w:hAnsi="Cambria Math" w:cstheme="majorBidi"/>
                </w:rPr>
              </m:ctrlPr>
            </m:fPr>
            <m:num>
              <m:r>
                <w:rPr>
                  <w:rFonts w:ascii="Cambria Math" w:hAnsi="Cambria Math" w:cstheme="majorBidi"/>
                </w:rPr>
                <m:t>[</m:t>
              </m:r>
              <m:r>
                <m:rPr>
                  <m:nor/>
                </m:rPr>
                <w:rPr>
                  <w:rFonts w:asciiTheme="majorBidi" w:hAnsiTheme="majorBidi" w:cstheme="majorBidi"/>
                </w:rPr>
                <m:t>AT</m:t>
              </m:r>
              <m:sSub>
                <m:sSubPr>
                  <m:ctrlPr>
                    <w:rPr>
                      <w:rFonts w:ascii="Cambria Math" w:hAnsi="Cambria Math" w:cstheme="majorBidi"/>
                    </w:rPr>
                  </m:ctrlPr>
                </m:sSubPr>
                <m:e>
                  <m:r>
                    <w:rPr>
                      <w:rFonts w:ascii="Cambria Math" w:hAnsi="Cambria Math" w:cstheme="majorBidi"/>
                    </w:rPr>
                    <m:t>]</m:t>
                  </m:r>
                </m:e>
                <m:sub>
                  <m:r>
                    <m:rPr>
                      <m:nor/>
                    </m:rPr>
                    <w:rPr>
                      <w:rFonts w:asciiTheme="majorBidi" w:hAnsiTheme="majorBidi" w:cstheme="majorBidi"/>
                    </w:rPr>
                    <m:t>eq</m:t>
                  </m:r>
                </m:sub>
              </m:sSub>
            </m:num>
            <m:den>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den>
          </m:f>
          <m:r>
            <w:rPr>
              <w:rFonts w:ascii="Cambria Math" w:hAnsi="Cambria Math" w:cstheme="majorBidi"/>
            </w:rPr>
            <m:t>,</m:t>
          </m:r>
        </m:oMath>
      </m:oMathPara>
    </w:p>
    <w:p w14:paraId="7B39A646" w14:textId="77777777"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 xml:space="preserve">where the dissociation constant </w:t>
      </w:r>
      <m:oMath>
        <m:r>
          <w:rPr>
            <w:rFonts w:ascii="Cambria Math" w:hAnsi="Cambria Math" w:cstheme="majorBidi"/>
          </w:rPr>
          <m:t>kd</m:t>
        </m:r>
      </m:oMath>
      <w:r w:rsidRPr="00C028F0">
        <w:rPr>
          <w:rFonts w:asciiTheme="majorBidi" w:hAnsiTheme="majorBidi" w:cstheme="majorBidi"/>
        </w:rPr>
        <w:t xml:space="preserve"> is given by:</w:t>
      </w:r>
    </w:p>
    <w:p w14:paraId="6DACD2BF" w14:textId="77777777" w:rsidR="00732F7B" w:rsidRPr="00C028F0"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off</m:t>
                  </m:r>
                </m:sub>
              </m:sSub>
            </m:num>
            <m:den>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den>
          </m:f>
        </m:oMath>
      </m:oMathPara>
    </w:p>
    <w:p w14:paraId="22C63AF8" w14:textId="54659F50" w:rsidR="001C61B7" w:rsidRPr="00C028F0" w:rsidRDefault="001C61B7" w:rsidP="00D06727">
      <w:pPr>
        <w:spacing w:line="276" w:lineRule="auto"/>
        <w:jc w:val="both"/>
        <w:rPr>
          <w:rFonts w:asciiTheme="majorBidi" w:hAnsiTheme="majorBidi" w:cstheme="majorBidi"/>
        </w:rPr>
      </w:pPr>
      <w:r w:rsidRPr="00C028F0">
        <w:rPr>
          <w:rFonts w:asciiTheme="majorBidi" w:hAnsiTheme="majorBidi" w:cstheme="majorBidi"/>
        </w:rPr>
        <w:t>Hence,</w:t>
      </w:r>
    </w:p>
    <w:p w14:paraId="0CECB2B1" w14:textId="634D2A87" w:rsidR="001C61B7" w:rsidRPr="00C028F0" w:rsidRDefault="001C61B7" w:rsidP="00D06727">
      <w:pPr>
        <w:spacing w:line="276" w:lineRule="auto"/>
        <w:jc w:val="both"/>
        <w:rPr>
          <w:rFonts w:asciiTheme="majorBidi" w:hAnsiTheme="majorBidi" w:cstheme="majorBidi"/>
        </w:rPr>
      </w:pPr>
      <m:oMathPara>
        <m:oMath>
          <m:r>
            <w:rPr>
              <w:rFonts w:ascii="Cambria Math" w:hAnsi="Cambria Math" w:cstheme="majorBidi"/>
            </w:rPr>
            <m:t>θ=</m:t>
          </m:r>
          <m:f>
            <m:fPr>
              <m:ctrlPr>
                <w:rPr>
                  <w:rFonts w:ascii="Cambria Math" w:hAnsi="Cambria Math" w:cstheme="majorBidi"/>
                </w:rPr>
              </m:ctrlPr>
            </m:fPr>
            <m:num>
              <m:r>
                <w:rPr>
                  <w:rFonts w:ascii="Cambria Math" w:hAnsi="Cambria Math" w:cstheme="majorBidi"/>
                </w:rPr>
                <m:t>[</m:t>
              </m:r>
              <m:r>
                <m:rPr>
                  <m:nor/>
                </m:rPr>
                <w:rPr>
                  <w:rFonts w:asciiTheme="majorBidi" w:hAnsiTheme="majorBidi" w:cstheme="majorBidi"/>
                </w:rPr>
                <m:t>AT</m:t>
              </m:r>
              <m:sSub>
                <m:sSubPr>
                  <m:ctrlPr>
                    <w:rPr>
                      <w:rFonts w:ascii="Cambria Math" w:hAnsi="Cambria Math" w:cstheme="majorBidi"/>
                    </w:rPr>
                  </m:ctrlPr>
                </m:sSubPr>
                <m:e>
                  <m:r>
                    <w:rPr>
                      <w:rFonts w:ascii="Cambria Math" w:hAnsi="Cambria Math" w:cstheme="majorBidi"/>
                    </w:rPr>
                    <m:t>]</m:t>
                  </m:r>
                </m:e>
                <m:sub>
                  <m:r>
                    <m:rPr>
                      <m:nor/>
                    </m:rPr>
                    <w:rPr>
                      <w:rFonts w:asciiTheme="majorBidi" w:hAnsiTheme="majorBidi" w:cstheme="majorBidi"/>
                    </w:rPr>
                    <m:t>eq</m:t>
                  </m:r>
                </m:sub>
              </m:sSub>
            </m:num>
            <m:den>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den>
          </m:f>
          <m:r>
            <w:rPr>
              <w:rFonts w:ascii="Cambria Math" w:hAnsi="Cambria Math" w:cstheme="majorBidi"/>
            </w:rPr>
            <m:t xml:space="preserve">= </m:t>
          </m:r>
          <m:f>
            <m:fPr>
              <m:ctrlPr>
                <w:rPr>
                  <w:rFonts w:ascii="Cambria Math" w:hAnsi="Cambria Math" w:cstheme="majorBidi"/>
                </w:rPr>
              </m:ctrlPr>
            </m:fPr>
            <m:num>
              <m:r>
                <w:rPr>
                  <w:rFonts w:ascii="Cambria Math" w:hAnsi="Cambria Math" w:cstheme="majorBidi"/>
                </w:rPr>
                <m:t>[T]</m:t>
              </m:r>
            </m:num>
            <m:den>
              <m:sSub>
                <m:sSubPr>
                  <m:ctrlPr>
                    <w:rPr>
                      <w:rFonts w:ascii="Cambria Math" w:hAnsi="Cambria Math" w:cstheme="majorBid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+[T]</m:t>
              </m:r>
            </m:den>
          </m:f>
        </m:oMath>
      </m:oMathPara>
    </w:p>
    <w:p w14:paraId="1A1DEB64" w14:textId="6ABE54C0"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 xml:space="preserve">This expression is recognised as the classical </w:t>
      </w:r>
      <w:r w:rsidR="009440B3" w:rsidRPr="00C028F0">
        <w:rPr>
          <w:rFonts w:asciiTheme="majorBidi" w:hAnsiTheme="majorBidi" w:cstheme="majorBidi"/>
        </w:rPr>
        <w:t>Hill-</w:t>
      </w:r>
      <w:r w:rsidRPr="00C028F0">
        <w:rPr>
          <w:rFonts w:asciiTheme="majorBidi" w:hAnsiTheme="majorBidi" w:cstheme="majorBidi"/>
        </w:rPr>
        <w:t xml:space="preserve">Langmuir isotherm, which is a special case of the more general Langmuir equation. In scenarios where the binding is non-cooperative (i.e. the binding of one molecule does not influence the binding of another), the Hill coefficient </w:t>
      </w:r>
      <m:oMath>
        <m:r>
          <w:rPr>
            <w:rFonts w:ascii="Cambria Math" w:hAnsi="Cambria Math" w:cstheme="majorBidi"/>
          </w:rPr>
          <m:t>n</m:t>
        </m:r>
      </m:oMath>
      <w:r w:rsidRPr="00C028F0">
        <w:rPr>
          <w:rFonts w:asciiTheme="majorBidi" w:hAnsiTheme="majorBidi" w:cstheme="majorBidi"/>
        </w:rPr>
        <w:t xml:space="preserve"> is equal to 1, and the binding curve is hyperbolic. However, if cooperative binding is present, the Hill–Langmuir isotherm takes the form:</w:t>
      </w:r>
    </w:p>
    <w:p w14:paraId="08DC1481" w14:textId="15E733A5" w:rsidR="00732F7B" w:rsidRPr="00C028F0" w:rsidRDefault="00732F7B" w:rsidP="00D06727">
      <w:pPr>
        <w:spacing w:line="276" w:lineRule="auto"/>
        <w:jc w:val="both"/>
        <w:rPr>
          <w:rFonts w:asciiTheme="majorBidi" w:hAnsiTheme="majorBidi" w:cstheme="majorBidi"/>
        </w:rPr>
      </w:pPr>
      <m:oMathPara>
        <m:oMath>
          <m:r>
            <w:rPr>
              <w:rFonts w:ascii="Cambria Math" w:hAnsi="Cambria Math" w:cstheme="majorBidi"/>
            </w:rPr>
            <w:lastRenderedPageBreak/>
            <m:t>θ=</m:t>
          </m:r>
          <m:f>
            <m:fPr>
              <m:ctrlPr>
                <w:rPr>
                  <w:rFonts w:ascii="Cambria Math" w:hAnsi="Cambria Math" w:cstheme="majorBidi"/>
                </w:rPr>
              </m:ctrlPr>
            </m:fPr>
            <m:num>
              <m:r>
                <w:rPr>
                  <w:rFonts w:ascii="Cambria Math" w:hAnsi="Cambria Math" w:cstheme="majorBidi"/>
                </w:rPr>
                <m:t>[</m:t>
              </m:r>
              <m:r>
                <m:rPr>
                  <m:nor/>
                </m:rPr>
                <w:rPr>
                  <w:rFonts w:asciiTheme="majorBidi" w:hAnsiTheme="majorBidi" w:cstheme="majorBidi"/>
                </w:rPr>
                <m:t>AT</m:t>
              </m:r>
              <m:sSub>
                <m:sSubPr>
                  <m:ctrlPr>
                    <w:rPr>
                      <w:rFonts w:ascii="Cambria Math" w:hAnsi="Cambria Math" w:cstheme="majorBidi"/>
                    </w:rPr>
                  </m:ctrlPr>
                </m:sSubPr>
                <m:e>
                  <m:r>
                    <w:rPr>
                      <w:rFonts w:ascii="Cambria Math" w:hAnsi="Cambria Math" w:cstheme="majorBidi"/>
                    </w:rPr>
                    <m:t>]</m:t>
                  </m:r>
                </m:e>
                <m:sub>
                  <m:r>
                    <m:rPr>
                      <m:nor/>
                    </m:rPr>
                    <w:rPr>
                      <w:rFonts w:asciiTheme="majorBidi" w:hAnsiTheme="majorBidi" w:cstheme="majorBidi"/>
                    </w:rPr>
                    <m:t>eq</m:t>
                  </m:r>
                </m:sub>
              </m:sSub>
            </m:num>
            <m:den>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den>
          </m:f>
          <m:r>
            <w:rPr>
              <w:rFonts w:ascii="Cambria Math" w:hAnsi="Cambria Math" w:cstheme="majorBidi"/>
            </w:rPr>
            <m:t>=</m:t>
          </m:r>
          <m:f>
            <m:fPr>
              <m:ctrlPr>
                <w:rPr>
                  <w:rFonts w:ascii="Cambria Math" w:hAnsi="Cambria Math" w:cstheme="majorBidi"/>
                </w:rPr>
              </m:ctrlPr>
            </m:fPr>
            <m:num>
              <m:r>
                <w:rPr>
                  <w:rFonts w:ascii="Cambria Math" w:hAnsi="Cambria Math" w:cstheme="majorBidi"/>
                </w:rPr>
                <m:t>[T</m:t>
              </m:r>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n</m:t>
                  </m:r>
                </m:sup>
              </m:sSup>
            </m:num>
            <m:den>
              <m:sSubSup>
                <m:sSubSupPr>
                  <m:ctrlPr>
                    <w:rPr>
                      <w:rFonts w:ascii="Cambria Math" w:hAnsi="Cambria Math" w:cstheme="majorBidi"/>
                    </w:rPr>
                  </m:ctrlPr>
                </m:sSubSupPr>
                <m:e>
                  <m:r>
                    <w:rPr>
                      <w:rFonts w:ascii="Cambria Math" w:hAnsi="Cambria Math" w:cstheme="majorBidi"/>
                    </w:rPr>
                    <m:t>K</m:t>
                  </m:r>
                </m:e>
                <m:sub>
                  <m:r>
                    <w:rPr>
                      <w:rFonts w:ascii="Cambria Math" w:hAnsi="Cambria Math" w:cstheme="majorBidi"/>
                    </w:rPr>
                    <m:t>d</m:t>
                  </m:r>
                </m:sub>
                <m:sup>
                  <m:r>
                    <w:rPr>
                      <w:rFonts w:ascii="Cambria Math" w:hAnsi="Cambria Math" w:cstheme="majorBidi"/>
                    </w:rPr>
                    <m:t>n</m:t>
                  </m:r>
                </m:sup>
              </m:sSubSup>
              <m:r>
                <w:rPr>
                  <w:rFonts w:ascii="Cambria Math" w:hAnsi="Cambria Math" w:cstheme="majorBidi"/>
                </w:rPr>
                <m:t>+[T</m:t>
              </m:r>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n</m:t>
                  </m:r>
                </m:sup>
              </m:sSup>
            </m:den>
          </m:f>
          <m:r>
            <m:rPr>
              <m:sty m:val="p"/>
            </m:rPr>
            <w:rPr>
              <w:rFonts w:ascii="Cambria Math" w:hAnsi="Cambria Math" w:cstheme="majorBidi"/>
            </w:rPr>
            <m:t>.</m:t>
          </m:r>
        </m:oMath>
      </m:oMathPara>
    </w:p>
    <w:p w14:paraId="7E0B3CAD" w14:textId="77777777" w:rsidR="00732F7B" w:rsidRPr="00C028F0" w:rsidRDefault="00732F7B" w:rsidP="00D06727">
      <w:pPr>
        <w:spacing w:line="276" w:lineRule="auto"/>
        <w:jc w:val="both"/>
        <w:rPr>
          <w:rFonts w:asciiTheme="majorBidi" w:hAnsiTheme="majorBidi" w:cstheme="majorBidi"/>
        </w:rPr>
      </w:pPr>
      <w:r w:rsidRPr="00C028F0">
        <w:rPr>
          <w:rFonts w:asciiTheme="majorBidi" w:hAnsiTheme="majorBidi" w:cstheme="majorBidi"/>
        </w:rPr>
        <w:t xml:space="preserve">The introduction of the Hill coefficient </w:t>
      </w:r>
      <m:oMath>
        <m:r>
          <w:rPr>
            <w:rFonts w:ascii="Cambria Math" w:hAnsi="Cambria Math" w:cstheme="majorBidi"/>
          </w:rPr>
          <m:t>n</m:t>
        </m:r>
      </m:oMath>
      <w:r w:rsidRPr="00C028F0">
        <w:rPr>
          <w:rFonts w:asciiTheme="majorBidi" w:hAnsiTheme="majorBidi" w:cstheme="majorBidi"/>
        </w:rPr>
        <w:t xml:space="preserve"> allows for the modelling of sigmoidal binding curves, which are often observed when multiple binding sites or cooperative interactions are involved. This sigmoidal behaviour is a direct manifestation of the underlying cooperative mechanisms that govern the sensor’s response to varying target concentrations.</w:t>
      </w:r>
    </w:p>
    <w:p w14:paraId="6012A06E" w14:textId="77777777" w:rsidR="00807575" w:rsidRPr="00C028F0" w:rsidRDefault="00807575" w:rsidP="00D06727">
      <w:pPr>
        <w:spacing w:line="276" w:lineRule="auto"/>
        <w:jc w:val="both"/>
        <w:rPr>
          <w:rFonts w:asciiTheme="majorBidi" w:hAnsiTheme="majorBidi" w:cstheme="majorBidi"/>
        </w:rPr>
      </w:pPr>
      <w:r w:rsidRPr="00C028F0">
        <w:rPr>
          <w:rFonts w:asciiTheme="majorBidi" w:hAnsiTheme="majorBidi" w:cstheme="majorBidi"/>
        </w:rPr>
        <w:t>In simulating the behaviour of electrochemical aptamer-based (E-AB) sensors, the dynamic evolution of the aptamer–target complex is typically modelled by solving the relevant time-dependent differential equations, as previously derived. The resulting electrochemical current, corresponding to the target concentration, is commonly modelled as a function of the fraction of bound aptamers. In its simplest form, a linear dependency is assumed:</w:t>
      </w:r>
    </w:p>
    <w:p w14:paraId="432B87EE" w14:textId="442BD18B" w:rsidR="00A45525" w:rsidRPr="00C028F0" w:rsidRDefault="00A45525" w:rsidP="00D06727">
      <w:pPr>
        <w:spacing w:line="276" w:lineRule="auto"/>
        <w:jc w:val="both"/>
        <w:rPr>
          <w:rFonts w:asciiTheme="majorBidi" w:hAnsiTheme="majorBidi" w:cstheme="majorBidi"/>
        </w:rPr>
      </w:pPr>
      <m:oMathPara>
        <m:oMath>
          <m:r>
            <w:rPr>
              <w:rFonts w:ascii="Cambria Math" w:hAnsi="Cambria Math" w:cstheme="majorBidi"/>
            </w:rPr>
            <m:t>I=</m:t>
          </m:r>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r>
            <w:rPr>
              <w:rFonts w:ascii="Cambria Math" w:hAnsi="Cambria Math" w:cstheme="majorBidi"/>
            </w:rPr>
            <m:t>)⋅θ</m:t>
          </m:r>
        </m:oMath>
      </m:oMathPara>
    </w:p>
    <w:p w14:paraId="31210290" w14:textId="77777777" w:rsidR="00280BF8" w:rsidRPr="00C028F0" w:rsidRDefault="00586D99" w:rsidP="00D06727">
      <w:pPr>
        <w:spacing w:line="276" w:lineRule="auto"/>
        <w:jc w:val="both"/>
        <w:rPr>
          <w:rFonts w:asciiTheme="majorBidi" w:hAnsiTheme="majorBidi" w:cstheme="majorBidi"/>
        </w:rPr>
      </w:pPr>
      <w:r w:rsidRPr="00C028F0">
        <w:rPr>
          <w:rFonts w:asciiTheme="majorBidi" w:hAnsiTheme="majorBidi" w:cstheme="majorBidi"/>
        </w:rPr>
        <w:t xml:space="preserve">Incorporating cooperative or non-cooperative binding behaviour, </w:t>
      </w:r>
      <w:r w:rsidR="00B45F84" w:rsidRPr="00C028F0">
        <w:rPr>
          <w:rFonts w:asciiTheme="majorBidi" w:hAnsiTheme="majorBidi" w:cstheme="majorBidi"/>
        </w:rPr>
        <w:t xml:space="preserve">the </w:t>
      </w:r>
      <w:r w:rsidRPr="00C028F0">
        <w:rPr>
          <w:rFonts w:asciiTheme="majorBidi" w:hAnsiTheme="majorBidi" w:cstheme="majorBidi"/>
        </w:rPr>
        <w:t>Hill coefficient (n), refines this expression to:</w:t>
      </w:r>
    </w:p>
    <w:p w14:paraId="1ADC156E" w14:textId="3F26495D" w:rsidR="001340AA" w:rsidRPr="00C028F0" w:rsidRDefault="001340AA" w:rsidP="00D06727">
      <w:pPr>
        <w:spacing w:line="276" w:lineRule="auto"/>
        <w:jc w:val="both"/>
        <w:rPr>
          <w:rFonts w:asciiTheme="majorBidi" w:hAnsiTheme="majorBidi" w:cstheme="majorBidi"/>
        </w:rPr>
      </w:pPr>
      <m:oMathPara>
        <m:oMath>
          <m:r>
            <w:rPr>
              <w:rFonts w:ascii="Cambria Math" w:hAnsi="Cambria Math" w:cstheme="majorBidi"/>
            </w:rPr>
            <m:t>I=</m:t>
          </m:r>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r>
            <w:rPr>
              <w:rFonts w:ascii="Cambria Math" w:hAnsi="Cambria Math" w:cstheme="majorBidi"/>
            </w:rPr>
            <m:t>)⋅</m:t>
          </m:r>
          <m:f>
            <m:fPr>
              <m:ctrlPr>
                <w:rPr>
                  <w:rFonts w:ascii="Cambria Math" w:hAnsi="Cambria Math" w:cstheme="majorBidi"/>
                </w:rPr>
              </m:ctrlPr>
            </m:fPr>
            <m:num>
              <m:r>
                <w:rPr>
                  <w:rFonts w:ascii="Cambria Math" w:hAnsi="Cambria Math" w:cstheme="majorBidi"/>
                </w:rPr>
                <m:t>[T</m:t>
              </m:r>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n</m:t>
                  </m:r>
                </m:sup>
              </m:sSup>
            </m:num>
            <m:den>
              <m:sSubSup>
                <m:sSubSupPr>
                  <m:ctrlPr>
                    <w:rPr>
                      <w:rFonts w:ascii="Cambria Math" w:hAnsi="Cambria Math" w:cstheme="majorBidi"/>
                    </w:rPr>
                  </m:ctrlPr>
                </m:sSubSupPr>
                <m:e>
                  <m:r>
                    <w:rPr>
                      <w:rFonts w:ascii="Cambria Math" w:hAnsi="Cambria Math" w:cstheme="majorBidi"/>
                    </w:rPr>
                    <m:t>K</m:t>
                  </m:r>
                </m:e>
                <m:sub>
                  <m:r>
                    <w:rPr>
                      <w:rFonts w:ascii="Cambria Math" w:hAnsi="Cambria Math" w:cstheme="majorBidi"/>
                    </w:rPr>
                    <m:t>d</m:t>
                  </m:r>
                </m:sub>
                <m:sup>
                  <m:r>
                    <w:rPr>
                      <w:rFonts w:ascii="Cambria Math" w:hAnsi="Cambria Math" w:cstheme="majorBidi"/>
                    </w:rPr>
                    <m:t>n</m:t>
                  </m:r>
                </m:sup>
              </m:sSubSup>
              <m:r>
                <w:rPr>
                  <w:rFonts w:ascii="Cambria Math" w:hAnsi="Cambria Math" w:cstheme="majorBidi"/>
                </w:rPr>
                <m:t>+[T</m:t>
              </m:r>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n</m:t>
                  </m:r>
                </m:sup>
              </m:sSup>
            </m:den>
          </m:f>
        </m:oMath>
      </m:oMathPara>
    </w:p>
    <w:p w14:paraId="20D31E90" w14:textId="117852AE" w:rsidR="008553D1" w:rsidRPr="00C028F0" w:rsidRDefault="008553D1" w:rsidP="00D06727">
      <w:pPr>
        <w:spacing w:line="276" w:lineRule="auto"/>
        <w:jc w:val="both"/>
        <w:rPr>
          <w:rFonts w:asciiTheme="majorBidi" w:hAnsiTheme="majorBidi" w:cstheme="majorBidi"/>
        </w:rPr>
      </w:pPr>
      <w:r w:rsidRPr="00C028F0">
        <w:rPr>
          <w:rFonts w:asciiTheme="majorBidi" w:hAnsiTheme="majorBidi" w:cstheme="majorBidi"/>
        </w:rPr>
        <w:t xml:space="preserve">In this expression,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oMath>
      <w:r w:rsidRPr="00C028F0">
        <w:rPr>
          <w:rFonts w:asciiTheme="majorBidi" w:hAnsiTheme="majorBidi" w:cstheme="majorBidi"/>
        </w:rPr>
        <w:t xml:space="preserve">and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oMath>
      <w:r w:rsidRPr="00C028F0">
        <w:rPr>
          <w:rFonts w:asciiTheme="majorBidi" w:hAnsiTheme="majorBidi" w:cstheme="majorBidi"/>
        </w:rPr>
        <w:t>correspond to the baseline and saturated current responses, respectively, while [T</w:t>
      </w:r>
      <w:r w:rsidR="007304D4" w:rsidRPr="00C028F0">
        <w:rPr>
          <w:rFonts w:asciiTheme="majorBidi" w:hAnsiTheme="majorBidi" w:cstheme="majorBidi"/>
        </w:rPr>
        <w:t>]</w:t>
      </w:r>
      <w:r w:rsidRPr="00C028F0">
        <w:rPr>
          <w:rFonts w:asciiTheme="majorBidi" w:hAnsiTheme="majorBidi" w:cstheme="majorBidi"/>
        </w:rPr>
        <w:t xml:space="preserve"> denotes the target concentration and </w:t>
      </w:r>
      <m:oMath>
        <m:sSub>
          <m:sSubPr>
            <m:ctrlPr>
              <w:rPr>
                <w:rFonts w:ascii="Cambria Math" w:hAnsi="Cambria Math" w:cstheme="majorBidi"/>
              </w:rPr>
            </m:ctrlPr>
          </m:sSubPr>
          <m:e>
            <m:r>
              <w:rPr>
                <w:rFonts w:ascii="Cambria Math" w:hAnsi="Cambria Math" w:cstheme="majorBidi"/>
              </w:rPr>
              <m:t>K</m:t>
            </m:r>
          </m:e>
          <m:sub>
            <m:r>
              <w:rPr>
                <w:rFonts w:ascii="Cambria Math" w:hAnsi="Cambria Math" w:cstheme="majorBidi"/>
              </w:rPr>
              <m:t>d</m:t>
            </m:r>
          </m:sub>
        </m:sSub>
      </m:oMath>
      <w:r w:rsidRPr="00C028F0">
        <w:rPr>
          <w:rFonts w:asciiTheme="majorBidi" w:hAnsiTheme="majorBidi" w:cstheme="majorBidi"/>
        </w:rPr>
        <w:t xml:space="preserve"> is the apparent dissociation constant. As θ→1, the current asymptotically approaches</w:t>
      </w:r>
      <w:r w:rsidR="00A309DB" w:rsidRPr="00C028F0">
        <w:rPr>
          <w:rFonts w:ascii="Cambria Math" w:hAnsi="Cambria Math"/>
        </w:rPr>
        <w:t xml:space="preserve">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oMath>
      <w:r w:rsidRPr="00C028F0">
        <w:rPr>
          <w:rFonts w:asciiTheme="majorBidi" w:hAnsiTheme="majorBidi" w:cstheme="majorBidi"/>
        </w:rPr>
        <w:t xml:space="preserve"> ​, whereas in the limit θ→0, the current converges to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oMath>
      <w:r w:rsidR="00936DB3" w:rsidRPr="00C028F0">
        <w:rPr>
          <w:rFonts w:asciiTheme="majorBidi" w:hAnsiTheme="majorBidi" w:cstheme="majorBidi"/>
        </w:rPr>
        <w:t xml:space="preserve">. </w:t>
      </w:r>
      <w:r w:rsidRPr="00C028F0">
        <w:rPr>
          <w:rFonts w:asciiTheme="majorBidi" w:hAnsiTheme="majorBidi" w:cstheme="majorBidi"/>
        </w:rPr>
        <w:t>The overall current response versus target concentration retains a sigmoidal profile, shaped by the degree of cooperativity.</w:t>
      </w:r>
    </w:p>
    <w:p w14:paraId="7A32F814" w14:textId="5EE680DA" w:rsidR="0029120D" w:rsidRPr="00C028F0" w:rsidRDefault="0029120D" w:rsidP="00D06727">
      <w:pPr>
        <w:spacing w:line="276" w:lineRule="auto"/>
        <w:jc w:val="both"/>
        <w:rPr>
          <w:rFonts w:asciiTheme="majorBidi" w:hAnsiTheme="majorBidi" w:cstheme="majorBidi"/>
        </w:rPr>
      </w:pPr>
      <w:r w:rsidRPr="00C028F0">
        <w:rPr>
          <w:rFonts w:asciiTheme="majorBidi" w:hAnsiTheme="majorBidi" w:cstheme="majorBidi"/>
        </w:rPr>
        <w:t xml:space="preserve">It is noteworthy that even in the absence of cooperative binding (i.e., </w:t>
      </w:r>
      <m:oMath>
        <m:r>
          <w:rPr>
            <w:rFonts w:ascii="Cambria Math" w:hAnsi="Cambria Math" w:cstheme="majorBidi"/>
          </w:rPr>
          <m:t>n=1</m:t>
        </m:r>
      </m:oMath>
      <w:r w:rsidRPr="00C028F0">
        <w:rPr>
          <w:rFonts w:asciiTheme="majorBidi" w:hAnsiTheme="majorBidi" w:cstheme="majorBidi"/>
        </w:rPr>
        <w:t>), plotting the current response against the logarithm of the target concentration produces an apparent sigmoidal trend. This phenomenon arises from the logarithmic transformation, which compresses low-concentration data and amplifies mid-range transitions, thereby enhancing the visual transition between unbound and bound states. This effect must be carefully considered when interpreting simulated data or fitting experimental results to the Hill–Langmuir model.</w:t>
      </w:r>
    </w:p>
    <w:p w14:paraId="2E86CC85" w14:textId="460FD499" w:rsidR="00497E67" w:rsidRPr="00C028F0" w:rsidRDefault="00A672F6" w:rsidP="00D06727">
      <w:pPr>
        <w:spacing w:line="276" w:lineRule="auto"/>
        <w:jc w:val="both"/>
        <w:rPr>
          <w:rFonts w:asciiTheme="majorBidi" w:hAnsiTheme="majorBidi" w:cstheme="majorBidi"/>
        </w:rPr>
      </w:pPr>
      <w:r w:rsidRPr="00C028F0">
        <w:rPr>
          <w:rFonts w:asciiTheme="majorBidi" w:hAnsiTheme="majorBidi" w:cstheme="majorBidi"/>
        </w:rPr>
        <w:t>While the model described above provides a convenient and conceptually elegant method to relate the electrochemical current to the binding fraction, it inevitably overlooks a range of physical and electrochemical subtleties. It is, in essence, an idealisation—a static snapshot attempting to describe a dynamic electrochemical process. In practice, electron transfer kinetics, molecular motion, and interfacial phenomena all contribute to the observed signal, and their neglect may result in oversimplified or inaccurate parameter estimations. Several key phenomena merit particular attention when simulating or interpreting current responses in “signal-on” E-AB sensors, wherein the aptamer folds upon target recognition, bringing the redox reporter (e.g., methylene blue) into closer proximity with the electrode surface</w:t>
      </w:r>
      <w:r w:rsidR="00497E67" w:rsidRPr="00C028F0">
        <w:rPr>
          <w:rFonts w:asciiTheme="majorBidi" w:hAnsiTheme="majorBidi" w:cstheme="majorBidi"/>
        </w:rPr>
        <w:t>:</w:t>
      </w:r>
    </w:p>
    <w:p w14:paraId="1EFD0865" w14:textId="77777777" w:rsidR="006F6EE5" w:rsidRPr="00C028F0" w:rsidRDefault="00497E67" w:rsidP="00D06727">
      <w:pPr>
        <w:pStyle w:val="ListParagraph"/>
        <w:numPr>
          <w:ilvl w:val="0"/>
          <w:numId w:val="1"/>
        </w:numPr>
        <w:spacing w:line="276" w:lineRule="auto"/>
        <w:jc w:val="both"/>
        <w:rPr>
          <w:rFonts w:asciiTheme="majorBidi" w:hAnsiTheme="majorBidi" w:cstheme="majorBidi"/>
        </w:rPr>
      </w:pPr>
      <w:r w:rsidRPr="00C028F0">
        <w:rPr>
          <w:rFonts w:asciiTheme="majorBidi" w:hAnsiTheme="majorBidi" w:cstheme="majorBidi"/>
        </w:rPr>
        <w:t xml:space="preserve">Aptamer Conformational </w:t>
      </w:r>
      <w:r w:rsidR="009F3BD7" w:rsidRPr="00C028F0">
        <w:rPr>
          <w:rFonts w:asciiTheme="majorBidi" w:hAnsiTheme="majorBidi" w:cstheme="majorBidi"/>
        </w:rPr>
        <w:t>change:</w:t>
      </w:r>
      <w:r w:rsidR="007E2A68" w:rsidRPr="00C028F0">
        <w:rPr>
          <w:rFonts w:asciiTheme="majorBidi" w:hAnsiTheme="majorBidi" w:cstheme="majorBidi"/>
          <w:color w:val="00B0F0"/>
        </w:rPr>
        <w:t xml:space="preserve"> </w:t>
      </w:r>
      <w:r w:rsidR="007E2A68" w:rsidRPr="00C028F0">
        <w:rPr>
          <w:rFonts w:asciiTheme="majorBidi" w:hAnsiTheme="majorBidi" w:cstheme="majorBidi"/>
        </w:rPr>
        <w:t>Upon target binding, aptamers undergo a conformational change that repositions the redox reporter, typically from a distal to a proximal state</w:t>
      </w:r>
      <w:r w:rsidR="00086A8E" w:rsidRPr="00C028F0">
        <w:rPr>
          <w:rFonts w:asciiTheme="majorBidi" w:hAnsiTheme="majorBidi" w:cstheme="majorBidi"/>
        </w:rPr>
        <w:t xml:space="preserve">, </w:t>
      </w:r>
      <w:r w:rsidR="00F8532B" w:rsidRPr="00C028F0">
        <w:rPr>
          <w:rFonts w:asciiTheme="majorBidi" w:hAnsiTheme="majorBidi" w:cstheme="majorBidi"/>
        </w:rPr>
        <w:t>in a signal-on mechanism</w:t>
      </w:r>
      <w:r w:rsidR="00086A8E" w:rsidRPr="00C028F0">
        <w:rPr>
          <w:rFonts w:asciiTheme="majorBidi" w:hAnsiTheme="majorBidi" w:cstheme="majorBidi"/>
        </w:rPr>
        <w:t>,</w:t>
      </w:r>
      <w:r w:rsidR="00F8532B" w:rsidRPr="00C028F0">
        <w:rPr>
          <w:rFonts w:asciiTheme="majorBidi" w:hAnsiTheme="majorBidi" w:cstheme="majorBidi"/>
        </w:rPr>
        <w:t xml:space="preserve"> </w:t>
      </w:r>
      <w:r w:rsidR="007E2A68" w:rsidRPr="00C028F0">
        <w:rPr>
          <w:rFonts w:asciiTheme="majorBidi" w:hAnsiTheme="majorBidi" w:cstheme="majorBidi"/>
        </w:rPr>
        <w:t>relative to the electrode</w:t>
      </w:r>
      <w:r w:rsidR="00086A8E" w:rsidRPr="00C028F0">
        <w:rPr>
          <w:rFonts w:asciiTheme="majorBidi" w:hAnsiTheme="majorBidi" w:cstheme="majorBidi"/>
        </w:rPr>
        <w:t xml:space="preserve"> and vice versa in a signal-off mechanism</w:t>
      </w:r>
      <w:r w:rsidR="007E2A68" w:rsidRPr="00C028F0">
        <w:rPr>
          <w:rFonts w:asciiTheme="majorBidi" w:hAnsiTheme="majorBidi" w:cstheme="majorBidi"/>
        </w:rPr>
        <w:t xml:space="preserve">. This molecular bending modulates the distance-dependent electron tunnelling rate between the redox label and the electrode. Given the exponential dependence of electron transfer rate on distance (as per </w:t>
      </w:r>
      <w:proofErr w:type="gramStart"/>
      <w:r w:rsidR="007E2A68" w:rsidRPr="00C028F0">
        <w:rPr>
          <w:rFonts w:asciiTheme="majorBidi" w:hAnsiTheme="majorBidi" w:cstheme="majorBidi"/>
        </w:rPr>
        <w:t>Marcus</w:t>
      </w:r>
      <w:proofErr w:type="gramEnd"/>
      <w:r w:rsidR="007E2A68" w:rsidRPr="00C028F0">
        <w:rPr>
          <w:rFonts w:asciiTheme="majorBidi" w:hAnsiTheme="majorBidi" w:cstheme="majorBidi"/>
        </w:rPr>
        <w:t xml:space="preserve"> theory), even modest </w:t>
      </w:r>
      <w:r w:rsidR="007E2A68" w:rsidRPr="00C028F0">
        <w:rPr>
          <w:rFonts w:asciiTheme="majorBidi" w:hAnsiTheme="majorBidi" w:cstheme="majorBidi"/>
        </w:rPr>
        <w:lastRenderedPageBreak/>
        <w:t>changes in spatial separation can lead to orders-of-magnitude variation in the observed current.</w:t>
      </w:r>
    </w:p>
    <w:p w14:paraId="453AEE14" w14:textId="788B9C6D" w:rsidR="00C75B83" w:rsidRPr="00C028F0" w:rsidRDefault="0038301B" w:rsidP="00D06727">
      <w:pPr>
        <w:pStyle w:val="ListParagraph"/>
        <w:numPr>
          <w:ilvl w:val="0"/>
          <w:numId w:val="1"/>
        </w:numPr>
        <w:spacing w:line="276" w:lineRule="auto"/>
        <w:jc w:val="both"/>
        <w:rPr>
          <w:rFonts w:asciiTheme="majorBidi" w:hAnsiTheme="majorBidi" w:cstheme="majorBidi"/>
        </w:rPr>
      </w:pPr>
      <w:r w:rsidRPr="00C028F0">
        <w:rPr>
          <w:rFonts w:asciiTheme="majorBidi" w:hAnsiTheme="majorBidi" w:cstheme="majorBidi"/>
        </w:rPr>
        <w:t xml:space="preserve">Electron-Transfer Kinetics (Redox Reaction at the Electrode): </w:t>
      </w:r>
      <w:r w:rsidR="00D65511" w:rsidRPr="00C028F0">
        <w:rPr>
          <w:rFonts w:asciiTheme="majorBidi" w:hAnsiTheme="majorBidi" w:cstheme="majorBidi"/>
        </w:rPr>
        <w:t>Electron transfer at the electrode–redox label interface underpins the faradaic signal in E-AB sensors. In the bound state, the redox moiety (e.g., methylene blue) is oriented closer to the gold electrode, facilitating faster electron exchange. Conversely, in the unbound conformation, the increased distance and unfavourable orientation slow the electron transfer process. These kinetics are typically modelled using either the Butler–Volmer formalism or, for more accurate distance-dependence, the Marcus–Hush–Chidsey approach. The electron transfer event occurs on a timescale of microseconds to milliseconds and is sensitive to both aptamer orientation and surface density.</w:t>
      </w:r>
    </w:p>
    <w:p w14:paraId="270A444B" w14:textId="77777777" w:rsidR="006F6EE5" w:rsidRPr="00C028F0" w:rsidRDefault="006F6EE5" w:rsidP="00D06727">
      <w:pPr>
        <w:pStyle w:val="ListParagraph"/>
        <w:spacing w:line="276" w:lineRule="auto"/>
        <w:jc w:val="both"/>
        <w:rPr>
          <w:rFonts w:asciiTheme="majorBidi" w:hAnsiTheme="majorBidi" w:cstheme="majorBidi"/>
        </w:rPr>
      </w:pPr>
    </w:p>
    <w:p w14:paraId="07D1BB97" w14:textId="77777777" w:rsidR="00953317" w:rsidRPr="00C028F0" w:rsidRDefault="00C75B83" w:rsidP="00D06727">
      <w:pPr>
        <w:pStyle w:val="ListParagraph"/>
        <w:numPr>
          <w:ilvl w:val="0"/>
          <w:numId w:val="1"/>
        </w:numPr>
        <w:spacing w:before="240" w:line="276" w:lineRule="auto"/>
        <w:jc w:val="both"/>
        <w:rPr>
          <w:rFonts w:asciiTheme="majorBidi" w:hAnsiTheme="majorBidi" w:cstheme="majorBidi"/>
        </w:rPr>
      </w:pPr>
      <w:r w:rsidRPr="00C028F0">
        <w:rPr>
          <w:rFonts w:asciiTheme="majorBidi" w:hAnsiTheme="majorBidi" w:cstheme="majorBidi"/>
        </w:rPr>
        <w:t xml:space="preserve">Double-Layer Charging or Interfacial Capacitance: </w:t>
      </w:r>
      <w:r w:rsidR="00D33173" w:rsidRPr="00C028F0">
        <w:rPr>
          <w:rFonts w:asciiTheme="majorBidi" w:hAnsiTheme="majorBidi" w:cstheme="majorBidi"/>
        </w:rPr>
        <w:t>All electrochemical measurements at polarised interfaces are influenced by the formation of an electrical double layer. Upon application of a potential, a non-faradaic charging current arises due to the rearrangement of ions in the vicinity of the electrode surface. This double layer behaves as a capacitor, and its charging or discharging competes with the faradaic current. The influence of this phenomenon is particularly pronounced when using Square Wave Voltammetry (SWV), where high-frequency perturbations can result in significant capacitive currents. These capacitive contributions may obscure or distort the true faradaic signal, especially when surface coverage of aptamers varies or when measurements are conducted at different ionic strengths. The decay of the capacitive current is often incorporated into simulation models via frequency-dependent components or baseline correction terms.</w:t>
      </w:r>
    </w:p>
    <w:p w14:paraId="1416388B" w14:textId="77777777" w:rsidR="00953317" w:rsidRPr="00C028F0" w:rsidRDefault="00953317" w:rsidP="00D06727">
      <w:pPr>
        <w:pStyle w:val="ListParagraph"/>
        <w:spacing w:line="276" w:lineRule="auto"/>
        <w:rPr>
          <w:rFonts w:asciiTheme="majorBidi" w:hAnsiTheme="majorBidi" w:cstheme="majorBidi"/>
        </w:rPr>
      </w:pPr>
    </w:p>
    <w:p w14:paraId="094940BA" w14:textId="77777777" w:rsidR="00257F7E" w:rsidRPr="00C028F0" w:rsidRDefault="007F2C8C" w:rsidP="00D06727">
      <w:pPr>
        <w:pStyle w:val="ListParagraph"/>
        <w:numPr>
          <w:ilvl w:val="0"/>
          <w:numId w:val="1"/>
        </w:numPr>
        <w:spacing w:before="240" w:line="276" w:lineRule="auto"/>
        <w:jc w:val="both"/>
        <w:rPr>
          <w:rFonts w:asciiTheme="majorBidi" w:hAnsiTheme="majorBidi" w:cstheme="majorBidi"/>
        </w:rPr>
      </w:pPr>
      <w:r w:rsidRPr="00C028F0">
        <w:rPr>
          <w:rFonts w:asciiTheme="majorBidi" w:hAnsiTheme="majorBidi" w:cstheme="majorBidi"/>
        </w:rPr>
        <w:t>Mass Transport (Diffusion, Convection):</w:t>
      </w:r>
      <w:r w:rsidR="00973DE6" w:rsidRPr="00C028F0">
        <w:rPr>
          <w:rFonts w:asciiTheme="majorBidi" w:hAnsiTheme="majorBidi" w:cstheme="majorBidi"/>
        </w:rPr>
        <w:t xml:space="preserve"> </w:t>
      </w:r>
      <w:r w:rsidR="00B642CA" w:rsidRPr="00C028F0">
        <w:rPr>
          <w:rFonts w:asciiTheme="majorBidi" w:hAnsiTheme="majorBidi" w:cstheme="majorBidi"/>
        </w:rPr>
        <w:t>Although E-AB sensors often immobilise the aptamer and covalently tether the redox label, mass transport remains relevant, particularly for the target analyte. In stagnant conditions, the diffusion of target molecules toward the electrode may become rate-limiting, especially at low concentrations or in low-conductivity media. Moreover, repetitive scanning or prolonged exposure may induce local depletion zones or concentration gradients. These effects may be exacerbated under high-frequency interrogation regimes, introducing deviations from idealised binding kinetics.</w:t>
      </w:r>
    </w:p>
    <w:p w14:paraId="5A44C555" w14:textId="77777777" w:rsidR="00257F7E" w:rsidRPr="00C028F0" w:rsidRDefault="00257F7E" w:rsidP="00D06727">
      <w:pPr>
        <w:pStyle w:val="ListParagraph"/>
        <w:spacing w:line="276" w:lineRule="auto"/>
        <w:rPr>
          <w:rFonts w:asciiTheme="majorBidi" w:hAnsiTheme="majorBidi" w:cstheme="majorBidi"/>
        </w:rPr>
      </w:pPr>
    </w:p>
    <w:p w14:paraId="3D8BBF66" w14:textId="4325BFA2" w:rsidR="004D4B09" w:rsidRPr="00C028F0" w:rsidRDefault="004D4B09" w:rsidP="00D06727">
      <w:pPr>
        <w:pStyle w:val="ListParagraph"/>
        <w:numPr>
          <w:ilvl w:val="0"/>
          <w:numId w:val="1"/>
        </w:numPr>
        <w:spacing w:before="240" w:line="276" w:lineRule="auto"/>
        <w:jc w:val="both"/>
        <w:rPr>
          <w:rFonts w:asciiTheme="majorBidi" w:hAnsiTheme="majorBidi" w:cstheme="majorBidi"/>
        </w:rPr>
      </w:pPr>
      <w:r w:rsidRPr="00C028F0">
        <w:rPr>
          <w:rFonts w:asciiTheme="majorBidi" w:hAnsiTheme="majorBidi" w:cstheme="majorBidi"/>
        </w:rPr>
        <w:t xml:space="preserve">Non-Specific Adsorption or Partial Blocking: </w:t>
      </w:r>
      <w:r w:rsidR="00AC13BB" w:rsidRPr="00C028F0">
        <w:rPr>
          <w:rFonts w:asciiTheme="majorBidi" w:hAnsiTheme="majorBidi" w:cstheme="majorBidi"/>
        </w:rPr>
        <w:t>The electrochemical interface is susceptible to contamination and adsorption of extraneous species, which may competitively inhibit aptamer function or alter the effective electroactive surface area. Adsorption of non-specific proteins, ions, or degradation products may partially block electron transfer pathways, while conformational rearrangements or packing effects of aptamers over time can further complicate signal interpretation. These phenomena often manifest as a slow temporal drift or reduced sensitivity, necessitating rigorous control experiments and surface regeneration protocols.</w:t>
      </w:r>
    </w:p>
    <w:p w14:paraId="474B021D" w14:textId="77777777" w:rsidR="00910BC8" w:rsidRPr="00C028F0" w:rsidRDefault="00910BC8" w:rsidP="00D06727">
      <w:pPr>
        <w:spacing w:before="100" w:beforeAutospacing="1" w:after="100" w:afterAutospacing="1" w:line="276" w:lineRule="auto"/>
        <w:ind w:left="360"/>
        <w:jc w:val="both"/>
        <w:rPr>
          <w:rFonts w:ascii="Times New Roman" w:eastAsia="Times New Roman" w:hAnsi="Times New Roman" w:cs="Times New Roman"/>
          <w:kern w:val="0"/>
          <w14:ligatures w14:val="none"/>
        </w:rPr>
      </w:pPr>
      <w:r w:rsidRPr="00C028F0">
        <w:rPr>
          <w:rFonts w:ascii="Times New Roman" w:eastAsia="Times New Roman" w:hAnsi="Times New Roman" w:cs="Times New Roman"/>
          <w:kern w:val="0"/>
          <w14:ligatures w14:val="none"/>
        </w:rPr>
        <w:t xml:space="preserve">Whilst the </w:t>
      </w:r>
      <w:proofErr w:type="gramStart"/>
      <w:r w:rsidRPr="00C028F0">
        <w:rPr>
          <w:rFonts w:ascii="Times New Roman" w:eastAsia="Times New Roman" w:hAnsi="Times New Roman" w:cs="Times New Roman"/>
          <w:kern w:val="0"/>
          <w14:ligatures w14:val="none"/>
        </w:rPr>
        <w:t>aforementioned processes</w:t>
      </w:r>
      <w:proofErr w:type="gramEnd"/>
      <w:r w:rsidRPr="00C028F0">
        <w:rPr>
          <w:rFonts w:ascii="Times New Roman" w:eastAsia="Times New Roman" w:hAnsi="Times New Roman" w:cs="Times New Roman"/>
          <w:kern w:val="0"/>
          <w14:ligatures w14:val="none"/>
        </w:rPr>
        <w:t xml:space="preserve"> contribute to the overall electrochemical signal, the relative significance of each in practice can vary considerably. Consequently, when constructing a simulation framework, it is both reasonable and often necessary to omit those phenomena whose contributions are minimal or experimentally indistinguishable from </w:t>
      </w:r>
      <w:r w:rsidRPr="00C028F0">
        <w:rPr>
          <w:rFonts w:ascii="Times New Roman" w:eastAsia="Times New Roman" w:hAnsi="Times New Roman" w:cs="Times New Roman"/>
          <w:kern w:val="0"/>
          <w14:ligatures w14:val="none"/>
        </w:rPr>
        <w:lastRenderedPageBreak/>
        <w:t>baseline variation. For instance, in systems where double-layer capacitance is well characterised and stable, or where non-specific adsorption is minimised through rigorous surface preparation, these contributions may be treated as negligible.</w:t>
      </w:r>
    </w:p>
    <w:p w14:paraId="239CEC60" w14:textId="77777777" w:rsidR="00910BC8" w:rsidRPr="00C028F0" w:rsidRDefault="00910BC8" w:rsidP="00D06727">
      <w:pPr>
        <w:spacing w:before="100" w:beforeAutospacing="1" w:after="100" w:afterAutospacing="1" w:line="276" w:lineRule="auto"/>
        <w:ind w:left="360"/>
        <w:jc w:val="both"/>
        <w:rPr>
          <w:rFonts w:ascii="Times New Roman" w:eastAsia="Times New Roman" w:hAnsi="Times New Roman" w:cs="Times New Roman"/>
          <w:kern w:val="0"/>
          <w14:ligatures w14:val="none"/>
        </w:rPr>
      </w:pPr>
      <w:r w:rsidRPr="00C028F0">
        <w:rPr>
          <w:rFonts w:ascii="Times New Roman" w:eastAsia="Times New Roman" w:hAnsi="Times New Roman" w:cs="Times New Roman"/>
          <w:kern w:val="0"/>
          <w14:ligatures w14:val="none"/>
        </w:rPr>
        <w:t>Nevertheless, it must be acknowledged that not all aptamer–target interactions adhere to a simple two-state model. In certain cases, aptamers undergo multi-step conformational transitions, progressing through intermediate folding states before achieving the final, target-bound conformation. These structural intermediates can give rise to complex kinetic behaviour, with distinct time constants characterising each conformational transition. In frequency-sweep electrochemical experiments, such as SWV conducted across a range of frequencies, these events may manifest as multiple exponential decay components in the current response—each corresponding to a discrete dynamic process, such as an initial partial fold followed by final anchoring to the electrode surface.</w:t>
      </w:r>
    </w:p>
    <w:p w14:paraId="26B1BFBE" w14:textId="0E4D4707" w:rsidR="00194017" w:rsidRPr="00C028F0" w:rsidRDefault="00910BC8" w:rsidP="00D06727">
      <w:pPr>
        <w:spacing w:before="100" w:beforeAutospacing="1" w:after="100" w:afterAutospacing="1" w:line="276" w:lineRule="auto"/>
        <w:ind w:left="360"/>
        <w:jc w:val="both"/>
        <w:rPr>
          <w:rFonts w:ascii="Times New Roman" w:eastAsia="Times New Roman" w:hAnsi="Times New Roman" w:cs="Times New Roman"/>
          <w:kern w:val="0"/>
          <w14:ligatures w14:val="none"/>
        </w:rPr>
      </w:pPr>
      <w:r w:rsidRPr="00C028F0">
        <w:rPr>
          <w:rFonts w:ascii="Times New Roman" w:eastAsia="Times New Roman" w:hAnsi="Times New Roman" w:cs="Times New Roman"/>
          <w:kern w:val="0"/>
          <w14:ligatures w14:val="none"/>
        </w:rPr>
        <w:t>Although such mechanisms are biologically and chemically plausible, incorporating them into a generalised simulation framework substantially increases model complexity, requiring additional parameters that may not be easily constrained experimentally. For the purposes of this discussion, and in line with conventional modelling approaches, such intermediate states are excluded. Their rigorous treatment is best reserved for detailed kinetic investigations beyond the scope of the present model.</w:t>
      </w:r>
    </w:p>
    <w:p w14:paraId="7D334678" w14:textId="77777777" w:rsidR="0034483C" w:rsidRPr="00C028F0" w:rsidRDefault="0034483C" w:rsidP="00D06727">
      <w:pPr>
        <w:spacing w:line="276" w:lineRule="auto"/>
        <w:ind w:left="360"/>
        <w:jc w:val="both"/>
        <w:rPr>
          <w:rFonts w:asciiTheme="majorBidi" w:hAnsiTheme="majorBidi" w:cstheme="majorBidi"/>
        </w:rPr>
      </w:pPr>
      <w:r w:rsidRPr="00C028F0">
        <w:rPr>
          <w:rFonts w:asciiTheme="majorBidi" w:hAnsiTheme="majorBidi" w:cstheme="majorBidi"/>
        </w:rPr>
        <w:t>In the canonical representation of E-AB sensor response—typically applied under equilibrium conditions or at a fixed interrogation frequency—the relationship between current and target concentration is captured by:</w:t>
      </w:r>
    </w:p>
    <w:p w14:paraId="319807D7" w14:textId="3323721D" w:rsidR="000F050E" w:rsidRPr="00C028F0" w:rsidRDefault="00AD2EE7" w:rsidP="00D06727">
      <w:pPr>
        <w:spacing w:line="276" w:lineRule="auto"/>
        <w:ind w:left="360"/>
        <w:jc w:val="center"/>
        <w:rPr>
          <w:rFonts w:asciiTheme="majorBidi" w:hAnsiTheme="majorBidi" w:cstheme="majorBidi"/>
        </w:rPr>
      </w:pPr>
      <m:oMathPara>
        <m:oMath>
          <m:r>
            <w:rPr>
              <w:rFonts w:ascii="Cambria Math" w:hAnsi="Cambria Math" w:cstheme="majorBidi"/>
            </w:rPr>
            <m:t>I</m:t>
          </m:r>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I</m:t>
              </m:r>
            </m:e>
            <m:sub>
              <m:r>
                <m:rPr>
                  <m:sty m:val="p"/>
                </m:rPr>
                <w:rPr>
                  <w:rFonts w:ascii="Cambria Math" w:hAnsi="Cambria Math" w:cstheme="majorBidi"/>
                </w:rPr>
                <m:t>min</m:t>
              </m:r>
            </m:sub>
          </m:sSub>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d>
            <m:dPr>
              <m:ctrlPr>
                <w:rPr>
                  <w:rFonts w:ascii="Cambria Math" w:hAnsi="Cambria Math" w:cstheme="majorBidi"/>
                  <w:i/>
                </w:rPr>
              </m:ctrlPr>
            </m:dPr>
            <m:e>
              <m:sSub>
                <m:sSubPr>
                  <m:ctrlPr>
                    <w:rPr>
                      <w:rFonts w:ascii="Cambria Math" w:hAnsi="Cambria Math" w:cstheme="majorBidi"/>
                    </w:rPr>
                  </m:ctrlPr>
                </m:sSubPr>
                <m:e>
                  <m:r>
                    <w:rPr>
                      <w:rFonts w:ascii="Cambria Math" w:hAnsi="Cambria Math" w:cstheme="majorBidi"/>
                    </w:rPr>
                    <m:t>I</m:t>
                  </m:r>
                </m:e>
                <m:sub>
                  <m:r>
                    <m:rPr>
                      <m:sty m:val="p"/>
                    </m:rPr>
                    <w:rPr>
                      <w:rFonts w:ascii="Cambria Math" w:hAnsi="Cambria Math" w:cstheme="majorBidi"/>
                    </w:rPr>
                    <m:t>max</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sty m:val="p"/>
                    </m:rPr>
                    <w:rPr>
                      <w:rFonts w:ascii="Cambria Math" w:hAnsi="Cambria Math" w:cstheme="majorBidi"/>
                    </w:rPr>
                    <m:t>min</m:t>
                  </m:r>
                </m:sub>
              </m:sSub>
            </m:e>
          </m:d>
          <m:r>
            <m:rPr>
              <m:nor/>
            </m:rPr>
            <w:rPr>
              <w:rFonts w:asciiTheme="majorBidi" w:hAnsiTheme="majorBidi" w:cstheme="majorBidi"/>
            </w:rPr>
            <m:t> </m:t>
          </m:r>
          <m:r>
            <w:rPr>
              <w:rFonts w:ascii="Cambria Math" w:hAnsi="Cambria Math" w:cstheme="majorBidi"/>
            </w:rPr>
            <m:t>θ  ,  θ</m:t>
          </m:r>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f>
            <m:fPr>
              <m:ctrlPr>
                <w:rPr>
                  <w:rFonts w:ascii="Cambria Math" w:hAnsi="Cambria Math" w:cstheme="majorBidi"/>
                </w:rPr>
              </m:ctrlPr>
            </m:fPr>
            <m:num>
              <m:r>
                <w:rPr>
                  <w:rFonts w:ascii="Cambria Math" w:hAnsi="Cambria Math" w:cstheme="majorBidi"/>
                </w:rPr>
                <m:t>[T]</m:t>
              </m:r>
            </m:num>
            <m:den>
              <m:sSub>
                <m:sSubPr>
                  <m:ctrlPr>
                    <w:rPr>
                      <w:rFonts w:ascii="Cambria Math" w:hAnsi="Cambria Math" w:cstheme="majorBid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+[T]</m:t>
              </m:r>
            </m:den>
          </m:f>
        </m:oMath>
      </m:oMathPara>
    </w:p>
    <w:p w14:paraId="2E439CA7" w14:textId="1BCF0A22" w:rsidR="008A661B" w:rsidRPr="008A661B" w:rsidRDefault="008A661B" w:rsidP="00D06727">
      <w:pPr>
        <w:spacing w:line="276" w:lineRule="auto"/>
        <w:ind w:left="360"/>
        <w:jc w:val="both"/>
        <w:rPr>
          <w:rFonts w:asciiTheme="majorBidi" w:hAnsiTheme="majorBidi" w:cstheme="majorBidi"/>
        </w:rPr>
      </w:pPr>
      <w:r w:rsidRPr="008A661B">
        <w:rPr>
          <w:rFonts w:asciiTheme="majorBidi" w:hAnsiTheme="majorBidi" w:cstheme="majorBidi"/>
        </w:rPr>
        <w:t xml:space="preserve">This model succinctly describes the transition in the measured current from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oMath>
      <w:r w:rsidR="00CD4E4C" w:rsidRPr="00C028F0">
        <w:rPr>
          <w:rFonts w:asciiTheme="majorBidi" w:hAnsiTheme="majorBidi" w:cstheme="majorBidi"/>
        </w:rPr>
        <w:t>,</w:t>
      </w:r>
      <w:r w:rsidR="0033693F" w:rsidRPr="00C028F0">
        <w:rPr>
          <w:rFonts w:asciiTheme="majorBidi" w:hAnsiTheme="majorBidi" w:cstheme="majorBidi"/>
        </w:rPr>
        <w:t xml:space="preserve">   </w:t>
      </w:r>
      <w:r w:rsidRPr="008A661B">
        <w:rPr>
          <w:rFonts w:asciiTheme="majorBidi" w:hAnsiTheme="majorBidi" w:cstheme="majorBidi"/>
        </w:rPr>
        <w:t xml:space="preserve">representing the fully unbound state, to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oMath>
      <w:r w:rsidR="0033693F" w:rsidRPr="00C028F0">
        <w:rPr>
          <w:rFonts w:asciiTheme="majorBidi" w:hAnsiTheme="majorBidi" w:cstheme="majorBidi"/>
        </w:rPr>
        <w:t xml:space="preserve"> </w:t>
      </w:r>
      <w:r w:rsidR="00CD4E4C" w:rsidRPr="00C028F0">
        <w:rPr>
          <w:rFonts w:asciiTheme="majorBidi" w:hAnsiTheme="majorBidi" w:cstheme="majorBidi"/>
        </w:rPr>
        <w:t xml:space="preserve">, </w:t>
      </w:r>
      <w:r w:rsidRPr="008A661B">
        <w:rPr>
          <w:rFonts w:asciiTheme="majorBidi" w:hAnsiTheme="majorBidi" w:cstheme="majorBidi"/>
        </w:rPr>
        <w:t>corresponding to complete aptamer saturation</w:t>
      </w:r>
      <w:r w:rsidR="004A351B" w:rsidRPr="00C028F0">
        <w:rPr>
          <w:rFonts w:asciiTheme="majorBidi" w:hAnsiTheme="majorBidi" w:cstheme="majorBidi"/>
        </w:rPr>
        <w:t xml:space="preserve"> </w:t>
      </w:r>
      <w:r w:rsidRPr="008A661B">
        <w:rPr>
          <w:rFonts w:asciiTheme="majorBidi" w:hAnsiTheme="majorBidi" w:cstheme="majorBidi"/>
        </w:rPr>
        <w:t>assuming a one-to-one binding stoichiometry and non-cooperative interaction (n = 1).</w:t>
      </w:r>
      <w:r w:rsidR="001A76D6" w:rsidRPr="00C028F0">
        <w:rPr>
          <w:rFonts w:asciiTheme="majorBidi" w:hAnsiTheme="majorBidi" w:cstheme="majorBidi"/>
        </w:rPr>
        <w:t xml:space="preserve"> </w:t>
      </w:r>
      <w:r w:rsidRPr="008A661B">
        <w:rPr>
          <w:rFonts w:asciiTheme="majorBidi" w:hAnsiTheme="majorBidi" w:cstheme="majorBidi"/>
        </w:rPr>
        <w:t>However, this formulation does not account for the frequency dependence of the sensor’s output in techniques such as Square Wave Voltammetry (SWV). In practice, when the sensor is interrogated across a spectrum of frequencies, both the unbound and saturated states yield distinct, frequency-dependent current responses. These are shaped not only by the fundamental electron transfer kinetics but also by the finite temporal resolution imposed by the square wave perturbation—specifically, the limited duration available in each half-cycle of the square wave signal.</w:t>
      </w:r>
    </w:p>
    <w:p w14:paraId="72DD8204" w14:textId="77777777" w:rsidR="008A661B" w:rsidRPr="008A661B" w:rsidRDefault="008A661B" w:rsidP="00D06727">
      <w:pPr>
        <w:spacing w:line="276" w:lineRule="auto"/>
        <w:ind w:left="360"/>
        <w:jc w:val="both"/>
        <w:rPr>
          <w:rFonts w:asciiTheme="majorBidi" w:hAnsiTheme="majorBidi" w:cstheme="majorBidi"/>
        </w:rPr>
      </w:pPr>
      <w:r w:rsidRPr="008A661B">
        <w:rPr>
          <w:rFonts w:asciiTheme="majorBidi" w:hAnsiTheme="majorBidi" w:cstheme="majorBidi"/>
        </w:rPr>
        <w:t>To address these limitations and accurately describe the sensor's performance under dynamic interrogation, more sophisticated models are introduced. These consider the interplay between binding kinetics, electron transfer rates, and the time constant associated with the applied frequency. In such models, the observed amplitude of the current (whether expressed as peak height or integrated charge) is modulated by:</w:t>
      </w:r>
    </w:p>
    <w:p w14:paraId="36D1BB01" w14:textId="77777777" w:rsidR="008A661B" w:rsidRPr="008A661B" w:rsidRDefault="008A661B" w:rsidP="00D06727">
      <w:pPr>
        <w:numPr>
          <w:ilvl w:val="0"/>
          <w:numId w:val="5"/>
        </w:numPr>
        <w:spacing w:line="276" w:lineRule="auto"/>
        <w:jc w:val="both"/>
        <w:rPr>
          <w:rFonts w:asciiTheme="majorBidi" w:hAnsiTheme="majorBidi" w:cstheme="majorBidi"/>
        </w:rPr>
      </w:pPr>
      <w:r w:rsidRPr="008A661B">
        <w:rPr>
          <w:rFonts w:asciiTheme="majorBidi" w:hAnsiTheme="majorBidi" w:cstheme="majorBidi"/>
        </w:rPr>
        <w:t xml:space="preserve">The duration of each half-cycle in SWV, which constrains the system’s ability to reach steady state before the direction of potential is </w:t>
      </w:r>
      <w:proofErr w:type="gramStart"/>
      <w:r w:rsidRPr="008A661B">
        <w:rPr>
          <w:rFonts w:asciiTheme="majorBidi" w:hAnsiTheme="majorBidi" w:cstheme="majorBidi"/>
        </w:rPr>
        <w:t>reversed;</w:t>
      </w:r>
      <w:proofErr w:type="gramEnd"/>
    </w:p>
    <w:p w14:paraId="26FFF067" w14:textId="77777777" w:rsidR="008A661B" w:rsidRPr="008A661B" w:rsidRDefault="008A661B" w:rsidP="00D06727">
      <w:pPr>
        <w:numPr>
          <w:ilvl w:val="0"/>
          <w:numId w:val="5"/>
        </w:numPr>
        <w:spacing w:line="276" w:lineRule="auto"/>
        <w:jc w:val="both"/>
        <w:rPr>
          <w:rFonts w:asciiTheme="majorBidi" w:hAnsiTheme="majorBidi" w:cstheme="majorBidi"/>
        </w:rPr>
      </w:pPr>
      <w:r w:rsidRPr="008A661B">
        <w:rPr>
          <w:rFonts w:asciiTheme="majorBidi" w:hAnsiTheme="majorBidi" w:cstheme="majorBidi"/>
        </w:rPr>
        <w:t xml:space="preserve">The rate of electron transfer, governed by the spatial arrangement of the redox label and its tunnelling </w:t>
      </w:r>
      <w:proofErr w:type="gramStart"/>
      <w:r w:rsidRPr="008A661B">
        <w:rPr>
          <w:rFonts w:asciiTheme="majorBidi" w:hAnsiTheme="majorBidi" w:cstheme="majorBidi"/>
        </w:rPr>
        <w:t>efficiency;</w:t>
      </w:r>
      <w:proofErr w:type="gramEnd"/>
    </w:p>
    <w:p w14:paraId="43B66D7E" w14:textId="77777777" w:rsidR="008A661B" w:rsidRPr="008A661B" w:rsidRDefault="008A661B" w:rsidP="00D06727">
      <w:pPr>
        <w:numPr>
          <w:ilvl w:val="0"/>
          <w:numId w:val="5"/>
        </w:numPr>
        <w:spacing w:line="276" w:lineRule="auto"/>
        <w:jc w:val="both"/>
        <w:rPr>
          <w:rFonts w:asciiTheme="majorBidi" w:hAnsiTheme="majorBidi" w:cstheme="majorBidi"/>
        </w:rPr>
      </w:pPr>
      <w:r w:rsidRPr="008A661B">
        <w:rPr>
          <w:rFonts w:asciiTheme="majorBidi" w:hAnsiTheme="majorBidi" w:cstheme="majorBidi"/>
        </w:rPr>
        <w:lastRenderedPageBreak/>
        <w:t>The capacitive behaviour of the electrode–solution interface, particularly at higher frequencies where capacitive charging may dominate the current response.</w:t>
      </w:r>
    </w:p>
    <w:p w14:paraId="0FE9D53F" w14:textId="7E3D06E7" w:rsidR="000F050E" w:rsidRPr="00C028F0" w:rsidRDefault="008A661B" w:rsidP="00D06727">
      <w:pPr>
        <w:spacing w:line="276" w:lineRule="auto"/>
        <w:ind w:left="360"/>
        <w:jc w:val="both"/>
        <w:rPr>
          <w:rFonts w:asciiTheme="majorBidi" w:hAnsiTheme="majorBidi" w:cstheme="majorBidi"/>
        </w:rPr>
      </w:pPr>
      <w:r w:rsidRPr="008A661B">
        <w:rPr>
          <w:rFonts w:asciiTheme="majorBidi" w:hAnsiTheme="majorBidi" w:cstheme="majorBidi"/>
        </w:rPr>
        <w:t>Such frequency-sensitive models are essential for capturing the full dynamic range of E-AB sensors and for fitting data collected under non-equilibrium or time-resolved conditions. Incorporating these considerations enables a more accurate deconvolution of faradaic and non-faradaic components and enhances the fidelity of parameter estimation in sensor calibration and optimisation studies.</w:t>
      </w:r>
      <w:r w:rsidR="00A148DA" w:rsidRPr="00C028F0">
        <w:rPr>
          <w:rFonts w:asciiTheme="majorBidi" w:hAnsiTheme="majorBidi" w:cstheme="majorBidi"/>
        </w:rPr>
        <w:t xml:space="preserve"> </w:t>
      </w:r>
      <w:r w:rsidR="008A1172" w:rsidRPr="00C028F0">
        <w:rPr>
          <w:rFonts w:asciiTheme="majorBidi" w:hAnsiTheme="majorBidi" w:cstheme="majorBidi"/>
        </w:rPr>
        <w:t>A simple phenomenological version uses multiple exponential “penalties” in series:</w:t>
      </w:r>
    </w:p>
    <w:p w14:paraId="54A4D350" w14:textId="77ECBB65" w:rsidR="008A1172" w:rsidRPr="00C028F0" w:rsidRDefault="00000000" w:rsidP="00D06727">
      <w:pPr>
        <w:spacing w:line="276" w:lineRule="auto"/>
        <w:ind w:left="360"/>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net</m:t>
              </m:r>
            </m:sub>
          </m:sSub>
          <m:r>
            <w:rPr>
              <w:rFonts w:ascii="Cambria Math" w:hAnsi="Cambria Math" w:cstheme="majorBidi"/>
            </w:rPr>
            <m:t>(f)</m:t>
          </m:r>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0</m:t>
              </m:r>
            </m:sub>
          </m:sSub>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sub>
              </m:sSub>
            </m:num>
            <m:den>
              <m:r>
                <w:rPr>
                  <w:rFonts w:ascii="Cambria Math" w:hAnsi="Cambria Math" w:cstheme="majorBidi"/>
                </w:rPr>
                <m:t>2</m:t>
              </m:r>
              <m:r>
                <m:rPr>
                  <m:nor/>
                </m:rPr>
                <w:rPr>
                  <w:rFonts w:asciiTheme="majorBidi" w:hAnsiTheme="majorBidi" w:cstheme="majorBidi"/>
                </w:rPr>
                <m:t> </m:t>
              </m:r>
              <m:r>
                <w:rPr>
                  <w:rFonts w:ascii="Cambria Math" w:hAnsi="Cambria Math" w:cstheme="majorBidi"/>
                </w:rPr>
                <m:t>f</m:t>
              </m:r>
            </m:den>
          </m:f>
          <m:r>
            <w:rPr>
              <w:rFonts w:ascii="Cambria Math" w:hAnsi="Cambria Math" w:cstheme="majorBidi"/>
            </w:rPr>
            <m:t>)</m:t>
          </m:r>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den>
          </m:f>
          <m:r>
            <w:rPr>
              <w:rFonts w:ascii="Cambria Math" w:hAnsi="Cambria Math" w:cstheme="majorBidi"/>
            </w:rPr>
            <m:t>)</m:t>
          </m:r>
          <m:r>
            <m:rPr>
              <m:nor/>
            </m:rPr>
            <w:rPr>
              <w:rFonts w:asciiTheme="majorBidi" w:hAnsiTheme="majorBidi" w:cstheme="majorBidi"/>
            </w:rPr>
            <m:t> </m:t>
          </m:r>
          <m:r>
            <m:rPr>
              <m:nor/>
            </m:rPr>
            <w:rPr>
              <w:rFonts w:ascii="Cambria Math" w:hAnsiTheme="majorBidi" w:cstheme="majorBidi"/>
            </w:rPr>
            <m:t>.</m:t>
          </m:r>
          <m:r>
            <m:rPr>
              <m:nor/>
            </m:rPr>
            <w:rPr>
              <w:rFonts w:asciiTheme="majorBidi" w:hAnsiTheme="majorBidi" w:cstheme="majorBidi"/>
            </w:rPr>
            <m:t> </m:t>
          </m:r>
          <m:r>
            <m:rPr>
              <m:nor/>
            </m:rPr>
            <w:rPr>
              <w:rFonts w:ascii="Cambria Math" w:hAnsiTheme="majorBidi" w:cstheme="majorBidi"/>
            </w:rPr>
            <m:t xml:space="preserve">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DL</m:t>
                  </m:r>
                </m:sub>
              </m:sSub>
            </m:den>
          </m:f>
          <m:r>
            <w:rPr>
              <w:rFonts w:ascii="Cambria Math" w:hAnsi="Cambria Math" w:cstheme="majorBidi"/>
            </w:rPr>
            <m:t>)</m:t>
          </m:r>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mass</m:t>
                  </m:r>
                </m:sub>
              </m:sSub>
            </m:den>
          </m:f>
          <m:r>
            <w:rPr>
              <w:rFonts w:ascii="Cambria Math" w:hAnsi="Cambria Math" w:cstheme="majorBidi"/>
            </w:rPr>
            <m:t>)</m:t>
          </m:r>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ads</m:t>
                  </m:r>
                </m:sub>
              </m:sSub>
            </m:den>
          </m:f>
          <m:r>
            <w:rPr>
              <w:rFonts w:ascii="Cambria Math" w:hAnsi="Cambria Math" w:cstheme="majorBidi"/>
            </w:rPr>
            <m:t>)</m:t>
          </m:r>
        </m:oMath>
      </m:oMathPara>
    </w:p>
    <w:p w14:paraId="3DEE7BCE" w14:textId="3CB4C4B8" w:rsidR="008A1172" w:rsidRPr="00C028F0" w:rsidRDefault="007A31F4" w:rsidP="00D06727">
      <w:pPr>
        <w:spacing w:line="276" w:lineRule="auto"/>
        <w:jc w:val="both"/>
        <w:rPr>
          <w:rFonts w:asciiTheme="majorBidi" w:hAnsiTheme="majorBidi" w:cstheme="majorBidi"/>
        </w:rPr>
      </w:pPr>
      <w:r w:rsidRPr="00C028F0">
        <w:rPr>
          <w:rFonts w:asciiTheme="majorBidi" w:hAnsiTheme="majorBidi" w:cstheme="majorBidi"/>
        </w:rPr>
        <w:t>Where:</w:t>
      </w:r>
    </w:p>
    <w:p w14:paraId="60CA30C7" w14:textId="24E264FB" w:rsidR="00E24FF2" w:rsidRPr="00C028F0" w:rsidRDefault="00E24FF2" w:rsidP="00D06727">
      <w:pPr>
        <w:numPr>
          <w:ilvl w:val="0"/>
          <w:numId w:val="4"/>
        </w:numPr>
        <w:spacing w:line="276" w:lineRule="auto"/>
        <w:rPr>
          <w:rFonts w:asciiTheme="majorBidi" w:hAnsiTheme="majorBidi" w:cstheme="majorBidi"/>
        </w:rPr>
      </w:pPr>
      <w:r w:rsidRPr="00C028F0">
        <w:rPr>
          <w:rFonts w:asciiTheme="majorBidi" w:hAnsiTheme="majorBidi" w:cstheme="majorBidi"/>
        </w:rPr>
        <w:t>I</w:t>
      </w:r>
      <w:r w:rsidRPr="00C028F0">
        <w:rPr>
          <w:rFonts w:asciiTheme="majorBidi" w:hAnsiTheme="majorBidi" w:cstheme="majorBidi"/>
          <w:vertAlign w:val="subscript"/>
        </w:rPr>
        <w:t>0</w:t>
      </w:r>
      <w:r w:rsidRPr="00C028F0">
        <w:rPr>
          <w:rFonts w:asciiTheme="majorBidi" w:hAnsiTheme="majorBidi" w:cstheme="majorBidi"/>
        </w:rPr>
        <w:t>​ is an overall scaling factor (</w:t>
      </w:r>
      <w:r w:rsidR="00C97D7A" w:rsidRPr="00C028F0">
        <w:rPr>
          <w:rFonts w:asciiTheme="majorBidi" w:hAnsiTheme="majorBidi" w:cstheme="majorBidi"/>
        </w:rPr>
        <w:t>could</w:t>
      </w:r>
      <w:r w:rsidRPr="00C028F0">
        <w:rPr>
          <w:rFonts w:asciiTheme="majorBidi" w:hAnsiTheme="majorBidi" w:cstheme="majorBidi"/>
        </w:rPr>
        <w:t xml:space="preserve"> also </w:t>
      </w:r>
      <w:r w:rsidR="00C97D7A" w:rsidRPr="00C028F0">
        <w:rPr>
          <w:rFonts w:asciiTheme="majorBidi" w:hAnsiTheme="majorBidi" w:cstheme="majorBidi"/>
        </w:rPr>
        <w:t xml:space="preserve">be </w:t>
      </w:r>
      <w:r w:rsidRPr="00C028F0">
        <w:rPr>
          <w:rFonts w:asciiTheme="majorBidi" w:hAnsiTheme="majorBidi" w:cstheme="majorBidi"/>
        </w:rPr>
        <w:t>fitted).</w:t>
      </w:r>
    </w:p>
    <w:p w14:paraId="47BE3C0D" w14:textId="2CD896ED" w:rsidR="00E24FF2" w:rsidRPr="00C028F0" w:rsidRDefault="00E24FF2" w:rsidP="00D06727">
      <w:pPr>
        <w:numPr>
          <w:ilvl w:val="0"/>
          <w:numId w:val="4"/>
        </w:numPr>
        <w:spacing w:line="276" w:lineRule="auto"/>
        <w:rPr>
          <w:rFonts w:asciiTheme="majorBidi" w:hAnsiTheme="majorBidi" w:cstheme="majorBidi"/>
        </w:rPr>
      </w:pPr>
      <m:oMath>
        <m:r>
          <m:rPr>
            <m:sty m:val="p"/>
          </m:rPr>
          <w:rPr>
            <w:rFonts w:ascii="Cambria Math" w:hAnsi="Cambria Math" w:cstheme="majorBidi"/>
          </w:rPr>
          <m:t>exp</m:t>
        </m:r>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sub>
        </m:sSub>
        <m:r>
          <m:rPr>
            <m:sty m:val="p"/>
          </m:rPr>
          <w:rPr>
            <w:rFonts w:ascii="Cambria Math" w:hAnsi="Cambria Math" w:cstheme="majorBidi"/>
          </w:rPr>
          <m:t>/</m:t>
        </m:r>
        <m:r>
          <w:rPr>
            <w:rFonts w:ascii="Cambria Math" w:hAnsi="Cambria Math" w:cstheme="majorBidi"/>
          </w:rPr>
          <m:t>(2f))</m:t>
        </m:r>
      </m:oMath>
      <w:r w:rsidR="00C97D7A" w:rsidRPr="00C028F0">
        <w:rPr>
          <w:rFonts w:asciiTheme="majorBidi" w:hAnsiTheme="majorBidi" w:cstheme="majorBidi"/>
        </w:rPr>
        <w:t xml:space="preserve"> </w:t>
      </w:r>
      <w:r w:rsidRPr="00C028F0">
        <w:rPr>
          <w:rFonts w:asciiTheme="majorBidi" w:hAnsiTheme="majorBidi" w:cstheme="majorBidi"/>
        </w:rPr>
        <w:t xml:space="preserve">captures the electron‐transfer kinetics that often appear in SWV modelling (the </w:t>
      </w:r>
      <m:oMath>
        <m:r>
          <w:rPr>
            <w:rFonts w:ascii="Cambria Math" w:hAnsi="Cambria Math" w:cstheme="majorBidi"/>
          </w:rPr>
          <m:t>1</m:t>
        </m:r>
        <m:r>
          <m:rPr>
            <m:sty m:val="p"/>
          </m:rPr>
          <w:rPr>
            <w:rFonts w:ascii="Cambria Math" w:hAnsi="Cambria Math" w:cstheme="majorBidi"/>
          </w:rPr>
          <m:t>/</m:t>
        </m:r>
        <m:r>
          <w:rPr>
            <w:rFonts w:ascii="Cambria Math" w:hAnsi="Cambria Math" w:cstheme="majorBidi"/>
          </w:rPr>
          <m:t>(2f)</m:t>
        </m:r>
      </m:oMath>
      <w:r w:rsidR="00C97D7A" w:rsidRPr="00C028F0">
        <w:rPr>
          <w:rFonts w:asciiTheme="majorBidi" w:hAnsiTheme="majorBidi" w:cstheme="majorBidi"/>
        </w:rPr>
        <w:t xml:space="preserve"> </w:t>
      </w:r>
      <w:r w:rsidRPr="00C028F0">
        <w:rPr>
          <w:rFonts w:asciiTheme="majorBidi" w:hAnsiTheme="majorBidi" w:cstheme="majorBidi"/>
        </w:rPr>
        <w:t>factor is a heuristic).</w:t>
      </w:r>
    </w:p>
    <w:p w14:paraId="68129EEE" w14:textId="0C22CDB4" w:rsidR="00E24FF2" w:rsidRPr="00C028F0" w:rsidRDefault="00E24FF2" w:rsidP="00D06727">
      <w:pPr>
        <w:numPr>
          <w:ilvl w:val="0"/>
          <w:numId w:val="4"/>
        </w:numPr>
        <w:spacing w:line="276" w:lineRule="auto"/>
        <w:rPr>
          <w:rFonts w:asciiTheme="majorBidi" w:hAnsiTheme="majorBidi" w:cstheme="majorBidi"/>
        </w:rPr>
      </w:pPr>
      <m:oMath>
        <m:r>
          <m:rPr>
            <m:sty m:val="p"/>
          </m:rPr>
          <w:rPr>
            <w:rFonts w:ascii="Cambria Math" w:hAnsi="Cambria Math" w:cstheme="majorBidi"/>
          </w:rPr>
          <m:t>exp</m:t>
        </m:r>
        <m:r>
          <w:rPr>
            <w:rFonts w:ascii="Cambria Math" w:hAnsi="Cambria Math" w:cstheme="majorBidi"/>
          </w:rPr>
          <m:t>⁡(-f</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r>
          <w:rPr>
            <w:rFonts w:ascii="Cambria Math" w:hAnsi="Cambria Math" w:cstheme="majorBidi"/>
          </w:rPr>
          <m:t>)</m:t>
        </m:r>
      </m:oMath>
      <w:r w:rsidR="00C97D7A" w:rsidRPr="00C028F0">
        <w:rPr>
          <w:rFonts w:asciiTheme="majorBidi" w:hAnsiTheme="majorBidi" w:cstheme="majorBidi"/>
        </w:rPr>
        <w:t xml:space="preserve"> </w:t>
      </w:r>
      <w:r w:rsidRPr="00C028F0">
        <w:rPr>
          <w:rFonts w:asciiTheme="majorBidi" w:hAnsiTheme="majorBidi" w:cstheme="majorBidi"/>
        </w:rPr>
        <w:t>could be a rough proxy for how aptamer conformational gating becomes less effective at higher frequencies (there’s less time for the aptamer to fold “signal-on”).</w:t>
      </w:r>
    </w:p>
    <w:p w14:paraId="2D67F2FE" w14:textId="04CCB050" w:rsidR="00E24FF2" w:rsidRPr="00C028F0" w:rsidRDefault="00E24FF2" w:rsidP="00D06727">
      <w:pPr>
        <w:numPr>
          <w:ilvl w:val="0"/>
          <w:numId w:val="4"/>
        </w:numPr>
        <w:spacing w:line="276" w:lineRule="auto"/>
        <w:rPr>
          <w:rFonts w:asciiTheme="majorBidi" w:hAnsiTheme="majorBidi" w:cstheme="majorBidi"/>
        </w:rPr>
      </w:pPr>
      <m:oMath>
        <m:r>
          <m:rPr>
            <m:sty m:val="p"/>
          </m:rPr>
          <w:rPr>
            <w:rFonts w:ascii="Cambria Math" w:hAnsi="Cambria Math" w:cstheme="majorBidi"/>
          </w:rPr>
          <m:t>exp</m:t>
        </m:r>
        <m:r>
          <w:rPr>
            <w:rFonts w:ascii="Cambria Math" w:hAnsi="Cambria Math" w:cstheme="majorBidi"/>
          </w:rPr>
          <m:t>⁡(-f</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DL</m:t>
            </m:r>
          </m:sub>
        </m:sSub>
        <m:r>
          <w:rPr>
            <w:rFonts w:ascii="Cambria Math" w:hAnsi="Cambria Math" w:cstheme="majorBidi"/>
          </w:rPr>
          <m:t>)</m:t>
        </m:r>
      </m:oMath>
      <w:r w:rsidR="00541523" w:rsidRPr="00C028F0">
        <w:rPr>
          <w:rFonts w:asciiTheme="majorBidi" w:hAnsiTheme="majorBidi" w:cstheme="majorBidi"/>
        </w:rPr>
        <w:t xml:space="preserve"> </w:t>
      </w:r>
      <w:r w:rsidRPr="00C028F0">
        <w:rPr>
          <w:rFonts w:asciiTheme="majorBidi" w:hAnsiTheme="majorBidi" w:cstheme="majorBidi"/>
        </w:rPr>
        <w:t>the effect of double‐layer charging at high frequencies.</w:t>
      </w:r>
    </w:p>
    <w:p w14:paraId="07E1CEA5" w14:textId="3B94917A" w:rsidR="00E24FF2" w:rsidRPr="00C028F0" w:rsidRDefault="00E24FF2" w:rsidP="00D06727">
      <w:pPr>
        <w:numPr>
          <w:ilvl w:val="0"/>
          <w:numId w:val="4"/>
        </w:numPr>
        <w:spacing w:line="276" w:lineRule="auto"/>
        <w:rPr>
          <w:rFonts w:asciiTheme="majorBidi" w:hAnsiTheme="majorBidi" w:cstheme="majorBidi"/>
        </w:rPr>
      </w:pPr>
      <m:oMath>
        <m:r>
          <m:rPr>
            <m:sty m:val="p"/>
          </m:rPr>
          <w:rPr>
            <w:rFonts w:ascii="Cambria Math" w:hAnsi="Cambria Math" w:cstheme="majorBidi"/>
          </w:rPr>
          <m:t>exp</m:t>
        </m:r>
        <m:r>
          <w:rPr>
            <w:rFonts w:ascii="Cambria Math" w:hAnsi="Cambria Math" w:cstheme="majorBidi"/>
          </w:rPr>
          <m:t>⁡(-f</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nor/>
              </m:rPr>
              <w:rPr>
                <w:rFonts w:cstheme="majorBidi"/>
              </w:rPr>
              <m:t>mass</m:t>
            </m:r>
          </m:sub>
        </m:sSub>
        <m:r>
          <w:rPr>
            <w:rFonts w:ascii="Cambria Math" w:hAnsi="Cambria Math" w:cstheme="majorBidi"/>
          </w:rPr>
          <m:t>)</m:t>
        </m:r>
      </m:oMath>
      <w:r w:rsidR="00541523" w:rsidRPr="00C028F0">
        <w:rPr>
          <w:rFonts w:asciiTheme="majorBidi" w:hAnsiTheme="majorBidi" w:cstheme="majorBidi"/>
        </w:rPr>
        <w:t xml:space="preserve"> </w:t>
      </w:r>
      <w:r w:rsidRPr="00C028F0">
        <w:rPr>
          <w:rFonts w:asciiTheme="majorBidi" w:hAnsiTheme="majorBidi" w:cstheme="majorBidi"/>
        </w:rPr>
        <w:t>might account for mass‐transport or diffusion limitations.</w:t>
      </w:r>
    </w:p>
    <w:p w14:paraId="7CC157A5" w14:textId="4D9DD9CC" w:rsidR="00E24FF2" w:rsidRPr="00C028F0" w:rsidRDefault="00E24FF2" w:rsidP="00D06727">
      <w:pPr>
        <w:numPr>
          <w:ilvl w:val="0"/>
          <w:numId w:val="4"/>
        </w:numPr>
        <w:spacing w:line="276" w:lineRule="auto"/>
        <w:rPr>
          <w:rFonts w:asciiTheme="majorBidi" w:hAnsiTheme="majorBidi" w:cstheme="majorBidi"/>
        </w:rPr>
      </w:pPr>
      <m:oMath>
        <m:r>
          <m:rPr>
            <m:sty m:val="p"/>
          </m:rPr>
          <w:rPr>
            <w:rFonts w:ascii="Cambria Math" w:hAnsi="Cambria Math" w:cstheme="majorBidi"/>
          </w:rPr>
          <m:t>exp</m:t>
        </m:r>
        <m:r>
          <w:rPr>
            <w:rFonts w:ascii="Cambria Math" w:hAnsi="Cambria Math" w:cstheme="majorBidi"/>
          </w:rPr>
          <m:t>⁡(-f</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ads</m:t>
            </m:r>
          </m:sub>
        </m:sSub>
        <m:r>
          <w:rPr>
            <w:rFonts w:ascii="Cambria Math" w:hAnsi="Cambria Math" w:cstheme="majorBidi"/>
          </w:rPr>
          <m:t>)</m:t>
        </m:r>
      </m:oMath>
      <w:r w:rsidR="00541523" w:rsidRPr="00C028F0">
        <w:rPr>
          <w:rFonts w:asciiTheme="majorBidi" w:hAnsiTheme="majorBidi" w:cstheme="majorBidi"/>
        </w:rPr>
        <w:t xml:space="preserve"> </w:t>
      </w:r>
      <w:r w:rsidRPr="00C028F0">
        <w:rPr>
          <w:rFonts w:asciiTheme="majorBidi" w:hAnsiTheme="majorBidi" w:cstheme="majorBidi"/>
        </w:rPr>
        <w:t>could represent partial blocking or slow fouling processes that reduce the current with increasing frequency.</w:t>
      </w:r>
    </w:p>
    <w:p w14:paraId="62162ACC" w14:textId="77777777" w:rsidR="00946B7A" w:rsidRPr="00C028F0" w:rsidRDefault="003D423D" w:rsidP="00D06727">
      <w:pPr>
        <w:spacing w:line="276" w:lineRule="auto"/>
        <w:jc w:val="both"/>
        <w:rPr>
          <w:rFonts w:asciiTheme="majorBidi" w:hAnsiTheme="majorBidi" w:cstheme="majorBidi"/>
        </w:rPr>
      </w:pPr>
      <w:r w:rsidRPr="00C028F0">
        <w:rPr>
          <w:rFonts w:asciiTheme="majorBidi" w:hAnsiTheme="majorBidi" w:cstheme="majorBidi"/>
        </w:rPr>
        <w:t xml:space="preserve">To incorporate the dynamic effects observed in frequency-dependent interrogation methods such as Square Wave Voltammetry (SWV), and </w:t>
      </w:r>
      <w:proofErr w:type="gramStart"/>
      <w:r w:rsidRPr="00C028F0">
        <w:rPr>
          <w:rFonts w:asciiTheme="majorBidi" w:hAnsiTheme="majorBidi" w:cstheme="majorBidi"/>
        </w:rPr>
        <w:t>in order to</w:t>
      </w:r>
      <w:proofErr w:type="gramEnd"/>
      <w:r w:rsidRPr="00C028F0">
        <w:rPr>
          <w:rFonts w:asciiTheme="majorBidi" w:hAnsiTheme="majorBidi" w:cstheme="majorBidi"/>
        </w:rPr>
        <w:t xml:space="preserve"> strike a balance between physical accuracy and computational tractability, a simplified yet physically insightful model can be employed.</w:t>
      </w:r>
      <w:r w:rsidR="00833586" w:rsidRPr="00C028F0">
        <w:rPr>
          <w:rFonts w:asciiTheme="majorBidi" w:hAnsiTheme="majorBidi" w:cstheme="majorBidi"/>
        </w:rPr>
        <w:t xml:space="preserve"> Recognising that conformational </w:t>
      </w:r>
      <w:r w:rsidR="00F82BDA" w:rsidRPr="00C028F0">
        <w:rPr>
          <w:rFonts w:asciiTheme="majorBidi" w:hAnsiTheme="majorBidi" w:cstheme="majorBidi"/>
        </w:rPr>
        <w:t>dynamics</w:t>
      </w:r>
      <w:r w:rsidR="00BF6D61" w:rsidRPr="00C028F0">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oMath>
      <w:r w:rsidR="00BF6D61" w:rsidRPr="00C028F0">
        <w:rPr>
          <w:rFonts w:asciiTheme="majorBidi" w:hAnsiTheme="majorBidi" w:cstheme="majorBidi"/>
        </w:rPr>
        <w:t xml:space="preserve"> </w:t>
      </w:r>
      <w:r w:rsidR="00F82BDA" w:rsidRPr="00C028F0">
        <w:rPr>
          <w:rFonts w:asciiTheme="majorBidi" w:hAnsiTheme="majorBidi" w:cstheme="majorBidi"/>
        </w:rPr>
        <w:t xml:space="preserve">typically exert a dominant influence on signal modulation, while contributions from </w:t>
      </w:r>
      <w:r w:rsidR="00A779AA" w:rsidRPr="00C028F0">
        <w:rPr>
          <w:rFonts w:asciiTheme="majorBidi" w:hAnsiTheme="majorBidi" w:cstheme="majorBidi"/>
        </w:rPr>
        <w:t xml:space="preserve">double-layer capacitance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DL</m:t>
            </m:r>
          </m:sub>
        </m:sSub>
      </m:oMath>
      <w:r w:rsidR="00BF6D61" w:rsidRPr="00C028F0">
        <w:rPr>
          <w:rFonts w:asciiTheme="majorBidi" w:hAnsiTheme="majorBidi" w:cstheme="majorBidi"/>
        </w:rPr>
        <w:t>,</w:t>
      </w:r>
      <w:r w:rsidR="00A779AA" w:rsidRPr="00C028F0">
        <w:rPr>
          <w:rFonts w:asciiTheme="majorBidi" w:hAnsiTheme="majorBidi" w:cstheme="majorBidi"/>
        </w:rPr>
        <w:t xml:space="preserve"> mass transport</w:t>
      </w:r>
      <w:r w:rsidR="00BF6D61" w:rsidRPr="00C028F0">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mass</m:t>
            </m:r>
          </m:sub>
        </m:sSub>
      </m:oMath>
      <w:r w:rsidR="00BF6D61" w:rsidRPr="00C028F0">
        <w:rPr>
          <w:rFonts w:asciiTheme="majorBidi" w:hAnsiTheme="majorBidi" w:cstheme="majorBidi"/>
        </w:rPr>
        <w:t xml:space="preserve"> and</w:t>
      </w:r>
      <w:r w:rsidR="00946B7A" w:rsidRPr="00C028F0">
        <w:rPr>
          <w:rFonts w:asciiTheme="majorBidi" w:hAnsiTheme="majorBidi" w:cstheme="majorBidi"/>
        </w:rPr>
        <w:t xml:space="preserve"> surface adsorption</w:t>
      </w:r>
      <w:r w:rsidR="00BF6D61" w:rsidRPr="00C028F0">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ads</m:t>
            </m:r>
          </m:sub>
        </m:sSub>
      </m:oMath>
      <w:r w:rsidR="00BF6D61" w:rsidRPr="00C028F0">
        <w:rPr>
          <w:rFonts w:asciiTheme="majorBidi" w:hAnsiTheme="majorBidi" w:cstheme="majorBidi"/>
        </w:rPr>
        <w:t xml:space="preserve"> </w:t>
      </w:r>
      <w:r w:rsidR="00946B7A" w:rsidRPr="00C028F0">
        <w:rPr>
          <w:rFonts w:asciiTheme="majorBidi" w:hAnsiTheme="majorBidi" w:cstheme="majorBidi"/>
        </w:rPr>
        <w:t>are comparatively minor under controlled experimental conditions, the model may be parameterised as follows:</w:t>
      </w:r>
    </w:p>
    <w:p w14:paraId="192C1020" w14:textId="44DE6D56" w:rsidR="000C5B3E" w:rsidRPr="00C028F0"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I</m:t>
              </m:r>
            </m:e>
            <m:sub>
              <m:r>
                <m:rPr>
                  <m:nor/>
                </m:rPr>
                <w:rPr>
                  <w:rFonts w:cstheme="majorBidi"/>
                </w:rPr>
                <m:t>net</m:t>
              </m:r>
            </m:sub>
          </m:sSub>
          <m:d>
            <m:dPr>
              <m:ctrlPr>
                <w:rPr>
                  <w:rFonts w:ascii="Cambria Math" w:hAnsi="Cambria Math" w:cstheme="majorBidi"/>
                  <w:i/>
                </w:rPr>
              </m:ctrlPr>
            </m:dPr>
            <m:e>
              <m:r>
                <w:rPr>
                  <w:rFonts w:ascii="Cambria Math" w:hAnsi="Cambria Math" w:cstheme="majorBidi"/>
                </w:rPr>
                <m:t>f</m:t>
              </m:r>
            </m:e>
          </m:d>
          <m:r>
            <m:rPr>
              <m:nor/>
            </m:rPr>
            <w:rPr>
              <w:rFonts w:ascii="Arial" w:hAnsi="Arial" w:cs="Arial"/>
            </w:rPr>
            <m:t>  </m:t>
          </m:r>
          <m:r>
            <w:rPr>
              <w:rFonts w:ascii="Cambria Math" w:hAnsi="Cambria Math" w:cstheme="majorBidi"/>
            </w:rPr>
            <m:t>=</m:t>
          </m:r>
          <m:r>
            <m:rPr>
              <m:nor/>
            </m:rPr>
            <w:rPr>
              <w:rFonts w:ascii="Arial" w:hAnsi="Arial" w:cs="Arial"/>
            </w:rPr>
            <m:t>  </m:t>
          </m:r>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0</m:t>
              </m:r>
            </m:sub>
          </m:sSub>
          <m:r>
            <m:rPr>
              <m:nor/>
            </m:rPr>
            <w:rPr>
              <w:rFonts w:ascii="Arial" w:hAnsi="Arial" w:cs="Arial"/>
            </w:rPr>
            <m:t> </m:t>
          </m:r>
          <m:func>
            <m:funcPr>
              <m:ctrlPr>
                <w:rPr>
                  <w:rFonts w:ascii="Cambria Math" w:hAnsi="Cambria Math" w:cstheme="majorBidi"/>
                  <w:i/>
                </w:rPr>
              </m:ctrlPr>
            </m:funcPr>
            <m:fName>
              <m:r>
                <m:rPr>
                  <m:sty m:val="p"/>
                </m:rPr>
                <w:rPr>
                  <w:rFonts w:ascii="Cambria Math" w:hAnsi="Cambria Math" w:cstheme="majorBidi"/>
                </w:rPr>
                <m:t>exp</m:t>
              </m:r>
              <m:ctrlPr>
                <w:rPr>
                  <w:rFonts w:ascii="Cambria Math" w:hAnsi="Cambria Math" w:cstheme="majorBidi"/>
                </w:rPr>
              </m:ctrlPr>
            </m:fName>
            <m:e>
              <m:d>
                <m:dPr>
                  <m:ctrlPr>
                    <w:rPr>
                      <w:rFonts w:ascii="Cambria Math" w:hAnsi="Cambria Math" w:cstheme="majorBidi"/>
                      <w:i/>
                    </w:rPr>
                  </m:ctrlPr>
                </m:dPr>
                <m:e>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rPr>
                          </m:ctrlPr>
                        </m:sSubPr>
                        <m:e>
                          <m:r>
                            <w:rPr>
                              <w:rFonts w:ascii="Cambria Math" w:hAnsi="Cambria Math" w:cstheme="majorBidi"/>
                            </w:rPr>
                            <m:t>k</m:t>
                          </m:r>
                        </m:e>
                        <m:sub>
                          <m:r>
                            <m:rPr>
                              <m:sty m:val="p"/>
                            </m:rPr>
                            <w:rPr>
                              <w:rFonts w:ascii="Cambria Math" w:hAnsi="Cambria Math" w:cstheme="majorBidi"/>
                            </w:rPr>
                            <m:t>et</m:t>
                          </m:r>
                        </m:sub>
                      </m:sSub>
                    </m:num>
                    <m:den>
                      <m:r>
                        <w:rPr>
                          <w:rFonts w:ascii="Cambria Math" w:hAnsi="Cambria Math" w:cstheme="majorBidi"/>
                        </w:rPr>
                        <m:t>2</m:t>
                      </m:r>
                      <m:r>
                        <m:rPr>
                          <m:nor/>
                        </m:rPr>
                        <w:rPr>
                          <w:rFonts w:ascii="Arial" w:hAnsi="Arial" w:cs="Arial"/>
                        </w:rPr>
                        <m:t> </m:t>
                      </m:r>
                      <m:r>
                        <w:rPr>
                          <w:rFonts w:ascii="Cambria Math" w:hAnsi="Cambria Math" w:cstheme="majorBidi"/>
                        </w:rPr>
                        <m:t>f</m:t>
                      </m:r>
                    </m:den>
                  </m:f>
                </m:e>
              </m:d>
            </m:e>
          </m:func>
          <m:r>
            <m:rPr>
              <m:nor/>
            </m:rPr>
            <w:rPr>
              <w:rFonts w:ascii="Cambria Math" w:hAnsi="Arial" w:cs="Arial"/>
            </w:rPr>
            <m:t>.</m:t>
          </m:r>
          <m:r>
            <m:rPr>
              <m:nor/>
            </m:rPr>
            <w:rPr>
              <w:rFonts w:ascii="Arial" w:hAnsi="Arial" w:cs="Arial"/>
            </w:rPr>
            <m:t> </m:t>
          </m:r>
          <m:func>
            <m:funcPr>
              <m:ctrlPr>
                <w:rPr>
                  <w:rFonts w:ascii="Cambria Math" w:hAnsi="Cambria Math" w:cstheme="majorBidi"/>
                  <w:i/>
                </w:rPr>
              </m:ctrlPr>
            </m:funcPr>
            <m:fName>
              <m:r>
                <m:rPr>
                  <m:sty m:val="p"/>
                </m:rPr>
                <w:rPr>
                  <w:rFonts w:ascii="Cambria Math" w:hAnsi="Cambria Math" w:cstheme="majorBidi"/>
                </w:rPr>
                <m:t>exp</m:t>
              </m:r>
              <m:ctrlPr>
                <w:rPr>
                  <w:rFonts w:ascii="Cambria Math" w:hAnsi="Cambria Math" w:cstheme="majorBidi"/>
                </w:rPr>
              </m:ctrlPr>
            </m:fName>
            <m:e>
              <m:d>
                <m:dPr>
                  <m:ctrlPr>
                    <w:rPr>
                      <w:rFonts w:ascii="Cambria Math" w:hAnsi="Cambria Math" w:cstheme="majorBidi"/>
                      <w:i/>
                    </w:rPr>
                  </m:ctrlPr>
                </m:dPr>
                <m:e>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conf</m:t>
                          </m:r>
                        </m:sub>
                      </m:sSub>
                    </m:den>
                  </m:f>
                </m:e>
              </m:d>
            </m:e>
          </m:func>
          <m:r>
            <m:rPr>
              <m:nor/>
            </m:rPr>
            <w:rPr>
              <w:rFonts w:ascii="Cambria Math" w:hAnsi="Arial" w:cs="Arial"/>
            </w:rPr>
            <m:t>.</m:t>
          </m:r>
          <m:r>
            <m:rPr>
              <m:nor/>
            </m:rPr>
            <w:rPr>
              <w:rFonts w:ascii="Arial" w:hAnsi="Arial" w:cs="Arial"/>
            </w:rPr>
            <m:t> </m:t>
          </m:r>
          <m:func>
            <m:funcPr>
              <m:ctrlPr>
                <w:rPr>
                  <w:rFonts w:ascii="Cambria Math" w:hAnsi="Cambria Math" w:cstheme="majorBidi"/>
                  <w:i/>
                </w:rPr>
              </m:ctrlPr>
            </m:funcPr>
            <m:fName>
              <m:r>
                <m:rPr>
                  <m:sty m:val="p"/>
                </m:rPr>
                <w:rPr>
                  <w:rFonts w:ascii="Cambria Math" w:hAnsi="Cambria Math" w:cstheme="majorBidi"/>
                </w:rPr>
                <m:t>exp</m:t>
              </m:r>
              <m:ctrlPr>
                <w:rPr>
                  <w:rFonts w:ascii="Cambria Math" w:hAnsi="Cambria Math" w:cstheme="majorBidi"/>
                </w:rPr>
              </m:ctrlPr>
            </m:fName>
            <m:e>
              <m:d>
                <m:dPr>
                  <m:ctrlPr>
                    <w:rPr>
                      <w:rFonts w:ascii="Cambria Math" w:hAnsi="Cambria Math" w:cstheme="majorBidi"/>
                      <w:i/>
                    </w:rPr>
                  </m:ctrlPr>
                </m:dPr>
                <m:e>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others</m:t>
                          </m:r>
                        </m:sub>
                      </m:sSub>
                    </m:den>
                  </m:f>
                </m:e>
              </m:d>
            </m:e>
          </m:func>
          <m:r>
            <w:rPr>
              <w:rFonts w:ascii="Cambria Math" w:hAnsi="Cambria Math" w:cstheme="majorBidi"/>
            </w:rPr>
            <m:t>,</m:t>
          </m:r>
        </m:oMath>
      </m:oMathPara>
    </w:p>
    <w:p w14:paraId="7D744DE4" w14:textId="16CF0A00" w:rsidR="005959A3" w:rsidRPr="00C028F0" w:rsidRDefault="009A6094" w:rsidP="00D06727">
      <w:pPr>
        <w:spacing w:line="276" w:lineRule="auto"/>
        <w:jc w:val="both"/>
        <w:rPr>
          <w:rFonts w:asciiTheme="majorBidi" w:hAnsiTheme="majorBidi" w:cstheme="majorBidi"/>
        </w:rPr>
      </w:pPr>
      <w:r w:rsidRPr="00C028F0">
        <w:rPr>
          <w:rFonts w:asciiTheme="majorBidi" w:hAnsiTheme="majorBidi" w:cstheme="majorBidi"/>
        </w:rPr>
        <w:t xml:space="preserve">where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net</m:t>
            </m:r>
          </m:sub>
        </m:sSub>
        <m:r>
          <w:rPr>
            <w:rFonts w:ascii="Cambria Math" w:hAnsi="Cambria Math" w:cstheme="majorBidi"/>
          </w:rPr>
          <m:t>(f)</m:t>
        </m:r>
      </m:oMath>
      <w:r w:rsidR="00714871" w:rsidRPr="00C028F0">
        <w:rPr>
          <w:rFonts w:asciiTheme="majorBidi" w:hAnsiTheme="majorBidi" w:cstheme="majorBidi"/>
        </w:rPr>
        <w:t xml:space="preserve"> represents the net frequency-dependent current response, </w:t>
      </w:r>
      <w:r w:rsidRPr="00C028F0">
        <w:rPr>
          <w:rFonts w:asciiTheme="majorBidi" w:hAnsiTheme="majorBidi" w:cstheme="majorBidi"/>
        </w:rPr>
        <w:t>I</w:t>
      </w:r>
      <w:r w:rsidRPr="00C028F0">
        <w:rPr>
          <w:rFonts w:asciiTheme="majorBidi" w:hAnsiTheme="majorBidi" w:cstheme="majorBidi"/>
          <w:vertAlign w:val="subscript"/>
        </w:rPr>
        <w:t>0</w:t>
      </w:r>
      <w:r w:rsidRPr="00C028F0">
        <w:rPr>
          <w:rFonts w:asciiTheme="majorBidi" w:hAnsiTheme="majorBidi" w:cstheme="majorBidi"/>
        </w:rPr>
        <w:t xml:space="preserve"> </w:t>
      </w:r>
      <w:r w:rsidR="00654E28" w:rsidRPr="00C028F0">
        <w:rPr>
          <w:rFonts w:asciiTheme="majorBidi" w:hAnsiTheme="majorBidi" w:cstheme="majorBidi"/>
        </w:rPr>
        <w:t xml:space="preserve">is the baseline amplitude in the low-frequency regime, analogous to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oMath>
      <w:r w:rsidR="00654E28" w:rsidRPr="00C028F0">
        <w:rPr>
          <w:rFonts w:asciiTheme="majorBidi" w:hAnsiTheme="majorBidi" w:cstheme="majorBidi"/>
        </w:rPr>
        <w:t xml:space="preserve">or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oMath>
      <w:r w:rsidR="00654E28" w:rsidRPr="00C028F0">
        <w:rPr>
          <w:rFonts w:asciiTheme="majorBidi" w:hAnsiTheme="majorBidi" w:cstheme="majorBidi"/>
        </w:rPr>
        <w:t>​ depending on the bound state,</w:t>
      </w:r>
      <w:r w:rsidR="00EA7792" w:rsidRPr="00C028F0">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sub>
        </m:sSub>
      </m:oMath>
      <w:r w:rsidRPr="00C028F0">
        <w:rPr>
          <w:rFonts w:asciiTheme="majorBidi" w:hAnsiTheme="majorBidi" w:cstheme="majorBidi"/>
        </w:rPr>
        <w:t xml:space="preserve"> </w:t>
      </w:r>
      <w:r w:rsidR="00A021F4" w:rsidRPr="00C028F0">
        <w:rPr>
          <w:rFonts w:asciiTheme="majorBidi" w:hAnsiTheme="majorBidi" w:cstheme="majorBidi"/>
        </w:rPr>
        <w:t xml:space="preserve">is the effective electron transfer rate constant, governing the rate-limiting kinetics of the redox event,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oMath>
      <w:r w:rsidR="00A021F4" w:rsidRPr="00C028F0">
        <w:rPr>
          <w:rFonts w:asciiTheme="majorBidi" w:hAnsiTheme="majorBidi" w:cstheme="majorBidi"/>
        </w:rPr>
        <w:t xml:space="preserve"> </w:t>
      </w:r>
      <w:r w:rsidR="004A35F3" w:rsidRPr="00C028F0">
        <w:rPr>
          <w:rFonts w:asciiTheme="majorBidi" w:hAnsiTheme="majorBidi" w:cstheme="majorBidi"/>
        </w:rPr>
        <w:t>denotes the characteristic frequency associated with aptamer conformational dynamics, representing a gating process whereby higher frequencies outpace the aptamer’s ability to reconfigure,</w:t>
      </w:r>
      <w:r w:rsidR="00A021F4" w:rsidRPr="00C028F0">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others</m:t>
            </m:r>
          </m:sub>
        </m:sSub>
      </m:oMath>
      <w:r w:rsidR="00A021F4" w:rsidRPr="00C028F0">
        <w:rPr>
          <w:rFonts w:asciiTheme="majorBidi" w:hAnsiTheme="majorBidi" w:cstheme="majorBidi"/>
        </w:rPr>
        <w:t xml:space="preserve"> </w:t>
      </w:r>
      <w:r w:rsidR="004A35F3" w:rsidRPr="00C028F0">
        <w:rPr>
          <w:rFonts w:asciiTheme="majorBidi" w:hAnsiTheme="majorBidi" w:cstheme="majorBidi"/>
        </w:rPr>
        <w:t xml:space="preserve">encapsulates secondary decay channels, including double-layer effects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DL</m:t>
            </m:r>
          </m:sub>
        </m:sSub>
      </m:oMath>
      <w:r w:rsidR="00A8330D" w:rsidRPr="00C028F0">
        <w:rPr>
          <w:rFonts w:asciiTheme="majorBidi" w:hAnsiTheme="majorBidi" w:cstheme="majorBidi"/>
        </w:rPr>
        <w:t xml:space="preserve">, </w:t>
      </w:r>
      <w:r w:rsidR="004A35F3" w:rsidRPr="00C028F0">
        <w:rPr>
          <w:rFonts w:asciiTheme="majorBidi" w:hAnsiTheme="majorBidi" w:cstheme="majorBidi"/>
        </w:rPr>
        <w:t xml:space="preserve">mass transport limitations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mass</m:t>
            </m:r>
          </m:sub>
        </m:sSub>
      </m:oMath>
      <w:r w:rsidR="00A8330D" w:rsidRPr="00C028F0">
        <w:rPr>
          <w:rFonts w:asciiTheme="majorBidi" w:hAnsiTheme="majorBidi" w:cstheme="majorBidi"/>
        </w:rPr>
        <w:t xml:space="preserve"> , </w:t>
      </w:r>
      <w:r w:rsidR="004A35F3" w:rsidRPr="00C028F0">
        <w:rPr>
          <w:rFonts w:asciiTheme="majorBidi" w:hAnsiTheme="majorBidi" w:cstheme="majorBidi"/>
        </w:rPr>
        <w:t>and non-specific adsorption or surface passivation effects</w:t>
      </w:r>
      <w:r w:rsidR="005959A3" w:rsidRPr="00C028F0">
        <w:rPr>
          <w:rFonts w:ascii="Cambria Math" w:hAnsi="Cambria Math"/>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ads</m:t>
            </m:r>
          </m:sub>
        </m:sSub>
      </m:oMath>
      <w:r w:rsidR="004A35F3" w:rsidRPr="00C028F0">
        <w:rPr>
          <w:rFonts w:asciiTheme="majorBidi" w:hAnsiTheme="majorBidi" w:cstheme="majorBidi"/>
        </w:rPr>
        <w:t>.</w:t>
      </w:r>
      <w:r w:rsidR="00A021F4" w:rsidRPr="00C028F0">
        <w:rPr>
          <w:rFonts w:asciiTheme="majorBidi" w:hAnsiTheme="majorBidi" w:cstheme="majorBidi"/>
        </w:rPr>
        <w:t xml:space="preserve"> </w:t>
      </w:r>
      <w:r w:rsidR="005959A3" w:rsidRPr="00C028F0">
        <w:rPr>
          <w:rFonts w:asciiTheme="majorBidi" w:hAnsiTheme="majorBidi" w:cstheme="majorBidi"/>
        </w:rPr>
        <w:t>Therefore,</w:t>
      </w:r>
      <w:r w:rsidR="00E90A55" w:rsidRPr="00C028F0">
        <w:rPr>
          <w:rFonts w:asciiTheme="majorBidi" w:hAnsiTheme="majorBidi" w:cstheme="majorBidi"/>
        </w:rPr>
        <w:t xml:space="preserve"> the first term</w:t>
      </w:r>
      <w:r w:rsidR="006F52D1" w:rsidRPr="00C028F0">
        <w:rPr>
          <w:rFonts w:asciiTheme="majorBidi" w:hAnsiTheme="majorBidi" w:cstheme="majorBidi"/>
        </w:rPr>
        <w:t xml:space="preserve"> </w:t>
      </w:r>
      <m:oMath>
        <m:r>
          <m:rPr>
            <m:sty m:val="p"/>
          </m:rPr>
          <w:rPr>
            <w:rFonts w:ascii="Cambria Math" w:hAnsi="Cambria Math" w:cstheme="majorBidi"/>
          </w:rPr>
          <m:t>exp</m:t>
        </m:r>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sty m:val="p"/>
              </m:rPr>
              <w:rPr>
                <w:rFonts w:ascii="Cambria Math" w:hAnsi="Cambria Math" w:cstheme="majorBidi"/>
              </w:rPr>
              <m:t>et</m:t>
            </m:r>
          </m:sub>
        </m:sSub>
        <m:r>
          <m:rPr>
            <m:sty m:val="p"/>
          </m:rPr>
          <w:rPr>
            <w:rFonts w:ascii="Cambria Math" w:hAnsi="Cambria Math" w:cstheme="majorBidi"/>
          </w:rPr>
          <m:t>/</m:t>
        </m:r>
        <m:r>
          <w:rPr>
            <w:rFonts w:ascii="Cambria Math" w:hAnsi="Cambria Math" w:cstheme="majorBidi"/>
          </w:rPr>
          <m:t>(2f))</m:t>
        </m:r>
      </m:oMath>
      <w:r w:rsidR="00E90A55" w:rsidRPr="00C028F0">
        <w:rPr>
          <w:rFonts w:asciiTheme="majorBidi" w:hAnsiTheme="majorBidi" w:cstheme="majorBidi"/>
        </w:rPr>
        <w:t xml:space="preserve"> , represents the attenuation of the current due to finite electron transfer rates—a phenomenon well described in the context of tunnelling-limited kinetics and consistent with Marcus-type behaviour, where faster square-wave cycles </w:t>
      </w:r>
      <w:r w:rsidR="00E90A55" w:rsidRPr="00C028F0">
        <w:rPr>
          <w:rFonts w:asciiTheme="majorBidi" w:hAnsiTheme="majorBidi" w:cstheme="majorBidi"/>
        </w:rPr>
        <w:lastRenderedPageBreak/>
        <w:t>diminish the likelihood of successful redox events</w:t>
      </w:r>
      <w:r w:rsidRPr="00C028F0">
        <w:rPr>
          <w:rFonts w:asciiTheme="majorBidi" w:hAnsiTheme="majorBidi" w:cstheme="majorBidi"/>
        </w:rPr>
        <w:t xml:space="preserve">, and </w:t>
      </w:r>
      <m:oMath>
        <m:func>
          <m:funcPr>
            <m:ctrlPr>
              <w:rPr>
                <w:rFonts w:ascii="Cambria Math" w:hAnsi="Cambria Math" w:cstheme="majorBidi"/>
                <w:i/>
              </w:rPr>
            </m:ctrlPr>
          </m:funcPr>
          <m:fName>
            <m:r>
              <m:rPr>
                <m:sty m:val="p"/>
              </m:rPr>
              <w:rPr>
                <w:rFonts w:ascii="Cambria Math" w:hAnsi="Cambria Math" w:cstheme="majorBidi"/>
              </w:rPr>
              <m:t>exp</m:t>
            </m:r>
            <m:ctrlPr>
              <w:rPr>
                <w:rFonts w:ascii="Cambria Math" w:hAnsi="Cambria Math" w:cstheme="majorBidi"/>
              </w:rPr>
            </m:ctrlPr>
          </m:fName>
          <m:e>
            <m:d>
              <m:dPr>
                <m:ctrlPr>
                  <w:rPr>
                    <w:rFonts w:ascii="Cambria Math" w:hAnsi="Cambria Math" w:cstheme="majorBidi"/>
                    <w:i/>
                  </w:rPr>
                </m:ctrlPr>
              </m:dPr>
              <m:e>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ctrlPr>
                      <w:rPr>
                        <w:rFonts w:ascii="Cambria Math" w:hAnsi="Cambria Math" w:cstheme="majorBidi"/>
                        <w:i/>
                      </w:rPr>
                    </m:ctrlP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conf</m:t>
                        </m:r>
                      </m:sub>
                    </m:sSub>
                  </m:den>
                </m:f>
              </m:e>
            </m:d>
          </m:e>
        </m:func>
        <m:r>
          <w:rPr>
            <w:rFonts w:ascii="Cambria Math" w:hAnsi="Cambria Math" w:cstheme="majorBidi"/>
          </w:rPr>
          <m:t xml:space="preserve">. </m:t>
        </m:r>
        <m:r>
          <m:rPr>
            <m:sty m:val="p"/>
          </m:rPr>
          <w:rPr>
            <w:rFonts w:ascii="Cambria Math" w:hAnsi="Cambria Math" w:cstheme="majorBidi"/>
          </w:rPr>
          <m:t>exp</m:t>
        </m:r>
        <m:r>
          <w:rPr>
            <w:rFonts w:ascii="Cambria Math" w:hAnsi="Cambria Math" w:cstheme="majorBidi"/>
          </w:rPr>
          <m:t>⁡(-f</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others</m:t>
            </m:r>
          </m:sub>
        </m:sSub>
        <m:r>
          <w:rPr>
            <w:rFonts w:ascii="Cambria Math" w:hAnsi="Cambria Math" w:cstheme="majorBidi"/>
          </w:rPr>
          <m:t>)</m:t>
        </m:r>
      </m:oMath>
      <w:r w:rsidRPr="00C028F0">
        <w:rPr>
          <w:rFonts w:asciiTheme="majorBidi" w:hAnsiTheme="majorBidi" w:cstheme="majorBidi"/>
        </w:rPr>
        <w:t xml:space="preserve">lumps together phenomena such as </w:t>
      </w:r>
      <w:r w:rsidR="007B122E" w:rsidRPr="00C028F0">
        <w:rPr>
          <w:rFonts w:asciiTheme="majorBidi" w:hAnsiTheme="majorBidi" w:cstheme="majorBidi"/>
        </w:rPr>
        <w:t>conformational gating</w:t>
      </w:r>
      <w:r w:rsidR="00B93B40" w:rsidRPr="00C028F0">
        <w:rPr>
          <w:rFonts w:asciiTheme="majorBidi" w:hAnsiTheme="majorBidi" w:cstheme="majorBidi"/>
        </w:rPr>
        <w:t xml:space="preserve"> and residual non-</w:t>
      </w:r>
      <w:proofErr w:type="spellStart"/>
      <w:r w:rsidR="00B93B40" w:rsidRPr="00C028F0">
        <w:rPr>
          <w:rFonts w:asciiTheme="majorBidi" w:hAnsiTheme="majorBidi" w:cstheme="majorBidi"/>
        </w:rPr>
        <w:t>idealities</w:t>
      </w:r>
      <w:proofErr w:type="spellEnd"/>
      <w:r w:rsidR="00B93B40" w:rsidRPr="00C028F0">
        <w:rPr>
          <w:rFonts w:asciiTheme="majorBidi" w:hAnsiTheme="majorBidi" w:cstheme="majorBidi"/>
        </w:rPr>
        <w:t xml:space="preserve"> </w:t>
      </w:r>
      <w:r w:rsidR="00DD13F0" w:rsidRPr="00C028F0">
        <w:rPr>
          <w:rFonts w:asciiTheme="majorBidi" w:hAnsiTheme="majorBidi" w:cstheme="majorBidi"/>
        </w:rPr>
        <w:t xml:space="preserve">such as </w:t>
      </w:r>
      <w:r w:rsidRPr="00C028F0">
        <w:rPr>
          <w:rFonts w:asciiTheme="majorBidi" w:hAnsiTheme="majorBidi" w:cstheme="majorBidi"/>
        </w:rPr>
        <w:t xml:space="preserve">double‐layer charging, mass transport, and </w:t>
      </w:r>
      <w:r w:rsidR="007B122E" w:rsidRPr="00C028F0">
        <w:rPr>
          <w:rFonts w:asciiTheme="majorBidi" w:hAnsiTheme="majorBidi" w:cstheme="majorBidi"/>
        </w:rPr>
        <w:t>adsorption/passivation effects</w:t>
      </w:r>
      <w:r w:rsidR="00DD13F0" w:rsidRPr="00C028F0">
        <w:rPr>
          <w:rFonts w:asciiTheme="majorBidi" w:hAnsiTheme="majorBidi" w:cstheme="majorBidi"/>
        </w:rPr>
        <w:t xml:space="preserve"> grouped under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others</m:t>
            </m:r>
          </m:sub>
        </m:sSub>
      </m:oMath>
      <w:r w:rsidR="002A1374" w:rsidRPr="00C028F0">
        <w:rPr>
          <w:rFonts w:asciiTheme="majorBidi" w:hAnsiTheme="majorBidi" w:cstheme="majorBidi"/>
        </w:rPr>
        <w:t>.</w:t>
      </w:r>
    </w:p>
    <w:p w14:paraId="611D0119" w14:textId="58E9B34B" w:rsidR="0089235A" w:rsidRPr="00C028F0" w:rsidRDefault="00865C77" w:rsidP="00D06727">
      <w:pPr>
        <w:spacing w:line="276" w:lineRule="auto"/>
        <w:jc w:val="both"/>
        <w:rPr>
          <w:rFonts w:asciiTheme="majorBidi" w:hAnsiTheme="majorBidi" w:cstheme="majorBidi"/>
        </w:rPr>
      </w:pPr>
      <w:r w:rsidRPr="00C028F0">
        <w:rPr>
          <w:rFonts w:asciiTheme="majorBidi" w:hAnsiTheme="majorBidi" w:cstheme="majorBidi"/>
        </w:rPr>
        <w:t xml:space="preserve">Practically, a distinct set of parameters </w:t>
      </w:r>
      <m:oMath>
        <m:d>
          <m:dPr>
            <m:begChr m:val="{"/>
            <m:endChr m:val="}"/>
            <m:ctrlPr>
              <w:rPr>
                <w:rFonts w:ascii="Cambria Math" w:hAnsi="Cambria Math" w:cstheme="majorBidi"/>
                <w:i/>
              </w:rPr>
            </m:ctrlPr>
          </m:dPr>
          <m:e>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0</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sty m:val="p"/>
                  </m:rPr>
                  <w:rPr>
                    <w:rFonts w:ascii="Cambria Math" w:hAnsi="Cambria Math" w:cstheme="majorBidi"/>
                  </w:rPr>
                  <m:t>et</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conf</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others</m:t>
                </m:r>
              </m:sub>
            </m:sSub>
          </m:e>
        </m:d>
      </m:oMath>
      <w:r w:rsidR="00161231" w:rsidRPr="00C028F0">
        <w:rPr>
          <w:rFonts w:asciiTheme="majorBidi" w:hAnsiTheme="majorBidi" w:cstheme="majorBidi"/>
        </w:rPr>
        <w:t xml:space="preserve"> </w:t>
      </w:r>
      <w:r w:rsidR="0089235A" w:rsidRPr="00C028F0">
        <w:rPr>
          <w:rFonts w:asciiTheme="majorBidi" w:hAnsiTheme="majorBidi" w:cstheme="majorBidi"/>
        </w:rPr>
        <w:t xml:space="preserve">can be fitted for each aptamer state (unbound vs. bound). This parameterisation permits the reconstruction of two characteristic frequency-sweep curves—one corresponding to the absence of target and one to saturation with target. These curves may be generated either experimentally or via simulation and subsequently used to calibrate the model. In the low-frequency limit </w:t>
      </w:r>
      <m:oMath>
        <m:r>
          <w:rPr>
            <w:rFonts w:ascii="Cambria Math" w:hAnsi="Cambria Math" w:cstheme="majorBidi"/>
          </w:rPr>
          <m:t>f≪</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others</m:t>
            </m:r>
          </m:sub>
        </m:sSub>
      </m:oMath>
      <w:r w:rsidR="0089235A" w:rsidRPr="00C028F0">
        <w:rPr>
          <w:rFonts w:asciiTheme="majorBidi" w:hAnsiTheme="majorBidi" w:cstheme="majorBidi"/>
        </w:rPr>
        <w:t xml:space="preserve"> all exponential terms asymptotically approach unity:</w:t>
      </w:r>
    </w:p>
    <w:p w14:paraId="508F01CB" w14:textId="5F19E35D" w:rsidR="0089235A" w:rsidRPr="00C028F0" w:rsidRDefault="00000000" w:rsidP="00D06727">
      <w:pPr>
        <w:spacing w:line="276" w:lineRule="auto"/>
        <w:jc w:val="both"/>
        <w:rPr>
          <w:rFonts w:asciiTheme="majorBidi" w:hAnsiTheme="majorBidi" w:cstheme="majorBidi"/>
        </w:rPr>
      </w:pPr>
      <m:oMathPara>
        <m:oMath>
          <m:limLow>
            <m:limLowPr>
              <m:ctrlPr>
                <w:rPr>
                  <w:rFonts w:ascii="Cambria Math" w:hAnsi="Cambria Math" w:cstheme="majorBidi"/>
                </w:rPr>
              </m:ctrlPr>
            </m:limLowPr>
            <m:e>
              <m:r>
                <m:rPr>
                  <m:sty m:val="p"/>
                </m:rPr>
                <w:rPr>
                  <w:rFonts w:ascii="Cambria Math" w:hAnsi="Cambria Math" w:cstheme="majorBidi"/>
                </w:rPr>
                <m:t>lim</m:t>
              </m:r>
              <m:r>
                <w:rPr>
                  <w:rFonts w:ascii="Cambria Math" w:hAnsi="Cambria Math" w:cstheme="majorBidi"/>
                </w:rPr>
                <m:t>⁡</m:t>
              </m:r>
            </m:e>
            <m:lim>
              <m:r>
                <w:rPr>
                  <w:rFonts w:ascii="Cambria Math" w:hAnsi="Cambria Math" w:cstheme="majorBidi"/>
                </w:rPr>
                <m:t>f→0</m:t>
              </m:r>
            </m:lim>
          </m:limLow>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net</m:t>
              </m:r>
            </m:sub>
          </m:sSub>
          <m:r>
            <w:rPr>
              <w:rFonts w:ascii="Cambria Math" w:hAnsi="Cambria Math" w:cstheme="majorBidi"/>
            </w:rPr>
            <m:t>(f)=</m:t>
          </m:r>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0</m:t>
              </m:r>
            </m:sub>
          </m:sSub>
        </m:oMath>
      </m:oMathPara>
    </w:p>
    <w:p w14:paraId="733A93EC" w14:textId="2454B6C5" w:rsidR="003A78EC" w:rsidRPr="003A78EC" w:rsidRDefault="003A78EC" w:rsidP="00AE1AFF">
      <w:pPr>
        <w:spacing w:line="276" w:lineRule="auto"/>
        <w:jc w:val="both"/>
        <w:rPr>
          <w:rFonts w:asciiTheme="majorBidi" w:hAnsiTheme="majorBidi" w:cstheme="majorBidi"/>
        </w:rPr>
      </w:pPr>
      <w:r w:rsidRPr="003A78EC">
        <w:rPr>
          <w:rFonts w:asciiTheme="majorBidi" w:hAnsiTheme="majorBidi" w:cstheme="majorBidi"/>
        </w:rPr>
        <w:t>Under such conditions, the sensor response approaches a steady-state amplitude equivalent to the equilibrium-bound value, reaffirming the equivalence between time-resolved and equilibrium descriptions at sufficiently slow interrogation rates. Conversely, at elevated frequencies, the model predicts a marked attenuation of the measured signal, capturing the experimentally observed drop in amplitude that results from kinetic constraints and interfacial limitations.</w:t>
      </w:r>
      <w:r w:rsidR="00235A61" w:rsidRPr="00C028F0">
        <w:rPr>
          <w:rFonts w:asciiTheme="majorBidi" w:hAnsiTheme="majorBidi" w:cstheme="majorBidi"/>
        </w:rPr>
        <w:t xml:space="preserve"> </w:t>
      </w:r>
      <w:r w:rsidRPr="003A78EC">
        <w:rPr>
          <w:rFonts w:asciiTheme="majorBidi" w:hAnsiTheme="majorBidi" w:cstheme="majorBidi"/>
        </w:rPr>
        <w:t>This approach has been employed with considerable success in the interpretation of E-AB sensor data, particularly in the works of Plaxco and colleagues</w:t>
      </w:r>
      <w:r w:rsidR="00EE7A32" w:rsidRPr="00C028F0">
        <w:rPr>
          <w:rFonts w:asciiTheme="majorBidi" w:hAnsiTheme="majorBidi" w:cstheme="majorBidi"/>
        </w:rPr>
        <w:t xml:space="preserve"> [</w:t>
      </w:r>
      <w:r w:rsidR="00EE7A32" w:rsidRPr="00C028F0">
        <w:rPr>
          <w:rFonts w:asciiTheme="majorBidi" w:hAnsiTheme="majorBidi" w:cstheme="majorBidi"/>
          <w:i/>
          <w:iCs/>
        </w:rPr>
        <w:t xml:space="preserve">White et al. </w:t>
      </w:r>
      <w:r w:rsidR="00AE1AFF" w:rsidRPr="00C028F0">
        <w:rPr>
          <w:rFonts w:asciiTheme="majorBidi" w:hAnsiTheme="majorBidi" w:cstheme="majorBidi"/>
          <w:i/>
          <w:iCs/>
        </w:rPr>
        <w:t>Langmuir 2008, 24 (18), 10513–10518</w:t>
      </w:r>
      <w:r w:rsidR="00EE7A32" w:rsidRPr="00C028F0">
        <w:rPr>
          <w:rFonts w:asciiTheme="majorBidi" w:hAnsiTheme="majorBidi" w:cstheme="majorBidi"/>
        </w:rPr>
        <w:t>]</w:t>
      </w:r>
      <w:r w:rsidRPr="003A78EC">
        <w:rPr>
          <w:rFonts w:asciiTheme="majorBidi" w:hAnsiTheme="majorBidi" w:cstheme="majorBidi"/>
        </w:rPr>
        <w:t>, where frequency-domain analysis enables differentiation between binding-induced and artefactual signal changes</w:t>
      </w:r>
      <w:r w:rsidR="00E96CDA" w:rsidRPr="00C028F0">
        <w:rPr>
          <w:rFonts w:asciiTheme="majorBidi" w:hAnsiTheme="majorBidi" w:cstheme="majorBidi"/>
        </w:rPr>
        <w:t xml:space="preserve">. </w:t>
      </w:r>
      <w:r w:rsidRPr="003A78EC">
        <w:rPr>
          <w:rFonts w:asciiTheme="majorBidi" w:hAnsiTheme="majorBidi" w:cstheme="majorBidi"/>
        </w:rPr>
        <w:t xml:space="preserve">Furthermore, the model facilitates comparison between different aptamer constructs, redox labels, or electrode configurations by extracting physically interpretable parameters such as </w:t>
      </w:r>
      <m:oMath>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sub>
        </m:sSub>
      </m:oMath>
      <w:r w:rsidR="00235A61" w:rsidRPr="00C028F0">
        <w:rPr>
          <w:rFonts w:asciiTheme="majorBidi" w:hAnsiTheme="majorBidi" w:cstheme="majorBidi"/>
        </w:rPr>
        <w:t xml:space="preserve"> </w:t>
      </w:r>
      <w:r w:rsidRPr="003A78EC">
        <w:rPr>
          <w:rFonts w:asciiTheme="majorBidi" w:hAnsiTheme="majorBidi" w:cstheme="majorBidi"/>
        </w:rPr>
        <w:t xml:space="preserve">and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oMath>
      <w:r w:rsidR="00235A61" w:rsidRPr="00C028F0">
        <w:rPr>
          <w:rFonts w:asciiTheme="majorBidi" w:hAnsiTheme="majorBidi" w:cstheme="majorBidi"/>
        </w:rPr>
        <w:t xml:space="preserve"> .</w:t>
      </w:r>
    </w:p>
    <w:p w14:paraId="4DF7839A" w14:textId="77777777" w:rsidR="0055165D" w:rsidRPr="0055165D" w:rsidRDefault="0055165D" w:rsidP="00D06727">
      <w:pPr>
        <w:spacing w:line="276" w:lineRule="auto"/>
        <w:jc w:val="both"/>
        <w:rPr>
          <w:rFonts w:asciiTheme="majorBidi" w:hAnsiTheme="majorBidi" w:cstheme="majorBidi"/>
        </w:rPr>
      </w:pPr>
      <w:r w:rsidRPr="0055165D">
        <w:rPr>
          <w:rFonts w:asciiTheme="majorBidi" w:hAnsiTheme="majorBidi" w:cstheme="majorBidi"/>
        </w:rPr>
        <w:t>While the phenomenological multi-exponential model introduced above provides a convenient and computationally tractable description of the frequency dependence of E-AB sensor signals, it does not explicitly incorporate the electrochemical kinetics that underlie electron transfer processes. As such, its parameters—though empirically useful—lack direct physical interpretation in terms of well-established electrochemical theory. To address this, we now extend the simulation framework using a more mechanistically grounded model based on the classical Butler–Volmer formalism.</w:t>
      </w:r>
    </w:p>
    <w:p w14:paraId="2B8082FD" w14:textId="691D2E60" w:rsidR="0055165D" w:rsidRPr="0055165D" w:rsidRDefault="0055165D" w:rsidP="00D06727">
      <w:pPr>
        <w:spacing w:line="276" w:lineRule="auto"/>
        <w:jc w:val="both"/>
        <w:rPr>
          <w:rFonts w:asciiTheme="majorBidi" w:hAnsiTheme="majorBidi" w:cstheme="majorBidi"/>
        </w:rPr>
      </w:pPr>
      <w:r w:rsidRPr="0055165D">
        <w:rPr>
          <w:rFonts w:asciiTheme="majorBidi" w:hAnsiTheme="majorBidi" w:cstheme="majorBidi"/>
        </w:rPr>
        <w:t>The Butler–Volmer equation serves as the cornerstone of macroscopic electrochemical kinetics, describing how current density (</w:t>
      </w:r>
      <m:oMath>
        <m:r>
          <w:rPr>
            <w:rFonts w:ascii="Cambria Math" w:hAnsi="Cambria Math" w:cstheme="majorBidi"/>
          </w:rPr>
          <m:t>j</m:t>
        </m:r>
      </m:oMath>
      <w:r w:rsidRPr="0055165D">
        <w:rPr>
          <w:rFonts w:asciiTheme="majorBidi" w:hAnsiTheme="majorBidi" w:cstheme="majorBidi"/>
        </w:rPr>
        <w:t>) evolves with applied overpotential (</w:t>
      </w:r>
      <m:oMath>
        <m:r>
          <w:rPr>
            <w:rFonts w:ascii="Cambria Math" w:hAnsi="Cambria Math" w:cstheme="majorBidi"/>
          </w:rPr>
          <m:t>η</m:t>
        </m:r>
      </m:oMath>
      <w:r w:rsidRPr="0055165D">
        <w:rPr>
          <w:rFonts w:asciiTheme="majorBidi" w:hAnsiTheme="majorBidi" w:cstheme="majorBidi"/>
        </w:rPr>
        <w:t>) by accounting for both forward and reverse electron transfer reactions. It is given by:</w:t>
      </w:r>
    </w:p>
    <w:p w14:paraId="074CE3D8" w14:textId="2157E5F2" w:rsidR="001E2DB6" w:rsidRPr="00C028F0"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j</m:t>
              </m:r>
            </m:e>
            <m:sub>
              <m:r>
                <m:rPr>
                  <m:sty m:val="p"/>
                </m:rPr>
                <w:rPr>
                  <w:rFonts w:ascii="Cambria Math" w:hAnsi="Cambria Math" w:cstheme="majorBidi"/>
                </w:rPr>
                <m:t>BV</m:t>
              </m:r>
            </m:sub>
          </m:sSub>
          <m:r>
            <w:rPr>
              <w:rFonts w:ascii="Cambria Math" w:hAnsi="Cambria Math" w:cstheme="majorBidi"/>
            </w:rPr>
            <m:t>(η)</m:t>
          </m:r>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j</m:t>
              </m:r>
            </m:e>
            <m:sub>
              <m:r>
                <w:rPr>
                  <w:rFonts w:ascii="Cambria Math" w:hAnsi="Cambria Math" w:cstheme="majorBidi"/>
                </w:rPr>
                <m:t>0</m:t>
              </m:r>
            </m:sub>
          </m:sSub>
          <m:r>
            <w:rPr>
              <w:rFonts w:ascii="Cambria Math" w:hAnsi="Cambria Math" w:cstheme="majorBidi"/>
            </w:rPr>
            <m:t>[</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(1-α)</m:t>
              </m:r>
              <m:r>
                <m:rPr>
                  <m:nor/>
                </m:rPr>
                <w:rPr>
                  <w:rFonts w:asciiTheme="majorBidi" w:hAnsiTheme="majorBidi" w:cstheme="majorBidi"/>
                </w:rPr>
                <m:t> </m:t>
              </m:r>
              <m:r>
                <w:rPr>
                  <w:rFonts w:ascii="Cambria Math" w:hAnsi="Cambria Math" w:cstheme="majorBidi"/>
                </w:rPr>
                <m:t>F</m:t>
              </m:r>
              <m:r>
                <m:rPr>
                  <m:nor/>
                </m:rPr>
                <w:rPr>
                  <w:rFonts w:asciiTheme="majorBidi" w:hAnsiTheme="majorBidi" w:cstheme="majorBidi"/>
                </w:rPr>
                <m:t> </m:t>
              </m:r>
              <m:r>
                <w:rPr>
                  <w:rFonts w:ascii="Cambria Math" w:hAnsi="Cambria Math" w:cstheme="majorBidi"/>
                </w:rPr>
                <m:t>η</m:t>
              </m:r>
            </m:num>
            <m:den>
              <m:r>
                <w:rPr>
                  <w:rFonts w:ascii="Cambria Math" w:hAnsi="Cambria Math" w:cstheme="majorBidi"/>
                </w:rPr>
                <m:t>RT</m:t>
              </m:r>
            </m:den>
          </m:f>
          <m:r>
            <w:rPr>
              <w:rFonts w:ascii="Cambria Math" w:hAnsi="Cambria Math" w:cstheme="majorBidi"/>
            </w:rPr>
            <m:t>)</m:t>
          </m:r>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α</m:t>
              </m:r>
              <m:r>
                <m:rPr>
                  <m:nor/>
                </m:rPr>
                <w:rPr>
                  <w:rFonts w:asciiTheme="majorBidi" w:hAnsiTheme="majorBidi" w:cstheme="majorBidi"/>
                </w:rPr>
                <m:t> </m:t>
              </m:r>
              <m:r>
                <w:rPr>
                  <w:rFonts w:ascii="Cambria Math" w:hAnsi="Cambria Math" w:cstheme="majorBidi"/>
                </w:rPr>
                <m:t>F</m:t>
              </m:r>
              <m:r>
                <m:rPr>
                  <m:nor/>
                </m:rPr>
                <w:rPr>
                  <w:rFonts w:asciiTheme="majorBidi" w:hAnsiTheme="majorBidi" w:cstheme="majorBidi"/>
                </w:rPr>
                <m:t> </m:t>
              </m:r>
              <m:r>
                <w:rPr>
                  <w:rFonts w:ascii="Cambria Math" w:hAnsi="Cambria Math" w:cstheme="majorBidi"/>
                </w:rPr>
                <m:t>η</m:t>
              </m:r>
            </m:num>
            <m:den>
              <m:r>
                <w:rPr>
                  <w:rFonts w:ascii="Cambria Math" w:hAnsi="Cambria Math" w:cstheme="majorBidi"/>
                </w:rPr>
                <m:t>RT</m:t>
              </m:r>
            </m:den>
          </m:f>
          <m:r>
            <w:rPr>
              <w:rFonts w:ascii="Cambria Math" w:hAnsi="Cambria Math" w:cstheme="majorBidi"/>
            </w:rPr>
            <m:t>)],</m:t>
          </m:r>
        </m:oMath>
      </m:oMathPara>
    </w:p>
    <w:p w14:paraId="2E4FCE3E" w14:textId="6FEFF1AC" w:rsidR="001E2DB6" w:rsidRPr="00C028F0" w:rsidRDefault="00A26B67" w:rsidP="00D06727">
      <w:pPr>
        <w:spacing w:line="276" w:lineRule="auto"/>
        <w:jc w:val="both"/>
        <w:rPr>
          <w:rFonts w:asciiTheme="majorBidi" w:hAnsiTheme="majorBidi" w:cstheme="majorBidi"/>
        </w:rPr>
      </w:pPr>
      <w:r w:rsidRPr="00C028F0">
        <w:rPr>
          <w:rFonts w:asciiTheme="majorBidi" w:hAnsiTheme="majorBidi" w:cstheme="majorBidi"/>
        </w:rPr>
        <w:t xml:space="preserve">where </w:t>
      </w:r>
      <m:oMath>
        <m:sSub>
          <m:sSubPr>
            <m:ctrlPr>
              <w:rPr>
                <w:rFonts w:ascii="Cambria Math" w:hAnsi="Cambria Math" w:cstheme="majorBidi"/>
              </w:rPr>
            </m:ctrlPr>
          </m:sSubPr>
          <m:e>
            <m:r>
              <w:rPr>
                <w:rFonts w:ascii="Cambria Math" w:hAnsi="Cambria Math" w:cstheme="majorBidi"/>
              </w:rPr>
              <m:t>j</m:t>
            </m:r>
          </m:e>
          <m:sub>
            <m:r>
              <w:rPr>
                <w:rFonts w:ascii="Cambria Math" w:hAnsi="Cambria Math" w:cstheme="majorBidi"/>
              </w:rPr>
              <m:t>0</m:t>
            </m:r>
          </m:sub>
        </m:sSub>
      </m:oMath>
      <w:r w:rsidRPr="00C028F0">
        <w:rPr>
          <w:rFonts w:asciiTheme="majorBidi" w:hAnsiTheme="majorBidi" w:cstheme="majorBidi"/>
        </w:rPr>
        <w:t>is the exchange current density</w:t>
      </w:r>
      <w:r w:rsidR="007A4107" w:rsidRPr="00C028F0">
        <w:rPr>
          <w:rFonts w:asciiTheme="majorBidi" w:hAnsiTheme="majorBidi" w:cstheme="majorBidi"/>
        </w:rPr>
        <w:t xml:space="preserve"> proportional to the intrinsic electron transfer rate and the redox-active surface area</w:t>
      </w:r>
      <w:r w:rsidRPr="00C028F0">
        <w:rPr>
          <w:rFonts w:asciiTheme="majorBidi" w:hAnsiTheme="majorBidi" w:cstheme="majorBidi"/>
        </w:rPr>
        <w:t xml:space="preserve">, α </w:t>
      </w:r>
      <w:r w:rsidR="007A4107" w:rsidRPr="00C028F0">
        <w:rPr>
          <w:rFonts w:asciiTheme="majorBidi" w:hAnsiTheme="majorBidi" w:cstheme="majorBidi"/>
        </w:rPr>
        <w:t xml:space="preserve">is </w:t>
      </w:r>
      <w:r w:rsidRPr="00C028F0">
        <w:rPr>
          <w:rFonts w:asciiTheme="majorBidi" w:hAnsiTheme="majorBidi" w:cstheme="majorBidi"/>
        </w:rPr>
        <w:t>the charge‐transfer coefficient</w:t>
      </w:r>
      <w:r w:rsidR="007A4107" w:rsidRPr="00C028F0">
        <w:rPr>
          <w:rFonts w:asciiTheme="majorBidi" w:hAnsiTheme="majorBidi" w:cstheme="majorBidi"/>
        </w:rPr>
        <w:t xml:space="preserve"> typically ranging from 0.3 to 0.7 depending on the symmetry of the energy barrier</w:t>
      </w:r>
      <w:r w:rsidRPr="00C028F0">
        <w:rPr>
          <w:rFonts w:asciiTheme="majorBidi" w:hAnsiTheme="majorBidi" w:cstheme="majorBidi"/>
        </w:rPr>
        <w:t>,</w:t>
      </w:r>
      <w:r w:rsidR="009237DB" w:rsidRPr="00C028F0">
        <w:rPr>
          <w:rFonts w:asciiTheme="majorBidi" w:hAnsiTheme="majorBidi" w:cstheme="majorBidi"/>
        </w:rPr>
        <w:t xml:space="preserve"> </w:t>
      </w:r>
      <m:oMath>
        <m:r>
          <w:rPr>
            <w:rFonts w:ascii="Cambria Math" w:hAnsi="Cambria Math" w:cstheme="majorBidi"/>
          </w:rPr>
          <m:t>F</m:t>
        </m:r>
      </m:oMath>
      <w:r w:rsidR="009237DB" w:rsidRPr="00C028F0">
        <w:rPr>
          <w:rFonts w:asciiTheme="majorBidi" w:hAnsiTheme="majorBidi" w:cstheme="majorBidi"/>
        </w:rPr>
        <w:t xml:space="preserve"> is Faraday’s constant, </w:t>
      </w:r>
      <m:oMath>
        <m:r>
          <w:rPr>
            <w:rFonts w:ascii="Cambria Math" w:hAnsi="Cambria Math" w:cstheme="majorBidi"/>
          </w:rPr>
          <m:t>R</m:t>
        </m:r>
        <m:r>
          <w:rPr>
            <w:rFonts w:ascii="Cambria Math" w:hAnsiTheme="majorBidi" w:cstheme="majorBidi"/>
          </w:rPr>
          <m:t xml:space="preserve"> </m:t>
        </m:r>
      </m:oMath>
      <w:r w:rsidR="00D713B4" w:rsidRPr="00C028F0">
        <w:rPr>
          <w:rFonts w:asciiTheme="majorBidi" w:hAnsiTheme="majorBidi" w:cstheme="majorBidi"/>
        </w:rPr>
        <w:t xml:space="preserve">is the universal gas constant, </w:t>
      </w:r>
      <m:oMath>
        <m:r>
          <w:rPr>
            <w:rFonts w:ascii="Cambria Math" w:hAnsi="Cambria Math" w:cstheme="majorBidi"/>
          </w:rPr>
          <m:t>T</m:t>
        </m:r>
        <m:r>
          <w:rPr>
            <w:rFonts w:ascii="Cambria Math" w:hAnsiTheme="majorBidi" w:cstheme="majorBidi"/>
          </w:rPr>
          <m:t xml:space="preserve"> </m:t>
        </m:r>
      </m:oMath>
      <w:r w:rsidR="00D713B4" w:rsidRPr="00C028F0">
        <w:rPr>
          <w:rFonts w:asciiTheme="majorBidi" w:hAnsiTheme="majorBidi" w:cstheme="majorBidi"/>
        </w:rPr>
        <w:t>and is the absolute temperature. In this formulation</w:t>
      </w:r>
      <w:r w:rsidR="00DD5128" w:rsidRPr="00C028F0">
        <w:rPr>
          <w:rFonts w:asciiTheme="majorBidi" w:hAnsiTheme="majorBidi" w:cstheme="majorBidi"/>
        </w:rPr>
        <w:t xml:space="preserve">, </w:t>
      </w:r>
      <m:oMath>
        <m:r>
          <w:rPr>
            <w:rFonts w:ascii="Cambria Math" w:hAnsi="Cambria Math" w:cstheme="majorBidi"/>
          </w:rPr>
          <m:t>η</m:t>
        </m:r>
      </m:oMath>
      <w:r w:rsidR="00DD5128" w:rsidRPr="00C028F0">
        <w:rPr>
          <w:rFonts w:asciiTheme="majorBidi" w:hAnsiTheme="majorBidi" w:cstheme="majorBidi"/>
        </w:rPr>
        <w:t xml:space="preserve"> represents the overpotential—the difference between the applied potential and the redox potential of the label—and modulates the balance between oxidation and reduction processes. However, in SWV, the potential waveform is pulsed and rapidly alternating, and as such, a static overpotential is not appropriate.</w:t>
      </w:r>
      <w:r w:rsidRPr="00C028F0">
        <w:rPr>
          <w:rFonts w:asciiTheme="majorBidi" w:hAnsiTheme="majorBidi" w:cstheme="majorBidi"/>
        </w:rPr>
        <w:t xml:space="preserve"> To </w:t>
      </w:r>
      <w:r w:rsidR="00F6349A" w:rsidRPr="00C028F0">
        <w:rPr>
          <w:rFonts w:asciiTheme="majorBidi" w:hAnsiTheme="majorBidi" w:cstheme="majorBidi"/>
        </w:rPr>
        <w:t>emulate</w:t>
      </w:r>
      <w:r w:rsidRPr="00C028F0">
        <w:rPr>
          <w:rFonts w:asciiTheme="majorBidi" w:hAnsiTheme="majorBidi" w:cstheme="majorBidi"/>
        </w:rPr>
        <w:t xml:space="preserve"> the “rise‐then‐fall” </w:t>
      </w:r>
      <w:r w:rsidR="00F6349A" w:rsidRPr="00C028F0">
        <w:rPr>
          <w:rFonts w:asciiTheme="majorBidi" w:hAnsiTheme="majorBidi" w:cstheme="majorBidi"/>
        </w:rPr>
        <w:t xml:space="preserve">pattern observed in experimental SWV amplitude-versus-frequency plots, we introduce a frequency-dependent </w:t>
      </w:r>
      <w:r w:rsidR="00F6349A" w:rsidRPr="00C028F0">
        <w:rPr>
          <w:rFonts w:asciiTheme="majorBidi" w:hAnsiTheme="majorBidi" w:cstheme="majorBidi"/>
        </w:rPr>
        <w:lastRenderedPageBreak/>
        <w:t>effective overpotential</w:t>
      </w:r>
      <w:r w:rsidRPr="00C028F0">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η</m:t>
            </m:r>
          </m:e>
          <m:sub>
            <m:r>
              <m:rPr>
                <m:sty m:val="p"/>
              </m:rPr>
              <w:rPr>
                <w:rFonts w:ascii="Cambria Math" w:hAnsi="Cambria Math" w:cstheme="majorBidi"/>
              </w:rPr>
              <m:t>eff</m:t>
            </m:r>
          </m:sub>
        </m:sSub>
        <m:r>
          <w:rPr>
            <w:rFonts w:ascii="Cambria Math" w:hAnsi="Cambria Math" w:cstheme="majorBidi"/>
          </w:rPr>
          <m:t>(f)</m:t>
        </m:r>
      </m:oMath>
      <w:r w:rsidR="004E0C2F" w:rsidRPr="00C028F0">
        <w:rPr>
          <w:rFonts w:asciiTheme="majorBidi" w:hAnsiTheme="majorBidi" w:cstheme="majorBidi"/>
        </w:rPr>
        <w:t xml:space="preserve">, </w:t>
      </w:r>
      <w:r w:rsidR="00B66649" w:rsidRPr="00C028F0">
        <w:rPr>
          <w:rFonts w:asciiTheme="majorBidi" w:hAnsiTheme="majorBidi" w:cstheme="majorBidi"/>
        </w:rPr>
        <w:t>that captures how the average electrochemical driving force evolves with the timescale of the perturbation</w:t>
      </w:r>
      <w:r w:rsidR="00E12F3B" w:rsidRPr="00C028F0">
        <w:rPr>
          <w:rFonts w:asciiTheme="majorBidi" w:hAnsiTheme="majorBidi" w:cstheme="majorBidi"/>
        </w:rPr>
        <w:t>:</w:t>
      </w:r>
    </w:p>
    <w:p w14:paraId="5F070439" w14:textId="7CACFB6C" w:rsidR="00E12F3B" w:rsidRPr="00C028F0"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η</m:t>
              </m:r>
            </m:e>
            <m:sub>
              <m:r>
                <m:rPr>
                  <m:sty m:val="p"/>
                </m:rPr>
                <w:rPr>
                  <w:rFonts w:ascii="Cambria Math" w:hAnsi="Cambria Math" w:cstheme="majorBidi"/>
                </w:rPr>
                <m:t>eff</m:t>
              </m:r>
            </m:sub>
          </m:sSub>
          <m:r>
            <w:rPr>
              <w:rFonts w:ascii="Cambria Math" w:hAnsi="Cambria Math" w:cstheme="majorBidi"/>
            </w:rPr>
            <m:t>(f)</m:t>
          </m:r>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η</m:t>
              </m:r>
            </m:e>
            <m:sub>
              <m:r>
                <w:rPr>
                  <w:rFonts w:ascii="Cambria Math" w:hAnsi="Cambria Math" w:cstheme="majorBidi"/>
                </w:rPr>
                <m:t>0</m:t>
              </m:r>
            </m:sub>
          </m:sSub>
          <m:r>
            <m:rPr>
              <m:nor/>
            </m:rPr>
            <w:rPr>
              <w:rFonts w:asciiTheme="majorBidi" w:hAnsiTheme="majorBidi" w:cstheme="majorBidi"/>
            </w:rPr>
            <m:t> </m:t>
          </m:r>
          <m:r>
            <w:rPr>
              <w:rFonts w:ascii="Cambria Math" w:hAnsi="Cambria Math" w:cstheme="majorBidi"/>
            </w:rPr>
            <m:t>(1-</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rPr>
                  </m:ctrlPr>
                </m:sSubPr>
                <m:e>
                  <m:r>
                    <w:rPr>
                      <w:rFonts w:ascii="Cambria Math" w:hAnsi="Cambria Math" w:cstheme="majorBidi"/>
                    </w:rPr>
                    <m:t>k</m:t>
                  </m:r>
                </m:e>
                <m:sub>
                  <m:r>
                    <m:rPr>
                      <m:sty m:val="p"/>
                    </m:rPr>
                    <w:rPr>
                      <w:rFonts w:ascii="Cambria Math" w:hAnsi="Cambria Math" w:cstheme="majorBidi"/>
                    </w:rPr>
                    <m:t>freq</m:t>
                  </m:r>
                </m:sub>
              </m:sSub>
            </m:num>
            <m:den>
              <m:r>
                <w:rPr>
                  <w:rFonts w:ascii="Cambria Math" w:hAnsi="Cambria Math" w:cstheme="majorBidi"/>
                </w:rPr>
                <m:t>f</m:t>
              </m:r>
            </m:den>
          </m:f>
          <m:r>
            <w:rPr>
              <w:rFonts w:ascii="Cambria Math" w:hAnsi="Cambria Math" w:cstheme="majorBidi"/>
            </w:rPr>
            <m:t>)),</m:t>
          </m:r>
        </m:oMath>
      </m:oMathPara>
    </w:p>
    <w:p w14:paraId="40F79FC2" w14:textId="670F0F3F" w:rsidR="00B66649" w:rsidRPr="00B66649" w:rsidRDefault="00B66649" w:rsidP="00D06727">
      <w:pPr>
        <w:spacing w:line="276" w:lineRule="auto"/>
        <w:jc w:val="both"/>
        <w:rPr>
          <w:rFonts w:asciiTheme="majorBidi" w:hAnsiTheme="majorBidi" w:cstheme="majorBidi"/>
        </w:rPr>
      </w:pPr>
      <w:r w:rsidRPr="00B66649">
        <w:rPr>
          <w:rFonts w:asciiTheme="majorBidi" w:hAnsiTheme="majorBidi" w:cstheme="majorBidi"/>
        </w:rPr>
        <w:t xml:space="preserve">This empirical relationship ensures that at low frequencies </w:t>
      </w:r>
      <m:oMath>
        <m:r>
          <w:rPr>
            <w:rFonts w:ascii="Cambria Math" w:hAnsi="Cambria Math" w:cstheme="majorBidi"/>
          </w:rPr>
          <m:t>f≪</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freq</m:t>
            </m:r>
          </m:sub>
        </m:sSub>
      </m:oMath>
      <w:r w:rsidR="00C70493" w:rsidRPr="00C028F0">
        <w:rPr>
          <w:rFonts w:asciiTheme="majorBidi" w:hAnsiTheme="majorBidi" w:cstheme="majorBidi"/>
        </w:rPr>
        <w:t xml:space="preserve">, </w:t>
      </w:r>
      <w:r w:rsidRPr="00B66649">
        <w:rPr>
          <w:rFonts w:asciiTheme="majorBidi" w:hAnsiTheme="majorBidi" w:cstheme="majorBidi"/>
        </w:rPr>
        <w:t xml:space="preserve">the effective overpotential remains near zero, reflecting the fact that slow SWV perturbations allow the system to reach quasi-equilibrium at each potential step, minimising net current. As the frequency increases, </w:t>
      </w:r>
      <m:oMath>
        <m:sSub>
          <m:sSubPr>
            <m:ctrlPr>
              <w:rPr>
                <w:rFonts w:ascii="Cambria Math" w:hAnsi="Cambria Math" w:cstheme="majorBidi"/>
              </w:rPr>
            </m:ctrlPr>
          </m:sSubPr>
          <m:e>
            <m:r>
              <w:rPr>
                <w:rFonts w:ascii="Cambria Math" w:hAnsi="Cambria Math" w:cstheme="majorBidi"/>
              </w:rPr>
              <m:t>η</m:t>
            </m:r>
          </m:e>
          <m:sub>
            <m:r>
              <m:rPr>
                <m:nor/>
              </m:rPr>
              <w:rPr>
                <w:rFonts w:asciiTheme="majorBidi" w:hAnsiTheme="majorBidi" w:cstheme="majorBidi"/>
              </w:rPr>
              <m:t>eff</m:t>
            </m:r>
          </m:sub>
        </m:sSub>
      </m:oMath>
      <w:r w:rsidR="002111AA" w:rsidRPr="00C028F0">
        <w:rPr>
          <w:rFonts w:asciiTheme="majorBidi" w:hAnsiTheme="majorBidi" w:cstheme="majorBidi"/>
        </w:rPr>
        <w:t xml:space="preserve"> </w:t>
      </w:r>
      <w:r w:rsidRPr="00B66649">
        <w:rPr>
          <w:rFonts w:asciiTheme="majorBidi" w:hAnsiTheme="majorBidi" w:cstheme="majorBidi"/>
        </w:rPr>
        <w:t xml:space="preserve">asymptotically approaches </w:t>
      </w:r>
      <m:oMath>
        <m:sSub>
          <m:sSubPr>
            <m:ctrlPr>
              <w:rPr>
                <w:rFonts w:ascii="Cambria Math" w:hAnsi="Cambria Math" w:cstheme="majorBidi"/>
              </w:rPr>
            </m:ctrlPr>
          </m:sSubPr>
          <m:e>
            <m:r>
              <w:rPr>
                <w:rFonts w:ascii="Cambria Math" w:hAnsi="Cambria Math" w:cstheme="majorBidi"/>
              </w:rPr>
              <m:t>η</m:t>
            </m:r>
          </m:e>
          <m:sub>
            <m:r>
              <w:rPr>
                <w:rFonts w:ascii="Cambria Math" w:hAnsi="Cambria Math" w:cstheme="majorBidi"/>
              </w:rPr>
              <m:t>0</m:t>
            </m:r>
          </m:sub>
        </m:sSub>
      </m:oMath>
      <w:r w:rsidRPr="00B66649">
        <w:rPr>
          <w:rFonts w:asciiTheme="majorBidi" w:hAnsiTheme="majorBidi" w:cstheme="majorBidi"/>
        </w:rPr>
        <w:t>​, reflecting an increased driving force due to kinetic limitations in molecular or conformational rearrangements, effectively “locking in” a non-equilibrium overpotential.</w:t>
      </w:r>
    </w:p>
    <w:p w14:paraId="76B8BAB4" w14:textId="25BDE666" w:rsidR="00B66649" w:rsidRPr="00B66649" w:rsidRDefault="00B66649" w:rsidP="00D06727">
      <w:pPr>
        <w:spacing w:line="276" w:lineRule="auto"/>
        <w:jc w:val="both"/>
        <w:rPr>
          <w:rFonts w:asciiTheme="majorBidi" w:hAnsiTheme="majorBidi" w:cstheme="majorBidi"/>
        </w:rPr>
      </w:pPr>
      <w:r w:rsidRPr="00B66649">
        <w:rPr>
          <w:rFonts w:asciiTheme="majorBidi" w:hAnsiTheme="majorBidi" w:cstheme="majorBidi"/>
        </w:rPr>
        <w:t xml:space="preserve">Substituting </w:t>
      </w:r>
      <w:r w:rsidR="001F2512" w:rsidRPr="00C028F0">
        <w:rPr>
          <w:rFonts w:asciiTheme="majorBidi" w:hAnsiTheme="majorBidi" w:cstheme="majorBidi"/>
        </w:rPr>
        <w:t xml:space="preserve">the frequency-dependent </w:t>
      </w:r>
      <w:r w:rsidR="00EE4233" w:rsidRPr="00C028F0">
        <w:rPr>
          <w:rFonts w:asciiTheme="majorBidi" w:hAnsiTheme="majorBidi" w:cstheme="majorBidi"/>
        </w:rPr>
        <w:t xml:space="preserve">effective overpotential </w:t>
      </w:r>
      <m:oMath>
        <m:sSub>
          <m:sSubPr>
            <m:ctrlPr>
              <w:rPr>
                <w:rFonts w:ascii="Cambria Math" w:hAnsi="Cambria Math" w:cstheme="majorBidi"/>
              </w:rPr>
            </m:ctrlPr>
          </m:sSubPr>
          <m:e>
            <m:r>
              <w:rPr>
                <w:rFonts w:ascii="Cambria Math" w:hAnsi="Cambria Math" w:cstheme="majorBidi"/>
              </w:rPr>
              <m:t>η</m:t>
            </m:r>
          </m:e>
          <m:sub>
            <m:r>
              <m:rPr>
                <m:nor/>
              </m:rPr>
              <w:rPr>
                <w:rFonts w:asciiTheme="majorBidi" w:hAnsiTheme="majorBidi" w:cstheme="majorBidi"/>
              </w:rPr>
              <m:t>eff</m:t>
            </m:r>
          </m:sub>
        </m:sSub>
        <m:r>
          <w:rPr>
            <w:rFonts w:ascii="Cambria Math" w:hAnsi="Cambria Math" w:cstheme="majorBidi"/>
          </w:rPr>
          <m:t>(f)</m:t>
        </m:r>
      </m:oMath>
      <w:r w:rsidRPr="00B66649">
        <w:rPr>
          <w:rFonts w:asciiTheme="majorBidi" w:hAnsiTheme="majorBidi" w:cstheme="majorBidi"/>
        </w:rPr>
        <w:t xml:space="preserve"> into the Butler–Volmer framework allows us to simulate a non-monotonic frequency response with a well-defined physical basis. The full expression for the frequency-dependent current becomes:</w:t>
      </w:r>
    </w:p>
    <w:p w14:paraId="22E75744" w14:textId="45BDB351" w:rsidR="00146B48" w:rsidRPr="00C028F0"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net</m:t>
              </m:r>
            </m:sub>
          </m:sSub>
          <m:d>
            <m:dPr>
              <m:ctrlPr>
                <w:rPr>
                  <w:rFonts w:ascii="Cambria Math" w:hAnsi="Cambria Math" w:cstheme="majorBidi"/>
                  <w:i/>
                </w:rPr>
              </m:ctrlPr>
            </m:dPr>
            <m:e>
              <m:r>
                <w:rPr>
                  <w:rFonts w:ascii="Cambria Math" w:hAnsi="Cambria Math" w:cstheme="majorBidi"/>
                </w:rPr>
                <m:t>f</m:t>
              </m:r>
            </m:e>
          </m:d>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0</m:t>
              </m:r>
            </m:sub>
          </m:sSub>
          <m:r>
            <w:rPr>
              <w:rFonts w:ascii="Cambria Math" w:hAnsi="Cambria Math" w:cstheme="majorBidi"/>
            </w:rPr>
            <m:t xml:space="preserve"> </m:t>
          </m:r>
          <m:r>
            <m:rPr>
              <m:nor/>
            </m:rPr>
            <w:rPr>
              <w:rFonts w:ascii="Cambria Math" w:hAnsiTheme="majorBidi" w:cstheme="majorBidi"/>
            </w:rPr>
            <m:t>.</m:t>
          </m:r>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j</m:t>
              </m:r>
            </m:e>
            <m:sub>
              <m:r>
                <m:rPr>
                  <m:sty m:val="p"/>
                </m:rPr>
                <w:rPr>
                  <w:rFonts w:ascii="Cambria Math" w:hAnsi="Cambria Math" w:cstheme="majorBidi"/>
                </w:rPr>
                <m:t>BV</m:t>
              </m:r>
            </m:sub>
          </m:sSub>
          <m:d>
            <m:dPr>
              <m:ctrlPr>
                <w:rPr>
                  <w:rFonts w:ascii="Cambria Math" w:hAnsi="Cambria Math" w:cstheme="majorBidi"/>
                  <w:i/>
                </w:rPr>
              </m:ctrlPr>
            </m:dPr>
            <m:e>
              <m:sSub>
                <m:sSubPr>
                  <m:ctrlPr>
                    <w:rPr>
                      <w:rFonts w:ascii="Cambria Math" w:hAnsi="Cambria Math" w:cstheme="majorBidi"/>
                    </w:rPr>
                  </m:ctrlPr>
                </m:sSubPr>
                <m:e>
                  <m:r>
                    <w:rPr>
                      <w:rFonts w:ascii="Cambria Math" w:hAnsi="Cambria Math" w:cstheme="majorBidi"/>
                    </w:rPr>
                    <m:t>η</m:t>
                  </m:r>
                </m:e>
                <m:sub>
                  <m:r>
                    <m:rPr>
                      <m:sty m:val="p"/>
                    </m:rPr>
                    <w:rPr>
                      <w:rFonts w:ascii="Cambria Math" w:hAnsi="Cambria Math" w:cstheme="majorBidi"/>
                    </w:rPr>
                    <m:t>eff</m:t>
                  </m:r>
                </m:sub>
              </m:sSub>
              <m:d>
                <m:dPr>
                  <m:ctrlPr>
                    <w:rPr>
                      <w:rFonts w:ascii="Cambria Math" w:hAnsi="Cambria Math" w:cstheme="majorBidi"/>
                      <w:i/>
                    </w:rPr>
                  </m:ctrlPr>
                </m:dPr>
                <m:e>
                  <m:r>
                    <w:rPr>
                      <w:rFonts w:ascii="Cambria Math" w:hAnsi="Cambria Math" w:cstheme="majorBidi"/>
                    </w:rPr>
                    <m:t>f</m:t>
                  </m:r>
                </m:e>
              </m:d>
            </m:e>
          </m:d>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r>
            <m:rPr>
              <m:sty m:val="p"/>
            </m:rPr>
            <w:rPr>
              <w:rFonts w:ascii="Cambria Math" w:hAnsi="Cambria Math" w:cstheme="majorBidi"/>
            </w:rPr>
            <m:t>exp</m:t>
          </m:r>
          <m:d>
            <m:dPr>
              <m:ctrlPr>
                <w:rPr>
                  <w:rFonts w:ascii="Cambria Math" w:hAnsi="Cambria Math" w:cstheme="majorBidi"/>
                  <w:i/>
                </w:rPr>
              </m:ctrlPr>
            </m:dPr>
            <m:e>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conf</m:t>
                      </m:r>
                    </m:sub>
                  </m:sSub>
                </m:den>
              </m:f>
            </m:e>
          </m:d>
          <m:r>
            <w:rPr>
              <w:rFonts w:ascii="Cambria Math" w:hAnsiTheme="majorBidi" w:cstheme="majorBidi"/>
            </w:rPr>
            <m:t>.</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others</m:t>
                  </m:r>
                </m:sub>
              </m:sSub>
            </m:den>
          </m:f>
          <m:r>
            <w:rPr>
              <w:rFonts w:ascii="Cambria Math" w:hAnsi="Cambria Math" w:cstheme="majorBidi"/>
            </w:rPr>
            <m:t>)</m:t>
          </m:r>
          <m:r>
            <m:rPr>
              <m:sty m:val="p"/>
            </m:rPr>
            <w:rPr>
              <w:rFonts w:ascii="Cambria Math" w:hAnsi="Cambria Math" w:cstheme="majorBidi"/>
            </w:rPr>
            <m:t>.</m:t>
          </m:r>
        </m:oMath>
      </m:oMathPara>
    </w:p>
    <w:p w14:paraId="1BC61CA9" w14:textId="77777777" w:rsidR="00F344B6" w:rsidRPr="00F344B6" w:rsidRDefault="00F344B6" w:rsidP="00D06727">
      <w:pPr>
        <w:spacing w:line="276" w:lineRule="auto"/>
        <w:jc w:val="both"/>
        <w:rPr>
          <w:rFonts w:asciiTheme="majorBidi" w:hAnsiTheme="majorBidi" w:cstheme="majorBidi"/>
        </w:rPr>
      </w:pPr>
      <w:r w:rsidRPr="00F344B6">
        <w:rPr>
          <w:rFonts w:asciiTheme="majorBidi" w:hAnsiTheme="majorBidi" w:cstheme="majorBidi"/>
        </w:rPr>
        <w:t>This composite model captures several key physical features:</w:t>
      </w:r>
    </w:p>
    <w:p w14:paraId="1A462D7A" w14:textId="7451B054" w:rsidR="00F344B6" w:rsidRPr="00F344B6" w:rsidRDefault="00F344B6" w:rsidP="00D06727">
      <w:pPr>
        <w:numPr>
          <w:ilvl w:val="0"/>
          <w:numId w:val="6"/>
        </w:numPr>
        <w:spacing w:line="276" w:lineRule="auto"/>
        <w:jc w:val="both"/>
        <w:rPr>
          <w:rFonts w:asciiTheme="majorBidi" w:hAnsiTheme="majorBidi" w:cstheme="majorBidi"/>
        </w:rPr>
      </w:pPr>
      <w:r w:rsidRPr="00F344B6">
        <w:rPr>
          <w:rFonts w:asciiTheme="majorBidi" w:hAnsiTheme="majorBidi" w:cstheme="majorBidi"/>
        </w:rPr>
        <w:t xml:space="preserve">The </w:t>
      </w:r>
      <w:r w:rsidRPr="00F344B6">
        <w:rPr>
          <w:rFonts w:asciiTheme="majorBidi" w:hAnsiTheme="majorBidi" w:cstheme="majorBidi"/>
          <w:i/>
          <w:iCs/>
        </w:rPr>
        <w:t>initial rise</w:t>
      </w:r>
      <w:r w:rsidRPr="00F344B6">
        <w:rPr>
          <w:rFonts w:asciiTheme="majorBidi" w:hAnsiTheme="majorBidi" w:cstheme="majorBidi"/>
        </w:rPr>
        <w:t xml:space="preserve"> in current amplitude as the frequency increases is driven by the increase in </w:t>
      </w:r>
      <m:oMath>
        <m:sSub>
          <m:sSubPr>
            <m:ctrlPr>
              <w:rPr>
                <w:rFonts w:ascii="Cambria Math" w:hAnsi="Cambria Math" w:cstheme="majorBidi"/>
              </w:rPr>
            </m:ctrlPr>
          </m:sSubPr>
          <m:e>
            <m:r>
              <w:rPr>
                <w:rFonts w:ascii="Cambria Math" w:hAnsi="Cambria Math" w:cstheme="majorBidi"/>
              </w:rPr>
              <m:t>η</m:t>
            </m:r>
          </m:e>
          <m:sub>
            <m:r>
              <m:rPr>
                <m:nor/>
              </m:rPr>
              <w:rPr>
                <w:rFonts w:asciiTheme="majorBidi" w:hAnsiTheme="majorBidi" w:cstheme="majorBidi"/>
              </w:rPr>
              <m:t>eff</m:t>
            </m:r>
          </m:sub>
        </m:sSub>
        <m:r>
          <w:rPr>
            <w:rFonts w:ascii="Cambria Math" w:hAnsi="Cambria Math" w:cstheme="majorBidi"/>
          </w:rPr>
          <m:t>(f)</m:t>
        </m:r>
      </m:oMath>
      <w:r w:rsidRPr="00C028F0">
        <w:rPr>
          <w:rFonts w:asciiTheme="majorBidi" w:hAnsiTheme="majorBidi" w:cstheme="majorBidi"/>
        </w:rPr>
        <w:t xml:space="preserve"> </w:t>
      </w:r>
      <w:r w:rsidRPr="00F344B6">
        <w:rPr>
          <w:rFonts w:asciiTheme="majorBidi" w:hAnsiTheme="majorBidi" w:cstheme="majorBidi"/>
        </w:rPr>
        <w:t>enhancing the net electron transfer rate.</w:t>
      </w:r>
    </w:p>
    <w:p w14:paraId="114B7000" w14:textId="77777777" w:rsidR="00F344B6" w:rsidRPr="00F344B6" w:rsidRDefault="00F344B6" w:rsidP="00D06727">
      <w:pPr>
        <w:numPr>
          <w:ilvl w:val="0"/>
          <w:numId w:val="6"/>
        </w:numPr>
        <w:spacing w:line="276" w:lineRule="auto"/>
        <w:jc w:val="both"/>
        <w:rPr>
          <w:rFonts w:asciiTheme="majorBidi" w:hAnsiTheme="majorBidi" w:cstheme="majorBidi"/>
        </w:rPr>
      </w:pPr>
      <w:r w:rsidRPr="00F344B6">
        <w:rPr>
          <w:rFonts w:asciiTheme="majorBidi" w:hAnsiTheme="majorBidi" w:cstheme="majorBidi"/>
        </w:rPr>
        <w:t xml:space="preserve">The </w:t>
      </w:r>
      <w:r w:rsidRPr="00F344B6">
        <w:rPr>
          <w:rFonts w:asciiTheme="majorBidi" w:hAnsiTheme="majorBidi" w:cstheme="majorBidi"/>
          <w:i/>
          <w:iCs/>
        </w:rPr>
        <w:t>peak response</w:t>
      </w:r>
      <w:r w:rsidRPr="00F344B6">
        <w:rPr>
          <w:rFonts w:asciiTheme="majorBidi" w:hAnsiTheme="majorBidi" w:cstheme="majorBidi"/>
        </w:rPr>
        <w:t xml:space="preserve"> occurs at an optimal frequency where both overpotential and conformational transitions are most favourably aligned.</w:t>
      </w:r>
    </w:p>
    <w:p w14:paraId="161458D7" w14:textId="5F2323FB" w:rsidR="00F344B6" w:rsidRPr="00F344B6" w:rsidRDefault="00F344B6" w:rsidP="00D06727">
      <w:pPr>
        <w:numPr>
          <w:ilvl w:val="0"/>
          <w:numId w:val="6"/>
        </w:numPr>
        <w:spacing w:line="276" w:lineRule="auto"/>
        <w:jc w:val="both"/>
        <w:rPr>
          <w:rFonts w:asciiTheme="majorBidi" w:hAnsiTheme="majorBidi" w:cstheme="majorBidi"/>
        </w:rPr>
      </w:pPr>
      <w:r w:rsidRPr="00F344B6">
        <w:rPr>
          <w:rFonts w:asciiTheme="majorBidi" w:hAnsiTheme="majorBidi" w:cstheme="majorBidi"/>
        </w:rPr>
        <w:t xml:space="preserve">The </w:t>
      </w:r>
      <w:r w:rsidRPr="00F344B6">
        <w:rPr>
          <w:rFonts w:asciiTheme="majorBidi" w:hAnsiTheme="majorBidi" w:cstheme="majorBidi"/>
          <w:i/>
          <w:iCs/>
        </w:rPr>
        <w:t>subsequent decay</w:t>
      </w:r>
      <w:r w:rsidRPr="00F344B6">
        <w:rPr>
          <w:rFonts w:asciiTheme="majorBidi" w:hAnsiTheme="majorBidi" w:cstheme="majorBidi"/>
        </w:rPr>
        <w:t xml:space="preserve"> at higher frequencies arises from the exponential suppression of the signal by limitations in aptamer conformational rearrangement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r>
          <w:rPr>
            <w:rFonts w:ascii="Cambria Math" w:hAnsiTheme="majorBidi" w:cstheme="majorBidi"/>
          </w:rPr>
          <m:t xml:space="preserve"> </m:t>
        </m:r>
      </m:oMath>
      <w:r w:rsidR="00A724E4" w:rsidRPr="00C028F0">
        <w:rPr>
          <w:rFonts w:asciiTheme="majorBidi" w:hAnsiTheme="majorBidi" w:cstheme="majorBidi"/>
        </w:rPr>
        <w:t xml:space="preserve"> </w:t>
      </w:r>
      <w:r w:rsidRPr="00F344B6">
        <w:rPr>
          <w:rFonts w:asciiTheme="majorBidi" w:hAnsiTheme="majorBidi" w:cstheme="majorBidi"/>
        </w:rPr>
        <w:t xml:space="preserve">and additional non-ideal effects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others</m:t>
            </m:r>
          </m:sub>
        </m:sSub>
        <m:r>
          <w:rPr>
            <w:rFonts w:ascii="Cambria Math" w:hAnsiTheme="majorBidi" w:cstheme="majorBidi"/>
          </w:rPr>
          <m:t xml:space="preserve"> .</m:t>
        </m:r>
      </m:oMath>
    </w:p>
    <w:p w14:paraId="47759F96" w14:textId="37203584" w:rsidR="00B27EB7" w:rsidRPr="00C028F0" w:rsidRDefault="00F344B6" w:rsidP="00D06727">
      <w:pPr>
        <w:spacing w:line="276" w:lineRule="auto"/>
        <w:jc w:val="both"/>
        <w:rPr>
          <w:rFonts w:asciiTheme="majorBidi" w:hAnsiTheme="majorBidi" w:cstheme="majorBidi"/>
        </w:rPr>
      </w:pPr>
      <w:r w:rsidRPr="00F344B6">
        <w:rPr>
          <w:rFonts w:asciiTheme="majorBidi" w:hAnsiTheme="majorBidi" w:cstheme="majorBidi"/>
        </w:rPr>
        <w:t>By fitting experimental frequency-response data to this model, researchers may extract meaningful physical parameters such as</w:t>
      </w:r>
      <w:r w:rsidR="00177E63" w:rsidRPr="00C028F0">
        <w:rPr>
          <w:rFonts w:ascii="Cambria Math" w:hAnsi="Cambria Math"/>
        </w:rPr>
        <w:t xml:space="preserve"> </w:t>
      </w:r>
      <m:oMath>
        <m:sSub>
          <m:sSubPr>
            <m:ctrlPr>
              <w:rPr>
                <w:rFonts w:ascii="Cambria Math" w:hAnsi="Cambria Math" w:cstheme="majorBidi"/>
              </w:rPr>
            </m:ctrlPr>
          </m:sSubPr>
          <m:e>
            <m:r>
              <w:rPr>
                <w:rFonts w:ascii="Cambria Math" w:hAnsi="Cambria Math" w:cstheme="majorBidi"/>
              </w:rPr>
              <m:t>j</m:t>
            </m:r>
          </m:e>
          <m:sub>
            <m:r>
              <w:rPr>
                <w:rFonts w:ascii="Cambria Math" w:hAnsi="Cambria Math" w:cstheme="majorBidi"/>
              </w:rPr>
              <m:t>0</m:t>
            </m:r>
          </m:sub>
        </m:sSub>
        <m:r>
          <w:rPr>
            <w:rFonts w:ascii="Cambria Math" w:hAnsiTheme="majorBidi" w:cstheme="majorBidi"/>
          </w:rPr>
          <m:t xml:space="preserve">, </m:t>
        </m:r>
        <m:sSub>
          <m:sSubPr>
            <m:ctrlPr>
              <w:rPr>
                <w:rFonts w:ascii="Cambria Math" w:hAnsiTheme="majorBidi" w:cstheme="majorBidi"/>
              </w:rPr>
            </m:ctrlPr>
          </m:sSubPr>
          <m:e>
            <m:r>
              <w:rPr>
                <w:rFonts w:ascii="Cambria Math" w:hAnsiTheme="majorBidi" w:cstheme="majorBidi"/>
              </w:rPr>
              <m:t>η</m:t>
            </m:r>
          </m:e>
          <m:sub>
            <m:r>
              <w:rPr>
                <w:rFonts w:ascii="Cambria Math" w:hAnsiTheme="majorBidi" w:cstheme="majorBidi"/>
              </w:rPr>
              <m:t>0</m:t>
            </m:r>
          </m:sub>
        </m:sSub>
        <m:r>
          <w:rPr>
            <w:rFonts w:ascii="Cambria Math" w:hAnsiTheme="majorBidi" w:cstheme="majorBidi"/>
          </w:rPr>
          <m:t xml:space="preserve"> and </m:t>
        </m:r>
        <m:sSub>
          <m:sSubPr>
            <m:ctrlPr>
              <w:rPr>
                <w:rFonts w:ascii="Cambria Math" w:hAnsiTheme="majorBidi" w:cstheme="majorBidi"/>
              </w:rPr>
            </m:ctrlPr>
          </m:sSubPr>
          <m:e>
            <m:r>
              <w:rPr>
                <w:rFonts w:ascii="Cambria Math" w:hAnsiTheme="majorBidi" w:cstheme="majorBidi"/>
              </w:rPr>
              <m:t>f</m:t>
            </m:r>
          </m:e>
          <m:sub>
            <m:r>
              <m:rPr>
                <m:nor/>
              </m:rPr>
              <w:rPr>
                <w:rFonts w:hAnsiTheme="majorBidi" w:cstheme="majorBidi"/>
              </w:rPr>
              <m:t>conf</m:t>
            </m:r>
          </m:sub>
        </m:sSub>
      </m:oMath>
      <w:r w:rsidRPr="00F344B6">
        <w:rPr>
          <w:rFonts w:asciiTheme="majorBidi" w:hAnsiTheme="majorBidi" w:cstheme="majorBidi"/>
        </w:rPr>
        <w:t xml:space="preserve"> providing insights into the rate-limiting steps of signal transduction in E-AB systems. Importantly, this model unifies classical electrochemical theory with aptamer-specific dynamics, bridging the gap between thermodynamic and kinetic perspectives.</w:t>
      </w:r>
    </w:p>
    <w:p w14:paraId="5B643CC7" w14:textId="330A9F68" w:rsidR="00FE2473" w:rsidRPr="00C028F0" w:rsidRDefault="00FE2473" w:rsidP="00D06727">
      <w:pPr>
        <w:spacing w:line="276" w:lineRule="auto"/>
        <w:jc w:val="both"/>
        <w:rPr>
          <w:rFonts w:asciiTheme="majorBidi" w:hAnsiTheme="majorBidi" w:cstheme="majorBidi"/>
        </w:rPr>
      </w:pPr>
      <w:r w:rsidRPr="00C028F0">
        <w:rPr>
          <w:rFonts w:asciiTheme="majorBidi" w:hAnsiTheme="majorBidi" w:cstheme="majorBidi"/>
        </w:rPr>
        <w:t xml:space="preserve">On a more microscopic and mechanistically rigorous level, </w:t>
      </w:r>
      <w:proofErr w:type="gramStart"/>
      <w:r w:rsidRPr="00C028F0">
        <w:rPr>
          <w:rFonts w:asciiTheme="majorBidi" w:hAnsiTheme="majorBidi" w:cstheme="majorBidi"/>
        </w:rPr>
        <w:t>Marcus</w:t>
      </w:r>
      <w:proofErr w:type="gramEnd"/>
      <w:r w:rsidRPr="00C028F0">
        <w:rPr>
          <w:rFonts w:asciiTheme="majorBidi" w:hAnsiTheme="majorBidi" w:cstheme="majorBidi"/>
        </w:rPr>
        <w:t xml:space="preserve"> theory provides a quantum-mechanical description of electron transfer, going beyond the thermodynamic perspective of Butler–Volmer kinetics. According to Marcus theory, the electron transfer rate </w:t>
      </w:r>
      <m:oMath>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sub>
        </m:sSub>
      </m:oMath>
      <w:r w:rsidR="008815AC" w:rsidRPr="00C028F0">
        <w:rPr>
          <w:rFonts w:asciiTheme="majorBidi" w:hAnsiTheme="majorBidi" w:cstheme="majorBidi"/>
        </w:rPr>
        <w:t xml:space="preserve"> </w:t>
      </w:r>
      <w:r w:rsidRPr="00C028F0">
        <w:rPr>
          <w:rFonts w:asciiTheme="majorBidi" w:hAnsiTheme="majorBidi" w:cstheme="majorBidi"/>
        </w:rPr>
        <w:t xml:space="preserve">is governed not only by the free energy change </w:t>
      </w:r>
      <m:oMath>
        <m:r>
          <m:rPr>
            <m:sty m:val="p"/>
          </m:rPr>
          <w:rPr>
            <w:rFonts w:ascii="Cambria Math" w:hAnsi="Cambria Math" w:cstheme="majorBidi"/>
          </w:rPr>
          <m:t>Δ</m:t>
        </m:r>
        <m:sSup>
          <m:sSupPr>
            <m:ctrlPr>
              <w:rPr>
                <w:rFonts w:ascii="Cambria Math" w:hAnsi="Cambria Math" w:cstheme="majorBidi"/>
              </w:rPr>
            </m:ctrlPr>
          </m:sSupPr>
          <m:e>
            <m:r>
              <w:rPr>
                <w:rFonts w:ascii="Cambria Math" w:hAnsi="Cambria Math" w:cstheme="majorBidi"/>
              </w:rPr>
              <m:t>G</m:t>
            </m:r>
          </m:e>
          <m:sup>
            <m:r>
              <w:rPr>
                <w:rFonts w:ascii="Cambria Math" w:hAnsi="Cambria Math" w:cstheme="majorBidi"/>
              </w:rPr>
              <m:t>∘</m:t>
            </m:r>
          </m:sup>
        </m:sSup>
      </m:oMath>
      <w:r w:rsidR="008815AC" w:rsidRPr="00C028F0">
        <w:rPr>
          <w:rFonts w:asciiTheme="majorBidi" w:hAnsiTheme="majorBidi" w:cstheme="majorBidi"/>
        </w:rPr>
        <w:t xml:space="preserve"> </w:t>
      </w:r>
      <w:r w:rsidRPr="00C028F0">
        <w:rPr>
          <w:rFonts w:asciiTheme="majorBidi" w:hAnsiTheme="majorBidi" w:cstheme="majorBidi"/>
        </w:rPr>
        <w:t xml:space="preserve">associated with the redox reaction but also by the reorganisation energy </w:t>
      </w:r>
      <m:oMath>
        <m:r>
          <w:rPr>
            <w:rFonts w:ascii="Cambria Math" w:hAnsi="Cambria Math" w:cstheme="majorBidi"/>
          </w:rPr>
          <m:t>λ</m:t>
        </m:r>
      </m:oMath>
      <w:r w:rsidR="008815AC" w:rsidRPr="00C028F0">
        <w:rPr>
          <w:rFonts w:asciiTheme="majorBidi" w:hAnsiTheme="majorBidi" w:cstheme="majorBidi"/>
        </w:rPr>
        <w:t xml:space="preserve">, </w:t>
      </w:r>
      <w:r w:rsidRPr="00C028F0">
        <w:rPr>
          <w:rFonts w:asciiTheme="majorBidi" w:hAnsiTheme="majorBidi" w:cstheme="majorBidi"/>
        </w:rPr>
        <w:t>which quantifies the energetic cost of rearranging the surrounding molecular and solvent environment to accommodate the charge transfer. The rate constant for electron transfer, under this theory, is expressed as:</w:t>
      </w:r>
    </w:p>
    <w:p w14:paraId="38E5A5A2" w14:textId="401E09A1" w:rsidR="004366B1" w:rsidRPr="00C028F0"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r>
                <m:rPr>
                  <m:nor/>
                </m:rPr>
                <w:rPr>
                  <w:rFonts w:ascii="Cambria Math" w:hAnsiTheme="majorBidi" w:cstheme="majorBidi"/>
                </w:rPr>
                <m:t>,base</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Marcus</m:t>
              </m:r>
            </m:sub>
          </m:sSub>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(λ+</m:t>
              </m:r>
              <m:r>
                <m:rPr>
                  <m:sty m:val="p"/>
                </m:rPr>
                <w:rPr>
                  <w:rFonts w:ascii="Cambria Math" w:hAnsi="Cambria Math" w:cstheme="majorBidi"/>
                </w:rPr>
                <m:t>Δ</m:t>
              </m:r>
              <m:sSup>
                <m:sSupPr>
                  <m:ctrlPr>
                    <w:rPr>
                      <w:rFonts w:ascii="Cambria Math" w:hAnsi="Cambria Math" w:cstheme="majorBidi"/>
                    </w:rPr>
                  </m:ctrlPr>
                </m:sSupPr>
                <m:e>
                  <m:r>
                    <w:rPr>
                      <w:rFonts w:ascii="Cambria Math" w:hAnsi="Cambria Math" w:cstheme="majorBidi"/>
                    </w:rPr>
                    <m:t>G</m:t>
                  </m:r>
                </m:e>
                <m:sup>
                  <m:r>
                    <w:rPr>
                      <w:rFonts w:ascii="Cambria Math" w:hAnsi="Cambria Math" w:cstheme="majorBidi"/>
                    </w:rPr>
                    <m:t>∘</m:t>
                  </m:r>
                </m:sup>
              </m:sSup>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2</m:t>
                  </m:r>
                </m:sup>
              </m:sSup>
            </m:num>
            <m:den>
              <m:r>
                <w:rPr>
                  <w:rFonts w:ascii="Cambria Math" w:hAnsi="Cambria Math" w:cstheme="majorBidi"/>
                </w:rPr>
                <m:t>4λ</m:t>
              </m:r>
              <m:sSub>
                <m:sSubPr>
                  <m:ctrlPr>
                    <w:rPr>
                      <w:rFonts w:ascii="Cambria Math" w:hAnsi="Cambria Math" w:cstheme="majorBidi"/>
                    </w:rPr>
                  </m:ctrlPr>
                </m:sSubPr>
                <m:e>
                  <m:r>
                    <w:rPr>
                      <w:rFonts w:ascii="Cambria Math" w:hAnsi="Cambria Math" w:cstheme="majorBidi"/>
                    </w:rPr>
                    <m:t>k</m:t>
                  </m:r>
                </m:e>
                <m:sub>
                  <m:r>
                    <w:rPr>
                      <w:rFonts w:ascii="Cambria Math" w:hAnsi="Cambria Math" w:cstheme="majorBidi"/>
                    </w:rPr>
                    <m:t>B</m:t>
                  </m:r>
                </m:sub>
              </m:sSub>
              <m:r>
                <w:rPr>
                  <w:rFonts w:ascii="Cambria Math" w:hAnsi="Cambria Math" w:cstheme="majorBidi"/>
                </w:rPr>
                <m:t>T</m:t>
              </m:r>
            </m:den>
          </m:f>
          <m:r>
            <w:rPr>
              <w:rFonts w:ascii="Cambria Math" w:hAnsi="Cambria Math" w:cstheme="majorBidi"/>
            </w:rPr>
            <m:t>],</m:t>
          </m:r>
        </m:oMath>
      </m:oMathPara>
    </w:p>
    <w:p w14:paraId="1CE66F04" w14:textId="77777777" w:rsidR="007E5B54" w:rsidRPr="00C028F0" w:rsidRDefault="004366B1" w:rsidP="00D06727">
      <w:pPr>
        <w:spacing w:line="276" w:lineRule="auto"/>
        <w:jc w:val="both"/>
        <w:rPr>
          <w:rFonts w:asciiTheme="majorBidi" w:hAnsiTheme="majorBidi" w:cstheme="majorBidi"/>
        </w:rPr>
      </w:pPr>
      <w:r w:rsidRPr="00C028F0">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Marcus</m:t>
            </m:r>
          </m:sub>
        </m:sSub>
      </m:oMath>
      <w:r w:rsidRPr="00C028F0">
        <w:rPr>
          <w:rFonts w:asciiTheme="majorBidi" w:hAnsiTheme="majorBidi" w:cstheme="majorBidi"/>
        </w:rPr>
        <w:t xml:space="preserve"> is a pre-exponential factor</w:t>
      </w:r>
      <w:r w:rsidR="004D504A" w:rsidRPr="00C028F0">
        <w:rPr>
          <w:rFonts w:asciiTheme="majorBidi" w:hAnsiTheme="majorBidi" w:cstheme="majorBidi"/>
        </w:rPr>
        <w:t xml:space="preserve"> related to electronic coupling and vibrational frequency, </w:t>
      </w:r>
      <m:oMath>
        <m:r>
          <w:rPr>
            <w:rFonts w:ascii="Cambria Math" w:hAnsi="Cambria Math" w:cstheme="majorBidi"/>
          </w:rPr>
          <m:t>λ</m:t>
        </m:r>
      </m:oMath>
      <w:r w:rsidR="004D504A" w:rsidRPr="00C028F0">
        <w:rPr>
          <w:rFonts w:asciiTheme="majorBidi" w:hAnsiTheme="majorBidi" w:cstheme="majorBidi"/>
        </w:rPr>
        <w:t xml:space="preserve"> </w:t>
      </w:r>
      <w:r w:rsidR="008216A0" w:rsidRPr="00C028F0">
        <w:rPr>
          <w:rFonts w:asciiTheme="majorBidi" w:hAnsiTheme="majorBidi" w:cstheme="majorBidi"/>
        </w:rPr>
        <w:t xml:space="preserve">is the reorganisation energy (typically 0.5–1.0 eV in aqueous systems), </w:t>
      </w:r>
      <m:oMath>
        <m:r>
          <m:rPr>
            <m:sty m:val="p"/>
          </m:rPr>
          <w:rPr>
            <w:rFonts w:ascii="Cambria Math" w:hAnsi="Cambria Math" w:cstheme="majorBidi"/>
          </w:rPr>
          <m:t>Δ</m:t>
        </m:r>
        <m:sSup>
          <m:sSupPr>
            <m:ctrlPr>
              <w:rPr>
                <w:rFonts w:ascii="Cambria Math" w:hAnsi="Cambria Math" w:cstheme="majorBidi"/>
              </w:rPr>
            </m:ctrlPr>
          </m:sSupPr>
          <m:e>
            <m:r>
              <w:rPr>
                <w:rFonts w:ascii="Cambria Math" w:hAnsi="Cambria Math" w:cstheme="majorBidi"/>
              </w:rPr>
              <m:t>G</m:t>
            </m:r>
          </m:e>
          <m:sup>
            <m:r>
              <w:rPr>
                <w:rFonts w:ascii="Cambria Math" w:hAnsi="Cambria Math" w:cstheme="majorBidi"/>
              </w:rPr>
              <m:t>∘</m:t>
            </m:r>
          </m:sup>
        </m:sSup>
      </m:oMath>
      <w:r w:rsidR="008216A0" w:rsidRPr="00C028F0">
        <w:rPr>
          <w:rFonts w:asciiTheme="majorBidi" w:hAnsiTheme="majorBidi" w:cstheme="majorBidi"/>
        </w:rPr>
        <w:t xml:space="preserve"> is the standard Gibbs free energy change for the reaction,</w:t>
      </w:r>
      <w:r w:rsidRPr="00C028F0">
        <w:rPr>
          <w:rFonts w:asciiTheme="majorBidi" w:hAnsiTheme="majorBidi" w:cstheme="majorBidi"/>
        </w:rPr>
        <w:t xml:space="preserve"> </w:t>
      </w:r>
      <w:r w:rsidR="007E5B54" w:rsidRPr="00C028F0">
        <w:rPr>
          <w:rFonts w:asciiTheme="majorBidi" w:hAnsiTheme="majorBidi" w:cstheme="majorBidi"/>
        </w:rPr>
        <w:t xml:space="preserve">T is the absolute temperature </w:t>
      </w:r>
      <w:r w:rsidRPr="00C028F0">
        <w:rPr>
          <w:rFonts w:asciiTheme="majorBidi" w:hAnsiTheme="majorBidi" w:cstheme="majorBidi"/>
        </w:rPr>
        <w:t xml:space="preserve">and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B</m:t>
            </m:r>
          </m:sub>
        </m:sSub>
      </m:oMath>
      <w:r w:rsidRPr="00C028F0">
        <w:rPr>
          <w:rFonts w:asciiTheme="majorBidi" w:hAnsiTheme="majorBidi" w:cstheme="majorBidi"/>
        </w:rPr>
        <w:t xml:space="preserve"> is Boltzmann’s constant. </w:t>
      </w:r>
    </w:p>
    <w:p w14:paraId="6E7E82B1" w14:textId="77777777" w:rsidR="005269E4" w:rsidRPr="00C028F0" w:rsidRDefault="00214A1E" w:rsidP="00D06727">
      <w:pPr>
        <w:spacing w:line="276" w:lineRule="auto"/>
        <w:jc w:val="both"/>
        <w:rPr>
          <w:rFonts w:asciiTheme="majorBidi" w:hAnsiTheme="majorBidi" w:cstheme="majorBidi"/>
        </w:rPr>
      </w:pPr>
      <w:r w:rsidRPr="00214A1E">
        <w:rPr>
          <w:rFonts w:asciiTheme="majorBidi" w:hAnsiTheme="majorBidi" w:cstheme="majorBidi"/>
        </w:rPr>
        <w:lastRenderedPageBreak/>
        <w:t xml:space="preserve">One of the remarkable insights of Marcus theory is the prediction of an </w:t>
      </w:r>
      <w:r w:rsidRPr="00214A1E">
        <w:rPr>
          <w:rFonts w:asciiTheme="majorBidi" w:hAnsiTheme="majorBidi" w:cstheme="majorBidi"/>
          <w:i/>
          <w:iCs/>
        </w:rPr>
        <w:t>inverted region</w:t>
      </w:r>
      <w:r w:rsidRPr="00214A1E">
        <w:rPr>
          <w:rFonts w:asciiTheme="majorBidi" w:hAnsiTheme="majorBidi" w:cstheme="majorBidi"/>
        </w:rPr>
        <w:t xml:space="preserve">, in which increasing the driving force of the reaction (i.e., making </w:t>
      </w:r>
      <m:oMath>
        <m:r>
          <m:rPr>
            <m:sty m:val="p"/>
          </m:rPr>
          <w:rPr>
            <w:rFonts w:ascii="Cambria Math" w:hAnsi="Cambria Math" w:cstheme="majorBidi"/>
          </w:rPr>
          <m:t>Δ</m:t>
        </m:r>
        <m:sSup>
          <m:sSupPr>
            <m:ctrlPr>
              <w:rPr>
                <w:rFonts w:ascii="Cambria Math" w:hAnsi="Cambria Math" w:cstheme="majorBidi"/>
              </w:rPr>
            </m:ctrlPr>
          </m:sSupPr>
          <m:e>
            <m:r>
              <w:rPr>
                <w:rFonts w:ascii="Cambria Math" w:hAnsi="Cambria Math" w:cstheme="majorBidi"/>
              </w:rPr>
              <m:t>G</m:t>
            </m:r>
          </m:e>
          <m:sup>
            <m:r>
              <w:rPr>
                <w:rFonts w:ascii="Cambria Math" w:hAnsi="Cambria Math" w:cstheme="majorBidi"/>
              </w:rPr>
              <m:t>∘</m:t>
            </m:r>
          </m:sup>
        </m:sSup>
      </m:oMath>
      <w:r w:rsidRPr="00214A1E">
        <w:rPr>
          <w:rFonts w:asciiTheme="majorBidi" w:hAnsiTheme="majorBidi" w:cstheme="majorBidi"/>
        </w:rPr>
        <w:t>more negative) paradoxically leads to a decrease in the electron transfer rate. This counterintuitive regime is seldom encountered in typical redox reactions but becomes particularly relevant in systems with high reorganisation energies or strongly coupled states—scenarios that simpler models such as Butler–Volmer cannot account for.</w:t>
      </w:r>
      <w:r w:rsidR="001D419B" w:rsidRPr="00C028F0">
        <w:rPr>
          <w:rFonts w:asciiTheme="majorBidi" w:hAnsiTheme="majorBidi" w:cstheme="majorBidi"/>
        </w:rPr>
        <w:t xml:space="preserve"> </w:t>
      </w:r>
      <w:r w:rsidRPr="00214A1E">
        <w:rPr>
          <w:rFonts w:asciiTheme="majorBidi" w:hAnsiTheme="majorBidi" w:cstheme="majorBidi"/>
        </w:rPr>
        <w:t xml:space="preserve">To adapt </w:t>
      </w:r>
      <w:proofErr w:type="gramStart"/>
      <w:r w:rsidRPr="00214A1E">
        <w:rPr>
          <w:rFonts w:asciiTheme="majorBidi" w:hAnsiTheme="majorBidi" w:cstheme="majorBidi"/>
        </w:rPr>
        <w:t>Marcus</w:t>
      </w:r>
      <w:proofErr w:type="gramEnd"/>
      <w:r w:rsidRPr="00214A1E">
        <w:rPr>
          <w:rFonts w:asciiTheme="majorBidi" w:hAnsiTheme="majorBidi" w:cstheme="majorBidi"/>
        </w:rPr>
        <w:t xml:space="preserve"> theory to a frequency-domain analysis relevant to Square Wave Voltammetry (SWV), we introduce a multiplicative activation term:</w:t>
      </w:r>
    </w:p>
    <w:p w14:paraId="7A88B3CC" w14:textId="28BCA9C4" w:rsidR="005269E4" w:rsidRPr="00C028F0"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et</m:t>
              </m:r>
            </m:sub>
          </m:sSub>
          <m:d>
            <m:dPr>
              <m:ctrlPr>
                <w:rPr>
                  <w:rFonts w:ascii="Cambria Math" w:hAnsi="Cambria Math" w:cstheme="majorBidi"/>
                  <w:i/>
                </w:rPr>
              </m:ctrlPr>
            </m:dPr>
            <m:e>
              <m:r>
                <w:rPr>
                  <w:rFonts w:ascii="Cambria Math" w:hAnsi="Cambria Math" w:cstheme="majorBidi"/>
                </w:rPr>
                <m:t>f</m:t>
              </m:r>
            </m:e>
          </m:d>
          <m:r>
            <w:rPr>
              <w:rFonts w:ascii="Cambria Math" w:hAnsi="Cambria Math" w:cstheme="majorBidi"/>
            </w:rPr>
            <m:t xml:space="preserve">= </m:t>
          </m:r>
          <m:d>
            <m:dPr>
              <m:begChr m:val="["/>
              <m:endChr m:val="]"/>
              <m:ctrlPr>
                <w:rPr>
                  <w:rFonts w:ascii="Cambria Math" w:hAnsi="Cambria Math" w:cstheme="majorBidi"/>
                  <w:i/>
                </w:rPr>
              </m:ctrlPr>
            </m:dPr>
            <m:e>
              <m:r>
                <w:rPr>
                  <w:rFonts w:ascii="Cambria Math" w:hAnsi="Cambria Math" w:cstheme="majorBidi"/>
                </w:rPr>
                <m:t>1-</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i/>
                    </w:rPr>
                  </m:ctrlPr>
                </m:fPr>
                <m:num>
                  <m:r>
                    <w:rPr>
                      <w:rFonts w:ascii="Cambria Math" w:hAnsi="Cambria Math" w:cstheme="majorBidi"/>
                    </w:rPr>
                    <m:t>f</m:t>
                  </m:r>
                </m:num>
                <m:den>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freq</m:t>
                      </m:r>
                    </m:sub>
                  </m:sSub>
                </m:den>
              </m:f>
              <m:r>
                <w:rPr>
                  <w:rFonts w:ascii="Cambria Math" w:hAnsi="Cambria Math" w:cstheme="majorBidi"/>
                </w:rPr>
                <m:t>)</m:t>
              </m:r>
            </m:e>
          </m:d>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et,  base</m:t>
              </m:r>
            </m:sub>
          </m:sSub>
        </m:oMath>
      </m:oMathPara>
    </w:p>
    <w:p w14:paraId="70DE2692" w14:textId="3FC22902" w:rsidR="005A1846" w:rsidRPr="005A1846" w:rsidRDefault="005A1846" w:rsidP="00D06727">
      <w:pPr>
        <w:spacing w:line="276" w:lineRule="auto"/>
        <w:jc w:val="both"/>
        <w:rPr>
          <w:rFonts w:asciiTheme="majorBidi" w:hAnsiTheme="majorBidi" w:cstheme="majorBidi"/>
        </w:rPr>
      </w:pPr>
      <w:r w:rsidRPr="005A1846">
        <w:rPr>
          <w:rFonts w:asciiTheme="majorBidi" w:hAnsiTheme="majorBidi" w:cstheme="majorBidi"/>
        </w:rPr>
        <w:t xml:space="preserve">This term ensures that the effective electron transfer rate approaches zero in the low-frequency limit </w:t>
      </w:r>
      <m:oMath>
        <m:r>
          <w:rPr>
            <w:rFonts w:ascii="Cambria Math" w:hAnsi="Cambria Math" w:cstheme="majorBidi"/>
          </w:rPr>
          <m:t xml:space="preserve">f→0 </m:t>
        </m:r>
      </m:oMath>
      <w:r w:rsidRPr="005A1846">
        <w:rPr>
          <w:rFonts w:asciiTheme="majorBidi" w:hAnsiTheme="majorBidi" w:cstheme="majorBidi"/>
        </w:rPr>
        <w:t>—</w:t>
      </w:r>
      <w:r w:rsidRPr="00C028F0">
        <w:rPr>
          <w:rFonts w:asciiTheme="majorBidi" w:hAnsiTheme="majorBidi" w:cstheme="majorBidi"/>
        </w:rPr>
        <w:t xml:space="preserve"> </w:t>
      </w:r>
      <w:r w:rsidRPr="005A1846">
        <w:rPr>
          <w:rFonts w:asciiTheme="majorBidi" w:hAnsiTheme="majorBidi" w:cstheme="majorBidi"/>
        </w:rPr>
        <w:t>reflecting the system’s near-equilibrium, reversible condition—and saturates to</w:t>
      </w:r>
      <w:r w:rsidRPr="00C028F0">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et,   base</m:t>
            </m:r>
          </m:sub>
        </m:sSub>
      </m:oMath>
      <w:r w:rsidRPr="00C028F0">
        <w:rPr>
          <w:rFonts w:asciiTheme="majorBidi" w:hAnsiTheme="majorBidi" w:cstheme="majorBidi"/>
        </w:rPr>
        <w:t xml:space="preserve"> </w:t>
      </w:r>
      <w:r w:rsidRPr="005A1846">
        <w:rPr>
          <w:rFonts w:asciiTheme="majorBidi" w:hAnsiTheme="majorBidi" w:cstheme="majorBidi"/>
        </w:rPr>
        <w:t>at intermediate-to-high frequencies. This frequency-responsive behaviour accounts for kinetic gating whereby only at faster interrogation rates does the electron transfer process become appreciably unbalanced, giving rise to a measurable net current.</w:t>
      </w:r>
    </w:p>
    <w:p w14:paraId="157AA235" w14:textId="77777777" w:rsidR="005A1846" w:rsidRPr="005A1846" w:rsidRDefault="005A1846" w:rsidP="00D06727">
      <w:pPr>
        <w:spacing w:line="276" w:lineRule="auto"/>
        <w:jc w:val="both"/>
        <w:rPr>
          <w:rFonts w:asciiTheme="majorBidi" w:hAnsiTheme="majorBidi" w:cstheme="majorBidi"/>
        </w:rPr>
      </w:pPr>
      <w:r w:rsidRPr="005A1846">
        <w:rPr>
          <w:rFonts w:asciiTheme="majorBidi" w:hAnsiTheme="majorBidi" w:cstheme="majorBidi"/>
        </w:rPr>
        <w:t>The net frequency-dependent amplitude is then expressed as:</w:t>
      </w:r>
    </w:p>
    <w:p w14:paraId="363EC757" w14:textId="73CA3757" w:rsidR="0005643F" w:rsidRPr="00C028F0"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net</m:t>
              </m:r>
            </m:sub>
          </m:sSub>
          <m:d>
            <m:dPr>
              <m:ctrlPr>
                <w:rPr>
                  <w:rFonts w:ascii="Cambria Math" w:hAnsi="Cambria Math" w:cstheme="majorBidi"/>
                  <w:i/>
                </w:rPr>
              </m:ctrlPr>
            </m:dPr>
            <m:e>
              <m:r>
                <w:rPr>
                  <w:rFonts w:ascii="Cambria Math" w:hAnsi="Cambria Math" w:cstheme="majorBidi"/>
                </w:rPr>
                <m:t>f</m:t>
              </m:r>
            </m:e>
          </m:d>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0</m:t>
              </m:r>
            </m:sub>
          </m:sSub>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k</m:t>
              </m:r>
            </m:e>
            <m:sub>
              <m:r>
                <m:rPr>
                  <m:sty m:val="p"/>
                </m:rPr>
                <w:rPr>
                  <w:rFonts w:ascii="Cambria Math" w:hAnsi="Cambria Math" w:cstheme="majorBidi"/>
                </w:rPr>
                <m:t>et</m:t>
              </m:r>
            </m:sub>
          </m:sSub>
          <m:d>
            <m:dPr>
              <m:ctrlPr>
                <w:rPr>
                  <w:rFonts w:ascii="Cambria Math" w:hAnsi="Cambria Math" w:cstheme="majorBidi"/>
                  <w:i/>
                </w:rPr>
              </m:ctrlPr>
            </m:dPr>
            <m:e>
              <m:r>
                <w:rPr>
                  <w:rFonts w:ascii="Cambria Math" w:hAnsi="Cambria Math" w:cstheme="majorBidi"/>
                </w:rPr>
                <m:t>f</m:t>
              </m:r>
            </m:e>
          </m:d>
          <m:r>
            <w:rPr>
              <w:rFonts w:ascii="Cambria Math" w:hAnsiTheme="majorBidi" w:cstheme="majorBidi"/>
            </w:rPr>
            <m:t>.</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conf</m:t>
                  </m:r>
                </m:sub>
              </m:sSub>
            </m:den>
          </m:f>
          <m:r>
            <w:rPr>
              <w:rFonts w:ascii="Cambria Math" w:hAnsi="Cambria Math" w:cstheme="majorBidi"/>
            </w:rPr>
            <m:t>)</m:t>
          </m:r>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others</m:t>
                  </m:r>
                </m:sub>
              </m:sSub>
            </m:den>
          </m:f>
          <m:r>
            <w:rPr>
              <w:rFonts w:ascii="Cambria Math" w:hAnsi="Cambria Math" w:cstheme="majorBidi"/>
            </w:rPr>
            <m:t>)</m:t>
          </m:r>
        </m:oMath>
      </m:oMathPara>
    </w:p>
    <w:p w14:paraId="31A1443C" w14:textId="07F4BDCC" w:rsidR="00F10D3E" w:rsidRPr="00C028F0" w:rsidRDefault="00F10D3E" w:rsidP="00D06727">
      <w:pPr>
        <w:spacing w:line="276" w:lineRule="auto"/>
        <w:jc w:val="both"/>
        <w:rPr>
          <w:rFonts w:asciiTheme="majorBidi" w:hAnsiTheme="majorBidi" w:cstheme="majorBidi"/>
        </w:rPr>
      </w:pPr>
      <w:r w:rsidRPr="00C028F0">
        <w:rPr>
          <w:rFonts w:asciiTheme="majorBidi" w:hAnsiTheme="majorBidi" w:cstheme="majorBidi"/>
        </w:rPr>
        <w:t xml:space="preserve">As with the Butler–Volmer formulation, the parameter set </w:t>
      </w:r>
      <m:oMath>
        <m:r>
          <w:rPr>
            <w:rFonts w:ascii="Cambria Math" w:hAnsi="Cambria Math" w:cstheme="majorBidi"/>
          </w:rPr>
          <m:t>{</m:t>
        </m:r>
        <m:r>
          <m:rPr>
            <m:sty m:val="p"/>
          </m:rPr>
          <w:rPr>
            <w:rFonts w:ascii="Cambria Math" w:hAnsi="Cambria Math" w:cstheme="majorBidi"/>
          </w:rPr>
          <m:t>Δ</m:t>
        </m:r>
        <m:sSup>
          <m:sSupPr>
            <m:ctrlPr>
              <w:rPr>
                <w:rFonts w:ascii="Cambria Math" w:hAnsi="Cambria Math" w:cstheme="majorBidi"/>
              </w:rPr>
            </m:ctrlPr>
          </m:sSupPr>
          <m:e>
            <m:r>
              <w:rPr>
                <w:rFonts w:ascii="Cambria Math" w:hAnsi="Cambria Math" w:cstheme="majorBidi"/>
              </w:rPr>
              <m:t>G</m:t>
            </m:r>
          </m:e>
          <m:sup>
            <m:r>
              <w:rPr>
                <w:rFonts w:ascii="Cambria Math" w:hAnsi="Cambria Math" w:cstheme="majorBidi"/>
              </w:rPr>
              <m:t>∘</m:t>
            </m:r>
          </m:sup>
        </m:sSup>
        <m:r>
          <w:rPr>
            <w:rFonts w:ascii="Cambria Math" w:hAnsi="Cambria Math" w:cstheme="majorBidi"/>
          </w:rPr>
          <m:t>,λ,</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others</m:t>
            </m:r>
          </m:sub>
        </m:sSub>
        <m:r>
          <w:rPr>
            <w:rFonts w:ascii="Cambria Math" w:hAnsi="Cambria Math" w:cstheme="majorBidi"/>
          </w:rPr>
          <m:t>}</m:t>
        </m:r>
      </m:oMath>
      <w:r w:rsidRPr="00C028F0">
        <w:rPr>
          <w:rFonts w:asciiTheme="majorBidi" w:hAnsiTheme="majorBidi" w:cstheme="majorBidi"/>
        </w:rPr>
        <w:t>can differ between the unbound and bound aptamer states, producing two distinct current–frequency profiles. In many experimental datasets, these two curves will intersect at some intermediate frequency, where the dynamic advantage of the bound state compensates for any thermodynamic disadvantage, and vice versa.</w:t>
      </w:r>
    </w:p>
    <w:p w14:paraId="2CD940D6" w14:textId="1EE1030C" w:rsidR="00CE6864" w:rsidRPr="00CE6864" w:rsidRDefault="00CE6864" w:rsidP="00D06727">
      <w:pPr>
        <w:spacing w:line="276" w:lineRule="auto"/>
        <w:jc w:val="both"/>
        <w:rPr>
          <w:rFonts w:asciiTheme="majorBidi" w:hAnsiTheme="majorBidi" w:cstheme="majorBidi"/>
        </w:rPr>
      </w:pPr>
      <w:r w:rsidRPr="00CE6864">
        <w:rPr>
          <w:rFonts w:asciiTheme="majorBidi" w:hAnsiTheme="majorBidi" w:cstheme="majorBidi"/>
        </w:rPr>
        <w:t xml:space="preserve">These physically grounded models, whether derived from Butler–Volmer kinetics or </w:t>
      </w:r>
      <w:proofErr w:type="gramStart"/>
      <w:r w:rsidRPr="00CE6864">
        <w:rPr>
          <w:rFonts w:asciiTheme="majorBidi" w:hAnsiTheme="majorBidi" w:cstheme="majorBidi"/>
        </w:rPr>
        <w:t>Marcus</w:t>
      </w:r>
      <w:proofErr w:type="gramEnd"/>
      <w:r w:rsidRPr="00CE6864">
        <w:rPr>
          <w:rFonts w:asciiTheme="majorBidi" w:hAnsiTheme="majorBidi" w:cstheme="majorBidi"/>
        </w:rPr>
        <w:t xml:space="preserve"> theory, offer a comprehensive frequency-domain framework that gracefully spans the full operating range of SWV interrogation. In the low-frequency limit, where the square wave perturbation is slow enough for the aptamer to fully relax between pulses, the signal amplitude approaches a steady-state value determined by the equilibrium binding state—i.e., close to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oMath>
      <w:r w:rsidRPr="00CE6864">
        <w:rPr>
          <w:rFonts w:asciiTheme="majorBidi" w:hAnsiTheme="majorBidi" w:cstheme="majorBidi"/>
        </w:rPr>
        <w:t xml:space="preserve">or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oMath>
      <w:r w:rsidRPr="00CE6864">
        <w:rPr>
          <w:rFonts w:asciiTheme="majorBidi" w:hAnsiTheme="majorBidi" w:cstheme="majorBidi"/>
        </w:rPr>
        <w:t>​. At intermediate frequencies, systems with faster electron transfer (typically the bound state, in “signal-on” sensors) maintain higher signal amplitudes, while those with slower kinetics (e.g., unbound or obstructed conformations) begin to show attenuated responses. At very high frequencies, however, even the kinetically favourable states are penalised by conformational gating and capacitive or mass transport limitations, leading to a universal decline in current amplitude for both states.</w:t>
      </w:r>
    </w:p>
    <w:p w14:paraId="25991E3F" w14:textId="77777777" w:rsidR="00CE6864" w:rsidRPr="00CE6864" w:rsidRDefault="00CE6864" w:rsidP="00D06727">
      <w:pPr>
        <w:spacing w:line="276" w:lineRule="auto"/>
        <w:jc w:val="both"/>
        <w:rPr>
          <w:rFonts w:asciiTheme="majorBidi" w:hAnsiTheme="majorBidi" w:cstheme="majorBidi"/>
        </w:rPr>
      </w:pPr>
      <w:r w:rsidRPr="00CE6864">
        <w:rPr>
          <w:rFonts w:asciiTheme="majorBidi" w:hAnsiTheme="majorBidi" w:cstheme="majorBidi"/>
        </w:rPr>
        <w:t>Thus, while the classic fraction-bound model:</w:t>
      </w:r>
    </w:p>
    <w:p w14:paraId="1CCDE9D9" w14:textId="3A1BE23F" w:rsidR="00CE6864" w:rsidRPr="00C028F0" w:rsidRDefault="00C15618" w:rsidP="00D06727">
      <w:pPr>
        <w:spacing w:line="276" w:lineRule="auto"/>
        <w:jc w:val="center"/>
        <w:rPr>
          <w:rFonts w:asciiTheme="majorBidi" w:hAnsiTheme="majorBidi" w:cstheme="majorBidi"/>
        </w:rPr>
      </w:pPr>
      <m:oMathPara>
        <m:oMath>
          <m:r>
            <w:rPr>
              <w:rFonts w:ascii="Cambria Math" w:hAnsi="Cambria Math" w:cstheme="majorBidi"/>
            </w:rPr>
            <m:t>I</m:t>
          </m:r>
          <m:r>
            <m:rPr>
              <m:nor/>
            </m:rPr>
            <w:rPr>
              <w:rFonts w:asciiTheme="majorBidi" w:hAnsiTheme="majorBidi" w:cstheme="majorBidi"/>
            </w:rPr>
            <m:t>  </m:t>
          </m:r>
          <m:r>
            <w:rPr>
              <w:rFonts w:ascii="Cambria Math" w:hAnsi="Cambria Math" w:cstheme="majorBidi"/>
            </w:rPr>
            <m:t>I=</m:t>
          </m:r>
          <m:sSub>
            <m:sSubPr>
              <m:ctrlPr>
                <w:rPr>
                  <w:rFonts w:ascii="Cambria Math" w:hAnsi="Cambria Math" w:cstheme="majorBidi"/>
                </w:rPr>
              </m:ctrlPr>
            </m:sSubPr>
            <m:e>
              <m:r>
                <w:rPr>
                  <w:rFonts w:ascii="Cambria Math" w:hAnsi="Cambria Math" w:cstheme="majorBidi"/>
                </w:rPr>
                <m:t>I</m:t>
              </m:r>
            </m:e>
            <m:sub>
              <m:r>
                <m:rPr>
                  <m:nor/>
                </m:rPr>
                <w:rPr>
                  <w:rFonts w:cstheme="majorBidi"/>
                </w:rPr>
                <m:t>min</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nor/>
                </m:rPr>
                <w:rPr>
                  <w:rFonts w:cstheme="majorBidi"/>
                </w:rPr>
                <m:t>max</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nor/>
                </m:rPr>
                <w:rPr>
                  <w:rFonts w:cstheme="majorBidi"/>
                </w:rPr>
                <m:t>min</m:t>
              </m:r>
            </m:sub>
          </m:sSub>
          <m:r>
            <w:rPr>
              <w:rFonts w:ascii="Cambria Math" w:hAnsi="Cambria Math" w:cstheme="majorBidi"/>
            </w:rPr>
            <m:t>)⋅θ,θ=</m:t>
          </m:r>
          <m:f>
            <m:fPr>
              <m:ctrlPr>
                <w:rPr>
                  <w:rFonts w:ascii="Cambria Math" w:hAnsi="Cambria Math" w:cstheme="majorBidi"/>
                </w:rPr>
              </m:ctrlPr>
            </m:fPr>
            <m:num>
              <m:r>
                <w:rPr>
                  <w:rFonts w:ascii="Cambria Math" w:hAnsi="Cambria Math" w:cstheme="majorBidi"/>
                </w:rPr>
                <m:t>[T]</m:t>
              </m:r>
            </m:num>
            <m:den>
              <m:sSub>
                <m:sSubPr>
                  <m:ctrlPr>
                    <w:rPr>
                      <w:rFonts w:ascii="Cambria Math" w:hAnsi="Cambria Math" w:cstheme="majorBid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+[T]</m:t>
              </m:r>
            </m:den>
          </m:f>
        </m:oMath>
      </m:oMathPara>
    </w:p>
    <w:p w14:paraId="69E3B9F6" w14:textId="77777777" w:rsidR="00146792" w:rsidRPr="00C028F0" w:rsidRDefault="00146792" w:rsidP="00D06727">
      <w:pPr>
        <w:spacing w:line="276" w:lineRule="auto"/>
        <w:jc w:val="both"/>
        <w:rPr>
          <w:rFonts w:asciiTheme="majorBidi" w:hAnsiTheme="majorBidi" w:cstheme="majorBidi"/>
        </w:rPr>
      </w:pPr>
      <w:r w:rsidRPr="00C028F0">
        <w:rPr>
          <w:rFonts w:asciiTheme="majorBidi" w:hAnsiTheme="majorBidi" w:cstheme="majorBidi"/>
        </w:rPr>
        <w:t xml:space="preserve">describes how molecular recognition governs the equilibrium amplitude of the signal, the frequency-dependent Butler–Volmer and Marcus-based models offer additional layers of interpretation—revealing how kinetic limitations shape the amplitude as a function of square-wave interrogation rate. If measurements at partial target concentrations are available, these models can be interpolated by weighting the unbound and bound state amplitudes proportionally using the Hill–Langmuir formalism. However, in most practical scenarios, </w:t>
      </w:r>
      <w:r w:rsidRPr="00C028F0">
        <w:rPr>
          <w:rFonts w:asciiTheme="majorBidi" w:hAnsiTheme="majorBidi" w:cstheme="majorBidi"/>
        </w:rPr>
        <w:lastRenderedPageBreak/>
        <w:t>measurements at just the two extremes (unbound and saturated states) suffice to elucidate how electron transfer kinetics differ between the aptamer conformations.</w:t>
      </w:r>
    </w:p>
    <w:p w14:paraId="28E0C329" w14:textId="0E045CB5" w:rsidR="00D806C2" w:rsidRPr="00C028F0" w:rsidRDefault="005142D0" w:rsidP="00D06727">
      <w:pPr>
        <w:spacing w:line="276" w:lineRule="auto"/>
        <w:jc w:val="both"/>
        <w:rPr>
          <w:rFonts w:asciiTheme="majorBidi" w:hAnsiTheme="majorBidi" w:cstheme="majorBidi"/>
        </w:rPr>
      </w:pPr>
      <w:r w:rsidRPr="00C028F0">
        <w:rPr>
          <w:rFonts w:asciiTheme="majorBidi" w:hAnsiTheme="majorBidi" w:cstheme="majorBidi"/>
        </w:rPr>
        <w:t>Finally, it is worth noting that the choice of experimental observable—whether peak current or integrated charge—does not alter the underlying physical model. Both metrics reflect the net electron transfer occurring within each cycle of the SWV waveform. So</w:t>
      </w:r>
      <w:r w:rsidR="00960D1D" w:rsidRPr="00C028F0">
        <w:rPr>
          <w:rFonts w:asciiTheme="majorBidi" w:hAnsiTheme="majorBidi" w:cstheme="majorBidi"/>
        </w:rPr>
        <w:t xml:space="preserve"> </w:t>
      </w:r>
      <w:proofErr w:type="gramStart"/>
      <w:r w:rsidR="00960D1D" w:rsidRPr="00C028F0">
        <w:rPr>
          <w:rFonts w:asciiTheme="majorBidi" w:hAnsiTheme="majorBidi" w:cstheme="majorBidi"/>
        </w:rPr>
        <w:t>as</w:t>
      </w:r>
      <w:r w:rsidRPr="00C028F0">
        <w:rPr>
          <w:rFonts w:asciiTheme="majorBidi" w:hAnsiTheme="majorBidi" w:cstheme="majorBidi"/>
        </w:rPr>
        <w:t xml:space="preserve"> long as</w:t>
      </w:r>
      <w:proofErr w:type="gramEnd"/>
      <w:r w:rsidRPr="00C028F0">
        <w:rPr>
          <w:rFonts w:asciiTheme="majorBidi" w:hAnsiTheme="majorBidi" w:cstheme="majorBidi"/>
        </w:rPr>
        <w:t xml:space="preserve"> a single, consistent amplitude is extracted per frequency per state, the data can be fitted using the same framework. Integrated charge measurements may prove more robust in capturing sluggish kinetics and capacitive delays, whereas peak current readings offer more direct correspondence with redox event intensity. The critical requirement is that each frequency point yields one amplitude for the unbound state and one for the bound state—these forming the fundamental dataset to which physically motivated models are fitted.</w:t>
      </w:r>
    </w:p>
    <w:p w14:paraId="414E5D8B" w14:textId="77777777" w:rsidR="00374866" w:rsidRPr="00374866" w:rsidRDefault="00374866" w:rsidP="00D06727">
      <w:pPr>
        <w:spacing w:line="276" w:lineRule="auto"/>
        <w:jc w:val="both"/>
        <w:rPr>
          <w:rFonts w:asciiTheme="majorBidi" w:hAnsiTheme="majorBidi" w:cstheme="majorBidi"/>
          <w:b/>
          <w:bCs/>
        </w:rPr>
      </w:pPr>
      <w:r w:rsidRPr="00374866">
        <w:rPr>
          <w:rFonts w:asciiTheme="majorBidi" w:hAnsiTheme="majorBidi" w:cstheme="majorBidi"/>
          <w:b/>
          <w:bCs/>
        </w:rPr>
        <w:t>Conclusion</w:t>
      </w:r>
    </w:p>
    <w:p w14:paraId="7667856B" w14:textId="77777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The development and refinement of electrochemical aptamer-based (E-AB) sensors have opened a versatile avenue for the detection of biologically and environmentally relevant analytes. While equilibrium binding models, such as the Hill–Langmuir isotherm, have provided a foundational understanding of how aptamer–target interactions modulate sensor response, they remain inherently limited in their ability to describe dynamic processes, especially under time-dependent electrochemical interrogation methods such as Square Wave Voltammetry (SWV). In such contexts, it is not solely the equilibrium fraction of bound aptamers that determines the observed signal, but also the rates at which electron transfer and associated molecular events occur in response to rapid perturbations in applied potential.</w:t>
      </w:r>
    </w:p>
    <w:p w14:paraId="7C765799" w14:textId="77777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 xml:space="preserve">To address these limitations, this work introduces a framework that explicitly incorporates </w:t>
      </w:r>
      <w:r w:rsidRPr="00374866">
        <w:rPr>
          <w:rFonts w:asciiTheme="majorBidi" w:hAnsiTheme="majorBidi" w:cstheme="majorBidi"/>
          <w:b/>
          <w:bCs/>
        </w:rPr>
        <w:t>frequency-dependent modifications</w:t>
      </w:r>
      <w:r w:rsidRPr="00374866">
        <w:rPr>
          <w:rFonts w:asciiTheme="majorBidi" w:hAnsiTheme="majorBidi" w:cstheme="majorBidi"/>
        </w:rPr>
        <w:t xml:space="preserve"> into two of the most widely used kinetic models in electrochemistry: the Butler–Volmer equation and </w:t>
      </w:r>
      <w:proofErr w:type="gramStart"/>
      <w:r w:rsidRPr="00374866">
        <w:rPr>
          <w:rFonts w:asciiTheme="majorBidi" w:hAnsiTheme="majorBidi" w:cstheme="majorBidi"/>
        </w:rPr>
        <w:t>Marcus</w:t>
      </w:r>
      <w:proofErr w:type="gramEnd"/>
      <w:r w:rsidRPr="00374866">
        <w:rPr>
          <w:rFonts w:asciiTheme="majorBidi" w:hAnsiTheme="majorBidi" w:cstheme="majorBidi"/>
        </w:rPr>
        <w:t xml:space="preserve"> theory. This innovation enables the modelling of current or charge responses under SWV conditions in a manner that reflects the distinct kinetic profiles of bound versus unbound aptamer states.</w:t>
      </w:r>
    </w:p>
    <w:p w14:paraId="630B80FD" w14:textId="69743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 xml:space="preserve">In the case of the Butler–Volmer formalism, a frequency-dependent effective overpotential, </w:t>
      </w:r>
      <m:oMath>
        <m:sSub>
          <m:sSubPr>
            <m:ctrlPr>
              <w:rPr>
                <w:rFonts w:ascii="Cambria Math" w:hAnsi="Cambria Math" w:cstheme="majorBidi"/>
              </w:rPr>
            </m:ctrlPr>
          </m:sSubPr>
          <m:e>
            <m:r>
              <w:rPr>
                <w:rFonts w:ascii="Cambria Math" w:hAnsi="Cambria Math" w:cstheme="majorBidi"/>
              </w:rPr>
              <m:t>η</m:t>
            </m:r>
          </m:e>
          <m:sub>
            <m:r>
              <m:rPr>
                <m:nor/>
              </m:rPr>
              <w:rPr>
                <w:rFonts w:asciiTheme="majorBidi" w:hAnsiTheme="majorBidi" w:cstheme="majorBidi"/>
              </w:rPr>
              <m:t>eff</m:t>
            </m:r>
          </m:sub>
        </m:sSub>
        <m:r>
          <w:rPr>
            <w:rFonts w:ascii="Cambria Math" w:hAnsi="Cambria Math" w:cstheme="majorBidi"/>
          </w:rPr>
          <m:t>(f)</m:t>
        </m:r>
      </m:oMath>
      <w:r w:rsidRPr="00374866">
        <w:rPr>
          <w:rFonts w:asciiTheme="majorBidi" w:hAnsiTheme="majorBidi" w:cstheme="majorBidi"/>
        </w:rPr>
        <w:t xml:space="preserve">, was introduced to modulate the net electron transfer rate as a function of SWV frequency. At low frequencies, </w:t>
      </w:r>
      <m:oMath>
        <m:sSub>
          <m:sSubPr>
            <m:ctrlPr>
              <w:rPr>
                <w:rFonts w:ascii="Cambria Math" w:hAnsi="Cambria Math" w:cstheme="majorBidi"/>
              </w:rPr>
            </m:ctrlPr>
          </m:sSubPr>
          <m:e>
            <m:r>
              <w:rPr>
                <w:rFonts w:ascii="Cambria Math" w:hAnsi="Cambria Math" w:cstheme="majorBidi"/>
              </w:rPr>
              <m:t>η</m:t>
            </m:r>
          </m:e>
          <m:sub>
            <m:r>
              <m:rPr>
                <m:nor/>
              </m:rPr>
              <w:rPr>
                <w:rFonts w:asciiTheme="majorBidi" w:hAnsiTheme="majorBidi" w:cstheme="majorBidi"/>
              </w:rPr>
              <m:t>eff</m:t>
            </m:r>
          </m:sub>
        </m:sSub>
      </m:oMath>
      <w:r w:rsidRPr="00374866">
        <w:rPr>
          <w:rFonts w:asciiTheme="majorBidi" w:hAnsiTheme="majorBidi" w:cstheme="majorBidi"/>
        </w:rPr>
        <w:t xml:space="preserve">​ remains near zero, capturing the quasi-equilibrium nature of electron transfer during slowly varying potential cycles. As frequency increases, </w:t>
      </w:r>
      <m:oMath>
        <m:sSub>
          <m:sSubPr>
            <m:ctrlPr>
              <w:rPr>
                <w:rFonts w:ascii="Cambria Math" w:hAnsi="Cambria Math" w:cstheme="majorBidi"/>
              </w:rPr>
            </m:ctrlPr>
          </m:sSubPr>
          <m:e>
            <m:r>
              <w:rPr>
                <w:rFonts w:ascii="Cambria Math" w:hAnsi="Cambria Math" w:cstheme="majorBidi"/>
              </w:rPr>
              <m:t>η</m:t>
            </m:r>
          </m:e>
          <m:sub>
            <m:r>
              <m:rPr>
                <m:nor/>
              </m:rPr>
              <w:rPr>
                <w:rFonts w:asciiTheme="majorBidi" w:hAnsiTheme="majorBidi" w:cstheme="majorBidi"/>
              </w:rPr>
              <m:t>eff</m:t>
            </m:r>
          </m:sub>
        </m:sSub>
      </m:oMath>
      <w:r w:rsidR="00651DCC" w:rsidRPr="00C028F0">
        <w:rPr>
          <w:rFonts w:asciiTheme="majorBidi" w:hAnsiTheme="majorBidi" w:cstheme="majorBidi"/>
        </w:rPr>
        <w:t xml:space="preserve"> </w:t>
      </w:r>
      <w:r w:rsidRPr="00374866">
        <w:rPr>
          <w:rFonts w:asciiTheme="majorBidi" w:hAnsiTheme="majorBidi" w:cstheme="majorBidi"/>
        </w:rPr>
        <w:t xml:space="preserve">asymptotically approaches a limiting value, </w:t>
      </w:r>
      <m:oMath>
        <m:sSub>
          <m:sSubPr>
            <m:ctrlPr>
              <w:rPr>
                <w:rFonts w:ascii="Cambria Math" w:hAnsi="Cambria Math" w:cstheme="majorBidi"/>
              </w:rPr>
            </m:ctrlPr>
          </m:sSubPr>
          <m:e>
            <m:r>
              <w:rPr>
                <w:rFonts w:ascii="Cambria Math" w:hAnsi="Cambria Math" w:cstheme="majorBidi"/>
              </w:rPr>
              <m:t>η</m:t>
            </m:r>
          </m:e>
          <m:sub>
            <m:r>
              <w:rPr>
                <w:rFonts w:ascii="Cambria Math" w:hAnsi="Cambria Math" w:cstheme="majorBidi"/>
              </w:rPr>
              <m:t>0</m:t>
            </m:r>
          </m:sub>
        </m:sSub>
      </m:oMath>
      <w:r w:rsidRPr="00374866">
        <w:rPr>
          <w:rFonts w:asciiTheme="majorBidi" w:hAnsiTheme="majorBidi" w:cstheme="majorBidi"/>
        </w:rPr>
        <w:t xml:space="preserve">​, reflecting a progressively larger driving force due to limited relaxation time. This extension allows the model to reproduce the characteristic </w:t>
      </w:r>
      <w:r w:rsidRPr="00374866">
        <w:rPr>
          <w:rFonts w:asciiTheme="majorBidi" w:hAnsiTheme="majorBidi" w:cstheme="majorBidi"/>
          <w:i/>
          <w:iCs/>
        </w:rPr>
        <w:t>rise–then–fall</w:t>
      </w:r>
      <w:r w:rsidRPr="00374866">
        <w:rPr>
          <w:rFonts w:asciiTheme="majorBidi" w:hAnsiTheme="majorBidi" w:cstheme="majorBidi"/>
        </w:rPr>
        <w:t xml:space="preserve"> profile observed experimentally, wherein current amplitude increases with frequency up to a certain point before declining due to gating and damping effects.</w:t>
      </w:r>
    </w:p>
    <w:p w14:paraId="4B606637" w14:textId="2AFA0A0C"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 xml:space="preserve">Complementarily, </w:t>
      </w:r>
      <w:proofErr w:type="gramStart"/>
      <w:r w:rsidRPr="00374866">
        <w:rPr>
          <w:rFonts w:asciiTheme="majorBidi" w:hAnsiTheme="majorBidi" w:cstheme="majorBidi"/>
        </w:rPr>
        <w:t>Marcus</w:t>
      </w:r>
      <w:proofErr w:type="gramEnd"/>
      <w:r w:rsidRPr="00374866">
        <w:rPr>
          <w:rFonts w:asciiTheme="majorBidi" w:hAnsiTheme="majorBidi" w:cstheme="majorBidi"/>
        </w:rPr>
        <w:t xml:space="preserve"> theory was adapted to the frequency domain by allowing the electron transfer rate </w:t>
      </w:r>
      <m:oMath>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sub>
        </m:sSub>
      </m:oMath>
      <w:r w:rsidRPr="00374866">
        <w:rPr>
          <w:rFonts w:asciiTheme="majorBidi" w:hAnsiTheme="majorBidi" w:cstheme="majorBidi"/>
        </w:rPr>
        <w:t xml:space="preserve">​ to evolve as a function of frequency via a saturating exponential function. This adjustment simulates how the system’s response transitions from a reversible regime, with negligible net current, to one dominated by irreversible kinetics where electron transfer is increasingly driven by non-equilibrium conditions. Importantly, </w:t>
      </w:r>
      <w:proofErr w:type="gramStart"/>
      <w:r w:rsidRPr="00374866">
        <w:rPr>
          <w:rFonts w:asciiTheme="majorBidi" w:hAnsiTheme="majorBidi" w:cstheme="majorBidi"/>
        </w:rPr>
        <w:t>Marcus</w:t>
      </w:r>
      <w:proofErr w:type="gramEnd"/>
      <w:r w:rsidRPr="00374866">
        <w:rPr>
          <w:rFonts w:asciiTheme="majorBidi" w:hAnsiTheme="majorBidi" w:cstheme="majorBidi"/>
        </w:rPr>
        <w:t xml:space="preserve"> theory introduces a conceptual depth absent from simpler models, including the possibility of observing the </w:t>
      </w:r>
      <w:r w:rsidRPr="00374866">
        <w:rPr>
          <w:rFonts w:asciiTheme="majorBidi" w:hAnsiTheme="majorBidi" w:cstheme="majorBidi"/>
          <w:i/>
          <w:iCs/>
        </w:rPr>
        <w:t>inverted region</w:t>
      </w:r>
      <w:r w:rsidRPr="00374866">
        <w:rPr>
          <w:rFonts w:asciiTheme="majorBidi" w:hAnsiTheme="majorBidi" w:cstheme="majorBidi"/>
        </w:rPr>
        <w:t>—a regime in which excessive driving force paradoxically reduces the rate of electron transfer. Although this regime may not be prevalent in typical E-AB configurations, the inclusion of Marcus-derived expressions enhances the theoretical robustness and interpretability of the simulation framework.</w:t>
      </w:r>
    </w:p>
    <w:p w14:paraId="4C3E32EE" w14:textId="489BBCDE"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lastRenderedPageBreak/>
        <w:t>Beyond these two core models, the framework recognises the multiplicity of additional processes that influence E-AB sensor behaviour. These include conformational gating of the aptamer upon target binding, interfacial capacitive effects associated with double-layer charging, limitations in mass transport, and non-specific adsorption or surface passivation phenomena. Rather than complicating the core equations with excessive mechanistic detail, these effects are elegantly incorporated as independent exponential decay terms, parameterised by characteristic frequencies</w:t>
      </w:r>
      <w:r w:rsidR="00364F86" w:rsidRPr="00C028F0">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r>
          <w:rPr>
            <w:rFonts w:ascii="Cambria Math" w:hAnsiTheme="majorBidi" w:cstheme="majorBidi"/>
          </w:rPr>
          <m:t xml:space="preserve"> , </m:t>
        </m:r>
        <m:sSub>
          <m:sSubPr>
            <m:ctrlPr>
              <w:rPr>
                <w:rFonts w:ascii="Cambria Math" w:hAnsiTheme="majorBidi" w:cstheme="majorBidi"/>
              </w:rPr>
            </m:ctrlPr>
          </m:sSubPr>
          <m:e>
            <m:r>
              <w:rPr>
                <w:rFonts w:ascii="Cambria Math" w:hAnsiTheme="majorBidi" w:cstheme="majorBidi"/>
              </w:rPr>
              <m:t>f</m:t>
            </m:r>
          </m:e>
          <m:sub>
            <m:r>
              <m:rPr>
                <m:nor/>
              </m:rPr>
              <w:rPr>
                <w:rFonts w:hAnsiTheme="majorBidi" w:cstheme="majorBidi"/>
              </w:rPr>
              <m:t>DL</m:t>
            </m:r>
            <m:r>
              <m:rPr>
                <m:nor/>
              </m:rPr>
              <w:rPr>
                <w:rFonts w:ascii="Cambria Math" w:hAnsiTheme="majorBidi" w:cstheme="majorBidi"/>
              </w:rPr>
              <m:t xml:space="preserve"> </m:t>
            </m:r>
          </m:sub>
        </m:sSub>
        <m:r>
          <w:rPr>
            <w:rFonts w:ascii="Cambria Math" w:hAnsiTheme="majorBidi" w:cstheme="majorBidi"/>
          </w:rPr>
          <m:t xml:space="preserve">, </m:t>
        </m:r>
        <m:sSub>
          <m:sSubPr>
            <m:ctrlPr>
              <w:rPr>
                <w:rFonts w:ascii="Cambria Math" w:hAnsiTheme="majorBidi" w:cstheme="majorBidi"/>
              </w:rPr>
            </m:ctrlPr>
          </m:sSubPr>
          <m:e>
            <m:r>
              <w:rPr>
                <w:rFonts w:ascii="Cambria Math" w:hAnsiTheme="majorBidi" w:cstheme="majorBidi"/>
              </w:rPr>
              <m:t>f</m:t>
            </m:r>
          </m:e>
          <m:sub>
            <m:r>
              <m:rPr>
                <m:nor/>
              </m:rPr>
              <w:rPr>
                <w:rFonts w:hAnsiTheme="majorBidi" w:cstheme="majorBidi"/>
              </w:rPr>
              <m:t>mass</m:t>
            </m:r>
            <m:r>
              <m:rPr>
                <m:nor/>
              </m:rPr>
              <w:rPr>
                <w:rFonts w:ascii="Cambria Math" w:hAnsiTheme="majorBidi" w:cstheme="majorBidi"/>
              </w:rPr>
              <m:t xml:space="preserve">  </m:t>
            </m:r>
          </m:sub>
        </m:sSub>
        <m:r>
          <w:rPr>
            <w:rFonts w:ascii="Cambria Math" w:hAnsiTheme="majorBidi" w:cstheme="majorBidi"/>
          </w:rPr>
          <m:t>etc</m:t>
        </m:r>
      </m:oMath>
      <w:r w:rsidRPr="00374866">
        <w:rPr>
          <w:rFonts w:asciiTheme="majorBidi" w:hAnsiTheme="majorBidi" w:cstheme="majorBidi"/>
        </w:rPr>
        <w:t>. This series-based formulation allows the total current or charge signal to be modulated by the compounded effects of all relevant kinetic barriers, capturing a more realistic representation of sensor performance across a wide range of frequencies.</w:t>
      </w:r>
    </w:p>
    <w:p w14:paraId="0934C455" w14:textId="77777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A particularly important feature of the presented approach is that it facilitates a direct correlation between SWV frequency and kinetic differentiation of the bound versus unbound states. In “signal-on” E-AB sensors, the bound state typically exhibits faster electron transfer due to favourable spatial proximity of the redox reporter to the electrode. Consequently, as SWV frequency increases, the current associated with the bound state retains higher amplitude than that of the unbound state, which decays more rapidly due to its sluggish kinetics. This differential decay is the very signal exploited in E-AB sensor analysis and is precisely what is captured by the frequency-dependent extensions introduced here.</w:t>
      </w:r>
    </w:p>
    <w:p w14:paraId="485CAB9F" w14:textId="77777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Moreover, while the amplitude extracted from SWV data may be presented either as peak current or as integrated charge, the modelling framework accommodates both metrics equivalently. So long as a consistent amplitude is extracted per frequency, the underlying principles and fitting procedures remain unchanged. Integrated charge may offer greater sensitivity to slow or broad processes, whereas peak current may be more robust for sharper, well-defined responses—yet both reflect the fundamental kinetics of the electron transfer process over the course of the SWV cycle.</w:t>
      </w:r>
    </w:p>
    <w:p w14:paraId="2630DC30" w14:textId="77777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In aggregate, this modelling strategy offers a unified platform for simulating and interpreting the performance of E-AB sensors under realistic, frequency-varying conditions. By bridging molecular recognition with kinetic electron transfer theory, it enables the simulation of current and charge profiles that align with empirical observations, all while maintaining physical interpretability of the parameters involved.</w:t>
      </w:r>
    </w:p>
    <w:p w14:paraId="3B7BE6B8" w14:textId="281CA183" w:rsidR="00374866" w:rsidRPr="00374866" w:rsidRDefault="00573652" w:rsidP="00D06727">
      <w:pPr>
        <w:spacing w:line="276" w:lineRule="auto"/>
        <w:jc w:val="both"/>
        <w:rPr>
          <w:rFonts w:asciiTheme="majorBidi" w:hAnsiTheme="majorBidi" w:cstheme="majorBidi"/>
        </w:rPr>
      </w:pPr>
      <w:r w:rsidRPr="00C028F0">
        <w:rPr>
          <w:rFonts w:asciiTheme="majorBidi" w:hAnsiTheme="majorBidi" w:cstheme="majorBidi"/>
        </w:rPr>
        <w:t>T</w:t>
      </w:r>
      <w:r w:rsidR="00374866" w:rsidRPr="00374866">
        <w:rPr>
          <w:rFonts w:asciiTheme="majorBidi" w:hAnsiTheme="majorBidi" w:cstheme="majorBidi"/>
        </w:rPr>
        <w:t xml:space="preserve">he </w:t>
      </w:r>
      <w:r w:rsidRPr="00C028F0">
        <w:rPr>
          <w:rFonts w:asciiTheme="majorBidi" w:hAnsiTheme="majorBidi" w:cstheme="majorBidi"/>
        </w:rPr>
        <w:t xml:space="preserve">entire </w:t>
      </w:r>
      <w:r w:rsidR="00374866" w:rsidRPr="00374866">
        <w:rPr>
          <w:rFonts w:asciiTheme="majorBidi" w:hAnsiTheme="majorBidi" w:cstheme="majorBidi"/>
        </w:rPr>
        <w:t xml:space="preserve">theoretical developments and modelling strategies outlined herein have been implemented in a bespoke simulation tool named </w:t>
      </w:r>
      <w:proofErr w:type="spellStart"/>
      <w:r w:rsidR="00374866" w:rsidRPr="00374866">
        <w:rPr>
          <w:rFonts w:asciiTheme="majorBidi" w:hAnsiTheme="majorBidi" w:cstheme="majorBidi"/>
          <w:b/>
          <w:bCs/>
        </w:rPr>
        <w:t>Aptakin</w:t>
      </w:r>
      <w:proofErr w:type="spellEnd"/>
      <w:r w:rsidR="00374866" w:rsidRPr="00374866">
        <w:rPr>
          <w:rFonts w:asciiTheme="majorBidi" w:hAnsiTheme="majorBidi" w:cstheme="majorBidi"/>
        </w:rPr>
        <w:t xml:space="preserve">. The </w:t>
      </w:r>
      <w:proofErr w:type="spellStart"/>
      <w:r w:rsidR="00374866" w:rsidRPr="00374866">
        <w:rPr>
          <w:rFonts w:asciiTheme="majorBidi" w:hAnsiTheme="majorBidi" w:cstheme="majorBidi"/>
          <w:i/>
          <w:iCs/>
        </w:rPr>
        <w:t>Aptakin</w:t>
      </w:r>
      <w:proofErr w:type="spellEnd"/>
      <w:r w:rsidR="00374866" w:rsidRPr="00374866">
        <w:rPr>
          <w:rFonts w:asciiTheme="majorBidi" w:hAnsiTheme="majorBidi" w:cstheme="majorBidi"/>
        </w:rPr>
        <w:t xml:space="preserve"> software provides a user-friendly environment for exploring how aptamer sequence, binding kinetics, electrode design, and SWV interrogation parameters affect sensor output. It supports both the Butler–Volmer and Marcus-based models with user-definable frequency parameters, as well as options to incorporate various exponential decay terms representing secondary processes. </w:t>
      </w:r>
      <w:proofErr w:type="spellStart"/>
      <w:r w:rsidR="00374866" w:rsidRPr="00374866">
        <w:rPr>
          <w:rFonts w:asciiTheme="majorBidi" w:hAnsiTheme="majorBidi" w:cstheme="majorBidi"/>
        </w:rPr>
        <w:t>Aptakin</w:t>
      </w:r>
      <w:proofErr w:type="spellEnd"/>
      <w:r w:rsidR="00374866" w:rsidRPr="00374866">
        <w:rPr>
          <w:rFonts w:asciiTheme="majorBidi" w:hAnsiTheme="majorBidi" w:cstheme="majorBidi"/>
        </w:rPr>
        <w:t xml:space="preserve"> has been designed with researchers in mind, offering a practical and flexible tool for the design, optimisation, and characterisation of next-generation E-AB sensors.</w:t>
      </w:r>
    </w:p>
    <w:p w14:paraId="1B4EED0C" w14:textId="77777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Through this work, we hope to advance both the theoretical and practical understanding of how frequency interrogation can be harnessed to reveal and exploit the subtle kinetic differences between binding states—thereby enhancing the precision, reliability, and utility of E-AB sensor technologies.</w:t>
      </w:r>
    </w:p>
    <w:p w14:paraId="63D9F591" w14:textId="02DB1C9A" w:rsidR="00374866" w:rsidRPr="00C028F0" w:rsidRDefault="00187C03" w:rsidP="00187C03">
      <w:pPr>
        <w:spacing w:line="276" w:lineRule="auto"/>
        <w:jc w:val="both"/>
        <w:rPr>
          <w:rFonts w:asciiTheme="majorBidi" w:hAnsiTheme="majorBidi" w:cstheme="majorBidi"/>
        </w:rPr>
      </w:pPr>
      <w:r w:rsidRPr="00C028F0">
        <w:rPr>
          <w:rFonts w:asciiTheme="majorBidi" w:hAnsiTheme="majorBidi" w:cstheme="majorBidi"/>
        </w:rPr>
        <w:t xml:space="preserve">--- End of Script --- </w:t>
      </w:r>
    </w:p>
    <w:p w14:paraId="24BD63C8" w14:textId="5CB08857" w:rsidR="00D06727" w:rsidRPr="00C028F0" w:rsidRDefault="00D06727" w:rsidP="00187C03">
      <w:pPr>
        <w:spacing w:line="276" w:lineRule="auto"/>
        <w:jc w:val="right"/>
        <w:rPr>
          <w:rFonts w:asciiTheme="majorBidi" w:hAnsiTheme="majorBidi" w:cstheme="majorBidi"/>
          <w:i/>
          <w:iCs/>
          <w:sz w:val="20"/>
          <w:szCs w:val="20"/>
        </w:rPr>
      </w:pPr>
      <w:r w:rsidRPr="00C028F0">
        <w:rPr>
          <w:rFonts w:asciiTheme="majorBidi" w:hAnsiTheme="majorBidi" w:cstheme="majorBidi"/>
          <w:i/>
          <w:iCs/>
          <w:sz w:val="20"/>
          <w:szCs w:val="20"/>
        </w:rPr>
        <w:t>27 March 2025</w:t>
      </w:r>
    </w:p>
    <w:sectPr w:rsidR="00D06727" w:rsidRPr="00C028F0" w:rsidSect="002B6C04">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201"/>
    <w:multiLevelType w:val="multilevel"/>
    <w:tmpl w:val="B456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7815"/>
    <w:multiLevelType w:val="hybridMultilevel"/>
    <w:tmpl w:val="E61206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B17D32"/>
    <w:multiLevelType w:val="multilevel"/>
    <w:tmpl w:val="778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52D8C"/>
    <w:multiLevelType w:val="multilevel"/>
    <w:tmpl w:val="0446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73313"/>
    <w:multiLevelType w:val="hybridMultilevel"/>
    <w:tmpl w:val="F53C9E6A"/>
    <w:lvl w:ilvl="0" w:tplc="E95E5966">
      <w:start w:val="27"/>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672ED0"/>
    <w:multiLevelType w:val="hybridMultilevel"/>
    <w:tmpl w:val="27A0AF54"/>
    <w:lvl w:ilvl="0" w:tplc="B4DE2FA4">
      <w:start w:val="27"/>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D46BCC"/>
    <w:multiLevelType w:val="multilevel"/>
    <w:tmpl w:val="679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85D9A"/>
    <w:multiLevelType w:val="multilevel"/>
    <w:tmpl w:val="46B0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672689">
    <w:abstractNumId w:val="1"/>
  </w:num>
  <w:num w:numId="2" w16cid:durableId="749885401">
    <w:abstractNumId w:val="3"/>
  </w:num>
  <w:num w:numId="3" w16cid:durableId="961880498">
    <w:abstractNumId w:val="6"/>
  </w:num>
  <w:num w:numId="4" w16cid:durableId="1202278443">
    <w:abstractNumId w:val="0"/>
  </w:num>
  <w:num w:numId="5" w16cid:durableId="210770665">
    <w:abstractNumId w:val="7"/>
  </w:num>
  <w:num w:numId="6" w16cid:durableId="21982903">
    <w:abstractNumId w:val="2"/>
  </w:num>
  <w:num w:numId="7" w16cid:durableId="1431850501">
    <w:abstractNumId w:val="5"/>
  </w:num>
  <w:num w:numId="8" w16cid:durableId="214320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EB"/>
    <w:rsid w:val="00022BD3"/>
    <w:rsid w:val="0005643F"/>
    <w:rsid w:val="00061E3F"/>
    <w:rsid w:val="00086A8E"/>
    <w:rsid w:val="000B7870"/>
    <w:rsid w:val="000C5B3E"/>
    <w:rsid w:val="000C5BBC"/>
    <w:rsid w:val="000D4954"/>
    <w:rsid w:val="000F050E"/>
    <w:rsid w:val="000F5EF2"/>
    <w:rsid w:val="00114ED9"/>
    <w:rsid w:val="00120A54"/>
    <w:rsid w:val="0013088F"/>
    <w:rsid w:val="001334FE"/>
    <w:rsid w:val="001340AA"/>
    <w:rsid w:val="00140D22"/>
    <w:rsid w:val="00146792"/>
    <w:rsid w:val="00146B48"/>
    <w:rsid w:val="001525FE"/>
    <w:rsid w:val="00152BD6"/>
    <w:rsid w:val="00161231"/>
    <w:rsid w:val="001618EB"/>
    <w:rsid w:val="00166831"/>
    <w:rsid w:val="00177E63"/>
    <w:rsid w:val="00185960"/>
    <w:rsid w:val="00186AE0"/>
    <w:rsid w:val="00187C03"/>
    <w:rsid w:val="00192296"/>
    <w:rsid w:val="00194017"/>
    <w:rsid w:val="001961E6"/>
    <w:rsid w:val="00197AC9"/>
    <w:rsid w:val="001A76D6"/>
    <w:rsid w:val="001B7C07"/>
    <w:rsid w:val="001C61B7"/>
    <w:rsid w:val="001D419B"/>
    <w:rsid w:val="001E234B"/>
    <w:rsid w:val="001E2DB6"/>
    <w:rsid w:val="001E782F"/>
    <w:rsid w:val="001F2512"/>
    <w:rsid w:val="00201E6D"/>
    <w:rsid w:val="0020776C"/>
    <w:rsid w:val="00210BDC"/>
    <w:rsid w:val="002111AA"/>
    <w:rsid w:val="00214A1E"/>
    <w:rsid w:val="0022568D"/>
    <w:rsid w:val="00225957"/>
    <w:rsid w:val="00235A61"/>
    <w:rsid w:val="002400A9"/>
    <w:rsid w:val="00257F7E"/>
    <w:rsid w:val="00271C0A"/>
    <w:rsid w:val="002777ED"/>
    <w:rsid w:val="00280BF8"/>
    <w:rsid w:val="00281A8A"/>
    <w:rsid w:val="0029120D"/>
    <w:rsid w:val="00295AD4"/>
    <w:rsid w:val="0029648E"/>
    <w:rsid w:val="00296F5C"/>
    <w:rsid w:val="002A1374"/>
    <w:rsid w:val="002B6C04"/>
    <w:rsid w:val="002D04E0"/>
    <w:rsid w:val="002E44A2"/>
    <w:rsid w:val="0033693F"/>
    <w:rsid w:val="00337AAF"/>
    <w:rsid w:val="0034483C"/>
    <w:rsid w:val="00356509"/>
    <w:rsid w:val="00364F86"/>
    <w:rsid w:val="00374866"/>
    <w:rsid w:val="0038301B"/>
    <w:rsid w:val="003851C2"/>
    <w:rsid w:val="003A78EC"/>
    <w:rsid w:val="003B77EC"/>
    <w:rsid w:val="003C4A6E"/>
    <w:rsid w:val="003D423D"/>
    <w:rsid w:val="003E25B0"/>
    <w:rsid w:val="003E7E51"/>
    <w:rsid w:val="003F13C0"/>
    <w:rsid w:val="00403FE5"/>
    <w:rsid w:val="00426A79"/>
    <w:rsid w:val="004366B1"/>
    <w:rsid w:val="00436D12"/>
    <w:rsid w:val="00462CE9"/>
    <w:rsid w:val="00497E67"/>
    <w:rsid w:val="004A351B"/>
    <w:rsid w:val="004A35F3"/>
    <w:rsid w:val="004A7DAF"/>
    <w:rsid w:val="004B0223"/>
    <w:rsid w:val="004C4948"/>
    <w:rsid w:val="004C66AF"/>
    <w:rsid w:val="004D4B09"/>
    <w:rsid w:val="004D504A"/>
    <w:rsid w:val="004E0C2F"/>
    <w:rsid w:val="005142D0"/>
    <w:rsid w:val="005269E4"/>
    <w:rsid w:val="00526D72"/>
    <w:rsid w:val="00541523"/>
    <w:rsid w:val="00543BBC"/>
    <w:rsid w:val="0055165D"/>
    <w:rsid w:val="0057194C"/>
    <w:rsid w:val="00571AAB"/>
    <w:rsid w:val="00573652"/>
    <w:rsid w:val="00586D99"/>
    <w:rsid w:val="005959A3"/>
    <w:rsid w:val="005A1846"/>
    <w:rsid w:val="005A460B"/>
    <w:rsid w:val="005B6CFD"/>
    <w:rsid w:val="005D0BA2"/>
    <w:rsid w:val="005F1D7F"/>
    <w:rsid w:val="00611B1F"/>
    <w:rsid w:val="00634C87"/>
    <w:rsid w:val="00645AC5"/>
    <w:rsid w:val="00651DCC"/>
    <w:rsid w:val="00654E28"/>
    <w:rsid w:val="00664CE7"/>
    <w:rsid w:val="006B2DFD"/>
    <w:rsid w:val="006B4188"/>
    <w:rsid w:val="006D78E6"/>
    <w:rsid w:val="006E70B8"/>
    <w:rsid w:val="006F52D1"/>
    <w:rsid w:val="006F6EE5"/>
    <w:rsid w:val="007117C9"/>
    <w:rsid w:val="00712035"/>
    <w:rsid w:val="00714693"/>
    <w:rsid w:val="00714871"/>
    <w:rsid w:val="007304D4"/>
    <w:rsid w:val="00732F7B"/>
    <w:rsid w:val="00764C5D"/>
    <w:rsid w:val="007661F0"/>
    <w:rsid w:val="00773CA2"/>
    <w:rsid w:val="00776224"/>
    <w:rsid w:val="007A2A96"/>
    <w:rsid w:val="007A31F4"/>
    <w:rsid w:val="007A36CA"/>
    <w:rsid w:val="007A4107"/>
    <w:rsid w:val="007A7BE8"/>
    <w:rsid w:val="007B122E"/>
    <w:rsid w:val="007B77B8"/>
    <w:rsid w:val="007C1A6E"/>
    <w:rsid w:val="007C49AB"/>
    <w:rsid w:val="007E2A68"/>
    <w:rsid w:val="007E5B54"/>
    <w:rsid w:val="007F2C8C"/>
    <w:rsid w:val="007F3DB8"/>
    <w:rsid w:val="00800448"/>
    <w:rsid w:val="00807575"/>
    <w:rsid w:val="00811487"/>
    <w:rsid w:val="00817AB1"/>
    <w:rsid w:val="00821280"/>
    <w:rsid w:val="008216A0"/>
    <w:rsid w:val="00833586"/>
    <w:rsid w:val="00834A06"/>
    <w:rsid w:val="00844F07"/>
    <w:rsid w:val="00854759"/>
    <w:rsid w:val="008553D1"/>
    <w:rsid w:val="00865C77"/>
    <w:rsid w:val="00873402"/>
    <w:rsid w:val="00877DB4"/>
    <w:rsid w:val="008815AC"/>
    <w:rsid w:val="00881F63"/>
    <w:rsid w:val="0089235A"/>
    <w:rsid w:val="008A1172"/>
    <w:rsid w:val="008A4CBF"/>
    <w:rsid w:val="008A661B"/>
    <w:rsid w:val="008F1AF2"/>
    <w:rsid w:val="00910BC8"/>
    <w:rsid w:val="009237DB"/>
    <w:rsid w:val="00933D1D"/>
    <w:rsid w:val="00936DB3"/>
    <w:rsid w:val="009440B3"/>
    <w:rsid w:val="0094573F"/>
    <w:rsid w:val="00946B74"/>
    <w:rsid w:val="00946B7A"/>
    <w:rsid w:val="00951346"/>
    <w:rsid w:val="00953317"/>
    <w:rsid w:val="00954E96"/>
    <w:rsid w:val="00960D1D"/>
    <w:rsid w:val="00973DE6"/>
    <w:rsid w:val="00981AEC"/>
    <w:rsid w:val="009A6094"/>
    <w:rsid w:val="009C7BD4"/>
    <w:rsid w:val="009E2F5F"/>
    <w:rsid w:val="009F3BD7"/>
    <w:rsid w:val="009F6AFE"/>
    <w:rsid w:val="00A021F4"/>
    <w:rsid w:val="00A148DA"/>
    <w:rsid w:val="00A15F0A"/>
    <w:rsid w:val="00A1628A"/>
    <w:rsid w:val="00A24243"/>
    <w:rsid w:val="00A26B67"/>
    <w:rsid w:val="00A309DB"/>
    <w:rsid w:val="00A30DFB"/>
    <w:rsid w:val="00A45525"/>
    <w:rsid w:val="00A45900"/>
    <w:rsid w:val="00A6275A"/>
    <w:rsid w:val="00A64835"/>
    <w:rsid w:val="00A672F6"/>
    <w:rsid w:val="00A724E4"/>
    <w:rsid w:val="00A73907"/>
    <w:rsid w:val="00A73EB1"/>
    <w:rsid w:val="00A779AA"/>
    <w:rsid w:val="00A8330D"/>
    <w:rsid w:val="00A8373A"/>
    <w:rsid w:val="00A950F5"/>
    <w:rsid w:val="00AA2D4D"/>
    <w:rsid w:val="00AA7E13"/>
    <w:rsid w:val="00AB0DA3"/>
    <w:rsid w:val="00AB46EB"/>
    <w:rsid w:val="00AC13BB"/>
    <w:rsid w:val="00AD22B9"/>
    <w:rsid w:val="00AD2EE7"/>
    <w:rsid w:val="00AD532A"/>
    <w:rsid w:val="00AE1AFF"/>
    <w:rsid w:val="00AF2F5B"/>
    <w:rsid w:val="00B021C6"/>
    <w:rsid w:val="00B16E1D"/>
    <w:rsid w:val="00B27EB7"/>
    <w:rsid w:val="00B43EDB"/>
    <w:rsid w:val="00B45F84"/>
    <w:rsid w:val="00B55D2B"/>
    <w:rsid w:val="00B642CA"/>
    <w:rsid w:val="00B66649"/>
    <w:rsid w:val="00B93B40"/>
    <w:rsid w:val="00B958ED"/>
    <w:rsid w:val="00B9689B"/>
    <w:rsid w:val="00BA7EB1"/>
    <w:rsid w:val="00BB3497"/>
    <w:rsid w:val="00BD41D1"/>
    <w:rsid w:val="00BD75F7"/>
    <w:rsid w:val="00BE0585"/>
    <w:rsid w:val="00BF3A23"/>
    <w:rsid w:val="00BF6D61"/>
    <w:rsid w:val="00BF75AE"/>
    <w:rsid w:val="00C028F0"/>
    <w:rsid w:val="00C038AB"/>
    <w:rsid w:val="00C04236"/>
    <w:rsid w:val="00C15618"/>
    <w:rsid w:val="00C37E39"/>
    <w:rsid w:val="00C4080F"/>
    <w:rsid w:val="00C54176"/>
    <w:rsid w:val="00C619C9"/>
    <w:rsid w:val="00C70493"/>
    <w:rsid w:val="00C75B83"/>
    <w:rsid w:val="00C97D7A"/>
    <w:rsid w:val="00CA1D69"/>
    <w:rsid w:val="00CA722F"/>
    <w:rsid w:val="00CB5EF7"/>
    <w:rsid w:val="00CC6BC5"/>
    <w:rsid w:val="00CD0177"/>
    <w:rsid w:val="00CD1393"/>
    <w:rsid w:val="00CD2C54"/>
    <w:rsid w:val="00CD4214"/>
    <w:rsid w:val="00CD4E4C"/>
    <w:rsid w:val="00CE6864"/>
    <w:rsid w:val="00CE7D49"/>
    <w:rsid w:val="00CF768B"/>
    <w:rsid w:val="00D06727"/>
    <w:rsid w:val="00D109C9"/>
    <w:rsid w:val="00D307FC"/>
    <w:rsid w:val="00D33173"/>
    <w:rsid w:val="00D62EFA"/>
    <w:rsid w:val="00D65511"/>
    <w:rsid w:val="00D713B4"/>
    <w:rsid w:val="00D7728D"/>
    <w:rsid w:val="00D806C2"/>
    <w:rsid w:val="00D879DC"/>
    <w:rsid w:val="00DA2DBB"/>
    <w:rsid w:val="00DD13F0"/>
    <w:rsid w:val="00DD5128"/>
    <w:rsid w:val="00DF469C"/>
    <w:rsid w:val="00E0123B"/>
    <w:rsid w:val="00E054B8"/>
    <w:rsid w:val="00E12F3B"/>
    <w:rsid w:val="00E23A77"/>
    <w:rsid w:val="00E24FF2"/>
    <w:rsid w:val="00E2738A"/>
    <w:rsid w:val="00E353AD"/>
    <w:rsid w:val="00E37841"/>
    <w:rsid w:val="00E4042B"/>
    <w:rsid w:val="00E40688"/>
    <w:rsid w:val="00E60C26"/>
    <w:rsid w:val="00E64DA6"/>
    <w:rsid w:val="00E65566"/>
    <w:rsid w:val="00E74809"/>
    <w:rsid w:val="00E82515"/>
    <w:rsid w:val="00E90A55"/>
    <w:rsid w:val="00E96CDA"/>
    <w:rsid w:val="00EA000A"/>
    <w:rsid w:val="00EA7792"/>
    <w:rsid w:val="00EB7244"/>
    <w:rsid w:val="00EC16D6"/>
    <w:rsid w:val="00EE29EB"/>
    <w:rsid w:val="00EE4233"/>
    <w:rsid w:val="00EE7A32"/>
    <w:rsid w:val="00EF0183"/>
    <w:rsid w:val="00EF0CA7"/>
    <w:rsid w:val="00EF375F"/>
    <w:rsid w:val="00F03C40"/>
    <w:rsid w:val="00F10D3E"/>
    <w:rsid w:val="00F3109E"/>
    <w:rsid w:val="00F344B6"/>
    <w:rsid w:val="00F51063"/>
    <w:rsid w:val="00F52529"/>
    <w:rsid w:val="00F56099"/>
    <w:rsid w:val="00F6349A"/>
    <w:rsid w:val="00F82BDA"/>
    <w:rsid w:val="00F8532B"/>
    <w:rsid w:val="00F96B35"/>
    <w:rsid w:val="00FC0297"/>
    <w:rsid w:val="00FC5751"/>
    <w:rsid w:val="00FE247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891E"/>
  <w15:chartTrackingRefBased/>
  <w15:docId w15:val="{4A2A63F9-9A41-418B-8FEF-DF718FC2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F7B"/>
    <w:rPr>
      <w:lang w:val="en-GB"/>
    </w:rPr>
  </w:style>
  <w:style w:type="paragraph" w:styleId="Heading1">
    <w:name w:val="heading 1"/>
    <w:basedOn w:val="Normal"/>
    <w:next w:val="Normal"/>
    <w:link w:val="Heading1Char"/>
    <w:uiPriority w:val="9"/>
    <w:qFormat/>
    <w:rsid w:val="00AB4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6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6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6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6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6E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B46E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B46E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B46E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B46E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B46E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B46E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B46E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B46E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B4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6E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B46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6E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B46EB"/>
    <w:pPr>
      <w:spacing w:before="160"/>
      <w:jc w:val="center"/>
    </w:pPr>
    <w:rPr>
      <w:i/>
      <w:iCs/>
      <w:color w:val="404040" w:themeColor="text1" w:themeTint="BF"/>
    </w:rPr>
  </w:style>
  <w:style w:type="character" w:customStyle="1" w:styleId="QuoteChar">
    <w:name w:val="Quote Char"/>
    <w:basedOn w:val="DefaultParagraphFont"/>
    <w:link w:val="Quote"/>
    <w:uiPriority w:val="29"/>
    <w:rsid w:val="00AB46EB"/>
    <w:rPr>
      <w:i/>
      <w:iCs/>
      <w:color w:val="404040" w:themeColor="text1" w:themeTint="BF"/>
      <w:lang w:val="en-GB"/>
    </w:rPr>
  </w:style>
  <w:style w:type="paragraph" w:styleId="ListParagraph">
    <w:name w:val="List Paragraph"/>
    <w:basedOn w:val="Normal"/>
    <w:uiPriority w:val="34"/>
    <w:qFormat/>
    <w:rsid w:val="00AB46EB"/>
    <w:pPr>
      <w:ind w:left="720"/>
      <w:contextualSpacing/>
    </w:pPr>
  </w:style>
  <w:style w:type="character" w:styleId="IntenseEmphasis">
    <w:name w:val="Intense Emphasis"/>
    <w:basedOn w:val="DefaultParagraphFont"/>
    <w:uiPriority w:val="21"/>
    <w:qFormat/>
    <w:rsid w:val="00AB46EB"/>
    <w:rPr>
      <w:i/>
      <w:iCs/>
      <w:color w:val="0F4761" w:themeColor="accent1" w:themeShade="BF"/>
    </w:rPr>
  </w:style>
  <w:style w:type="paragraph" w:styleId="IntenseQuote">
    <w:name w:val="Intense Quote"/>
    <w:basedOn w:val="Normal"/>
    <w:next w:val="Normal"/>
    <w:link w:val="IntenseQuoteChar"/>
    <w:uiPriority w:val="30"/>
    <w:qFormat/>
    <w:rsid w:val="00AB4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6EB"/>
    <w:rPr>
      <w:i/>
      <w:iCs/>
      <w:color w:val="0F4761" w:themeColor="accent1" w:themeShade="BF"/>
      <w:lang w:val="en-GB"/>
    </w:rPr>
  </w:style>
  <w:style w:type="character" w:styleId="IntenseReference">
    <w:name w:val="Intense Reference"/>
    <w:basedOn w:val="DefaultParagraphFont"/>
    <w:uiPriority w:val="32"/>
    <w:qFormat/>
    <w:rsid w:val="00AB46EB"/>
    <w:rPr>
      <w:b/>
      <w:bCs/>
      <w:smallCaps/>
      <w:color w:val="0F4761" w:themeColor="accent1" w:themeShade="BF"/>
      <w:spacing w:val="5"/>
    </w:rPr>
  </w:style>
  <w:style w:type="character" w:styleId="PlaceholderText">
    <w:name w:val="Placeholder Text"/>
    <w:basedOn w:val="DefaultParagraphFont"/>
    <w:uiPriority w:val="99"/>
    <w:semiHidden/>
    <w:rsid w:val="002777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155787">
      <w:bodyDiv w:val="1"/>
      <w:marLeft w:val="0"/>
      <w:marRight w:val="0"/>
      <w:marTop w:val="0"/>
      <w:marBottom w:val="0"/>
      <w:divBdr>
        <w:top w:val="none" w:sz="0" w:space="0" w:color="auto"/>
        <w:left w:val="none" w:sz="0" w:space="0" w:color="auto"/>
        <w:bottom w:val="none" w:sz="0" w:space="0" w:color="auto"/>
        <w:right w:val="none" w:sz="0" w:space="0" w:color="auto"/>
      </w:divBdr>
    </w:div>
    <w:div w:id="248393703">
      <w:bodyDiv w:val="1"/>
      <w:marLeft w:val="0"/>
      <w:marRight w:val="0"/>
      <w:marTop w:val="0"/>
      <w:marBottom w:val="0"/>
      <w:divBdr>
        <w:top w:val="none" w:sz="0" w:space="0" w:color="auto"/>
        <w:left w:val="none" w:sz="0" w:space="0" w:color="auto"/>
        <w:bottom w:val="none" w:sz="0" w:space="0" w:color="auto"/>
        <w:right w:val="none" w:sz="0" w:space="0" w:color="auto"/>
      </w:divBdr>
    </w:div>
    <w:div w:id="270820682">
      <w:bodyDiv w:val="1"/>
      <w:marLeft w:val="0"/>
      <w:marRight w:val="0"/>
      <w:marTop w:val="0"/>
      <w:marBottom w:val="0"/>
      <w:divBdr>
        <w:top w:val="none" w:sz="0" w:space="0" w:color="auto"/>
        <w:left w:val="none" w:sz="0" w:space="0" w:color="auto"/>
        <w:bottom w:val="none" w:sz="0" w:space="0" w:color="auto"/>
        <w:right w:val="none" w:sz="0" w:space="0" w:color="auto"/>
      </w:divBdr>
    </w:div>
    <w:div w:id="315691229">
      <w:bodyDiv w:val="1"/>
      <w:marLeft w:val="0"/>
      <w:marRight w:val="0"/>
      <w:marTop w:val="0"/>
      <w:marBottom w:val="0"/>
      <w:divBdr>
        <w:top w:val="none" w:sz="0" w:space="0" w:color="auto"/>
        <w:left w:val="none" w:sz="0" w:space="0" w:color="auto"/>
        <w:bottom w:val="none" w:sz="0" w:space="0" w:color="auto"/>
        <w:right w:val="none" w:sz="0" w:space="0" w:color="auto"/>
      </w:divBdr>
    </w:div>
    <w:div w:id="416635857">
      <w:bodyDiv w:val="1"/>
      <w:marLeft w:val="0"/>
      <w:marRight w:val="0"/>
      <w:marTop w:val="0"/>
      <w:marBottom w:val="0"/>
      <w:divBdr>
        <w:top w:val="none" w:sz="0" w:space="0" w:color="auto"/>
        <w:left w:val="none" w:sz="0" w:space="0" w:color="auto"/>
        <w:bottom w:val="none" w:sz="0" w:space="0" w:color="auto"/>
        <w:right w:val="none" w:sz="0" w:space="0" w:color="auto"/>
      </w:divBdr>
    </w:div>
    <w:div w:id="446772670">
      <w:bodyDiv w:val="1"/>
      <w:marLeft w:val="0"/>
      <w:marRight w:val="0"/>
      <w:marTop w:val="0"/>
      <w:marBottom w:val="0"/>
      <w:divBdr>
        <w:top w:val="none" w:sz="0" w:space="0" w:color="auto"/>
        <w:left w:val="none" w:sz="0" w:space="0" w:color="auto"/>
        <w:bottom w:val="none" w:sz="0" w:space="0" w:color="auto"/>
        <w:right w:val="none" w:sz="0" w:space="0" w:color="auto"/>
      </w:divBdr>
    </w:div>
    <w:div w:id="544177796">
      <w:bodyDiv w:val="1"/>
      <w:marLeft w:val="0"/>
      <w:marRight w:val="0"/>
      <w:marTop w:val="0"/>
      <w:marBottom w:val="0"/>
      <w:divBdr>
        <w:top w:val="none" w:sz="0" w:space="0" w:color="auto"/>
        <w:left w:val="none" w:sz="0" w:space="0" w:color="auto"/>
        <w:bottom w:val="none" w:sz="0" w:space="0" w:color="auto"/>
        <w:right w:val="none" w:sz="0" w:space="0" w:color="auto"/>
      </w:divBdr>
    </w:div>
    <w:div w:id="592668592">
      <w:bodyDiv w:val="1"/>
      <w:marLeft w:val="0"/>
      <w:marRight w:val="0"/>
      <w:marTop w:val="0"/>
      <w:marBottom w:val="0"/>
      <w:divBdr>
        <w:top w:val="none" w:sz="0" w:space="0" w:color="auto"/>
        <w:left w:val="none" w:sz="0" w:space="0" w:color="auto"/>
        <w:bottom w:val="none" w:sz="0" w:space="0" w:color="auto"/>
        <w:right w:val="none" w:sz="0" w:space="0" w:color="auto"/>
      </w:divBdr>
    </w:div>
    <w:div w:id="599415512">
      <w:bodyDiv w:val="1"/>
      <w:marLeft w:val="0"/>
      <w:marRight w:val="0"/>
      <w:marTop w:val="0"/>
      <w:marBottom w:val="0"/>
      <w:divBdr>
        <w:top w:val="none" w:sz="0" w:space="0" w:color="auto"/>
        <w:left w:val="none" w:sz="0" w:space="0" w:color="auto"/>
        <w:bottom w:val="none" w:sz="0" w:space="0" w:color="auto"/>
        <w:right w:val="none" w:sz="0" w:space="0" w:color="auto"/>
      </w:divBdr>
    </w:div>
    <w:div w:id="718944324">
      <w:bodyDiv w:val="1"/>
      <w:marLeft w:val="0"/>
      <w:marRight w:val="0"/>
      <w:marTop w:val="0"/>
      <w:marBottom w:val="0"/>
      <w:divBdr>
        <w:top w:val="none" w:sz="0" w:space="0" w:color="auto"/>
        <w:left w:val="none" w:sz="0" w:space="0" w:color="auto"/>
        <w:bottom w:val="none" w:sz="0" w:space="0" w:color="auto"/>
        <w:right w:val="none" w:sz="0" w:space="0" w:color="auto"/>
      </w:divBdr>
    </w:div>
    <w:div w:id="1128204077">
      <w:bodyDiv w:val="1"/>
      <w:marLeft w:val="0"/>
      <w:marRight w:val="0"/>
      <w:marTop w:val="0"/>
      <w:marBottom w:val="0"/>
      <w:divBdr>
        <w:top w:val="none" w:sz="0" w:space="0" w:color="auto"/>
        <w:left w:val="none" w:sz="0" w:space="0" w:color="auto"/>
        <w:bottom w:val="none" w:sz="0" w:space="0" w:color="auto"/>
        <w:right w:val="none" w:sz="0" w:space="0" w:color="auto"/>
      </w:divBdr>
    </w:div>
    <w:div w:id="1164010091">
      <w:bodyDiv w:val="1"/>
      <w:marLeft w:val="0"/>
      <w:marRight w:val="0"/>
      <w:marTop w:val="0"/>
      <w:marBottom w:val="0"/>
      <w:divBdr>
        <w:top w:val="none" w:sz="0" w:space="0" w:color="auto"/>
        <w:left w:val="none" w:sz="0" w:space="0" w:color="auto"/>
        <w:bottom w:val="none" w:sz="0" w:space="0" w:color="auto"/>
        <w:right w:val="none" w:sz="0" w:space="0" w:color="auto"/>
      </w:divBdr>
    </w:div>
    <w:div w:id="1182400690">
      <w:bodyDiv w:val="1"/>
      <w:marLeft w:val="0"/>
      <w:marRight w:val="0"/>
      <w:marTop w:val="0"/>
      <w:marBottom w:val="0"/>
      <w:divBdr>
        <w:top w:val="none" w:sz="0" w:space="0" w:color="auto"/>
        <w:left w:val="none" w:sz="0" w:space="0" w:color="auto"/>
        <w:bottom w:val="none" w:sz="0" w:space="0" w:color="auto"/>
        <w:right w:val="none" w:sz="0" w:space="0" w:color="auto"/>
      </w:divBdr>
    </w:div>
    <w:div w:id="1353342161">
      <w:bodyDiv w:val="1"/>
      <w:marLeft w:val="0"/>
      <w:marRight w:val="0"/>
      <w:marTop w:val="0"/>
      <w:marBottom w:val="0"/>
      <w:divBdr>
        <w:top w:val="none" w:sz="0" w:space="0" w:color="auto"/>
        <w:left w:val="none" w:sz="0" w:space="0" w:color="auto"/>
        <w:bottom w:val="none" w:sz="0" w:space="0" w:color="auto"/>
        <w:right w:val="none" w:sz="0" w:space="0" w:color="auto"/>
      </w:divBdr>
    </w:div>
    <w:div w:id="1493527992">
      <w:bodyDiv w:val="1"/>
      <w:marLeft w:val="0"/>
      <w:marRight w:val="0"/>
      <w:marTop w:val="0"/>
      <w:marBottom w:val="0"/>
      <w:divBdr>
        <w:top w:val="none" w:sz="0" w:space="0" w:color="auto"/>
        <w:left w:val="none" w:sz="0" w:space="0" w:color="auto"/>
        <w:bottom w:val="none" w:sz="0" w:space="0" w:color="auto"/>
        <w:right w:val="none" w:sz="0" w:space="0" w:color="auto"/>
      </w:divBdr>
    </w:div>
    <w:div w:id="1692949506">
      <w:bodyDiv w:val="1"/>
      <w:marLeft w:val="0"/>
      <w:marRight w:val="0"/>
      <w:marTop w:val="0"/>
      <w:marBottom w:val="0"/>
      <w:divBdr>
        <w:top w:val="none" w:sz="0" w:space="0" w:color="auto"/>
        <w:left w:val="none" w:sz="0" w:space="0" w:color="auto"/>
        <w:bottom w:val="none" w:sz="0" w:space="0" w:color="auto"/>
        <w:right w:val="none" w:sz="0" w:space="0" w:color="auto"/>
      </w:divBdr>
    </w:div>
    <w:div w:id="1730032093">
      <w:bodyDiv w:val="1"/>
      <w:marLeft w:val="0"/>
      <w:marRight w:val="0"/>
      <w:marTop w:val="0"/>
      <w:marBottom w:val="0"/>
      <w:divBdr>
        <w:top w:val="none" w:sz="0" w:space="0" w:color="auto"/>
        <w:left w:val="none" w:sz="0" w:space="0" w:color="auto"/>
        <w:bottom w:val="none" w:sz="0" w:space="0" w:color="auto"/>
        <w:right w:val="none" w:sz="0" w:space="0" w:color="auto"/>
      </w:divBdr>
    </w:div>
    <w:div w:id="1858303949">
      <w:bodyDiv w:val="1"/>
      <w:marLeft w:val="0"/>
      <w:marRight w:val="0"/>
      <w:marTop w:val="0"/>
      <w:marBottom w:val="0"/>
      <w:divBdr>
        <w:top w:val="none" w:sz="0" w:space="0" w:color="auto"/>
        <w:left w:val="none" w:sz="0" w:space="0" w:color="auto"/>
        <w:bottom w:val="none" w:sz="0" w:space="0" w:color="auto"/>
        <w:right w:val="none" w:sz="0" w:space="0" w:color="auto"/>
      </w:divBdr>
    </w:div>
    <w:div w:id="1929269766">
      <w:bodyDiv w:val="1"/>
      <w:marLeft w:val="0"/>
      <w:marRight w:val="0"/>
      <w:marTop w:val="0"/>
      <w:marBottom w:val="0"/>
      <w:divBdr>
        <w:top w:val="none" w:sz="0" w:space="0" w:color="auto"/>
        <w:left w:val="none" w:sz="0" w:space="0" w:color="auto"/>
        <w:bottom w:val="none" w:sz="0" w:space="0" w:color="auto"/>
        <w:right w:val="none" w:sz="0" w:space="0" w:color="auto"/>
      </w:divBdr>
    </w:div>
    <w:div w:id="1998680451">
      <w:bodyDiv w:val="1"/>
      <w:marLeft w:val="0"/>
      <w:marRight w:val="0"/>
      <w:marTop w:val="0"/>
      <w:marBottom w:val="0"/>
      <w:divBdr>
        <w:top w:val="none" w:sz="0" w:space="0" w:color="auto"/>
        <w:left w:val="none" w:sz="0" w:space="0" w:color="auto"/>
        <w:bottom w:val="none" w:sz="0" w:space="0" w:color="auto"/>
        <w:right w:val="none" w:sz="0" w:space="0" w:color="auto"/>
      </w:divBdr>
    </w:div>
    <w:div w:id="2123111009">
      <w:bodyDiv w:val="1"/>
      <w:marLeft w:val="0"/>
      <w:marRight w:val="0"/>
      <w:marTop w:val="0"/>
      <w:marBottom w:val="0"/>
      <w:divBdr>
        <w:top w:val="none" w:sz="0" w:space="0" w:color="auto"/>
        <w:left w:val="none" w:sz="0" w:space="0" w:color="auto"/>
        <w:bottom w:val="none" w:sz="0" w:space="0" w:color="auto"/>
        <w:right w:val="none" w:sz="0" w:space="0" w:color="auto"/>
      </w:divBdr>
    </w:div>
    <w:div w:id="2126919617">
      <w:bodyDiv w:val="1"/>
      <w:marLeft w:val="0"/>
      <w:marRight w:val="0"/>
      <w:marTop w:val="0"/>
      <w:marBottom w:val="0"/>
      <w:divBdr>
        <w:top w:val="none" w:sz="0" w:space="0" w:color="auto"/>
        <w:left w:val="none" w:sz="0" w:space="0" w:color="auto"/>
        <w:bottom w:val="none" w:sz="0" w:space="0" w:color="auto"/>
        <w:right w:val="none" w:sz="0" w:space="0" w:color="auto"/>
      </w:divBdr>
    </w:div>
    <w:div w:id="214114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5308</Words>
  <Characters>30259</Characters>
  <Application>Microsoft Office Word</Application>
  <DocSecurity>0</DocSecurity>
  <Lines>252</Lines>
  <Paragraphs>70</Paragraphs>
  <ScaleCrop>false</ScaleCrop>
  <Company/>
  <LinksUpToDate>false</LinksUpToDate>
  <CharactersWithSpaces>35497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haghighatbin</dc:creator>
  <cp:keywords/>
  <dc:description/>
  <cp:lastModifiedBy>Amin haghighatbin</cp:lastModifiedBy>
  <cp:revision>4</cp:revision>
  <cp:lastPrinted>2025-03-27T21:38:00Z</cp:lastPrinted>
  <dcterms:created xsi:type="dcterms:W3CDTF">2025-03-27T21:38:00Z</dcterms:created>
  <dcterms:modified xsi:type="dcterms:W3CDTF">2025-03-28T00:18:00Z</dcterms:modified>
</cp:coreProperties>
</file>