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ФОРМУЛЫ МЕТРИК КАЧЕСТВА АУДИОСИГНАЛА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Общие обозначения, используемые в формулах:</w:t>
      </w:r>
    </w:p>
    <w:p>
      <w:pPr>
        <w:numPr>
          <w:ilvl w:val="0"/>
          <w:numId w:val="1001"/>
        </w:numPr>
      </w:pP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(ref[n]) — опорный (оригинальный) сигнал, массив PCM-отсчётов;</w:t>
      </w:r>
    </w:p>
    <w:p>
      <w:pPr>
        <w:numPr>
          <w:ilvl w:val="0"/>
          <w:numId w:val="1001"/>
        </w:numPr>
      </w:pPr>
      <m:oMath>
        <m:r>
          <m:t>y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(test[n]) — тестовый (обработанный) сигнал, массив PCM-отсчётов;</w:t>
      </w:r>
    </w:p>
    <w:p>
      <w:pPr>
        <w:numPr>
          <w:ilvl w:val="0"/>
          <w:numId w:val="1001"/>
        </w:numPr>
      </w:pPr>
      <m:oMath>
        <m:r>
          <m:t>N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длина сигнала:</w:t>
      </w:r>
      <w:r>
        <w:rPr>
          <w:rFonts w:ascii="Times New Roman" w:hAnsi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 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d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комплексный спектр опорного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комплексный спектр тестового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размер окна FFT (по умолчанию 1024);</w:t>
      </w:r>
    </w:p>
    <w:p>
      <w:pPr>
        <w:numPr>
          <w:ilvl w:val="0"/>
          <w:numId w:val="1001"/>
        </w:numPr>
      </w:pPr>
      <m:oMath>
        <m:r>
          <m:t>H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шаг сдвига окна (по умолчанию 512);</w:t>
      </w:r>
    </w:p>
    <w:p>
      <w:pPr>
        <w:numPr>
          <w:ilvl w:val="0"/>
          <w:numId w:val="1001"/>
        </w:numPr>
      </w:pPr>
      <m:oMath>
        <m:r>
          <m:t>w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весовая функция окна Ханна;</w:t>
      </w:r>
    </w:p>
    <w:p>
      <w:pPr>
        <w:numPr>
          <w:ilvl w:val="0"/>
          <w:numId w:val="1001"/>
        </w:numPr>
      </w:pPr>
      <m:oMath>
        <m:r>
          <m:t>K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частотных бинов;</w:t>
      </w:r>
    </w:p>
    <w:p>
      <w:pPr>
        <w:numPr>
          <w:ilvl w:val="0"/>
          <w:numId w:val="1001"/>
        </w:numPr>
      </w:pPr>
      <m:oMath>
        <m:r>
          <m:t>M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окон (фреймов) в сигнале;</w:t>
      </w:r>
    </w:p>
    <w:p>
      <w:pPr>
        <w:numPr>
          <w:ilvl w:val="0"/>
          <w:numId w:val="1001"/>
        </w:numPr>
      </w:pP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константа для избежания деления на ноль;</w:t>
      </w:r>
    </w:p>
    <w:p>
      <w:pPr>
        <w:numPr>
          <w:ilvl w:val="0"/>
          <w:numId w:val="1001"/>
        </w:numPr>
      </w:pPr>
      <m:oMath>
        <m:r>
          <m:t>Δ</m:t>
        </m:r>
        <m:r>
          <m:t>f</m:t>
        </m:r>
        <m:r>
          <m:rPr>
            <m:sty m:val="p"/>
          </m:rPr>
          <m:t>=</m:t>
        </m:r>
        <m:r>
          <m:t>s</m:t>
        </m:r>
        <m:r>
          <m:t>r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частотное разрешение (Гц на бин).</w:t>
      </w:r>
    </w:p>
    <w:bookmarkStart w:id="20" w:name="snr-signal-to-noise-ratio"/>
    <w:p>
      <w:pPr>
        <w:pStyle w:val="Heading1"/>
      </w:pPr>
      <w:r>
        <w:rPr>
          <w:rFonts w:ascii="Times New Roman" w:hAnsi="Times New Roman" w:cs="Times New Roman"/>
        </w:rPr>
        <w:t xml:space="preserve">SNR (Signal-to-Noise Ratio)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Отношение мощности полезного сигнала к мощности шума. Чем выше SNR, тем меньше искажений внесено при обработке.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d>
                                <m:dPr>
                                  <m:begChr m:val="["/>
                                  <m:endChr m:val="]"/>
                                  <m:sepChr m:val=""/>
                                  <m:grow/>
                                </m:dPr>
                                <m:e>
                                  <m:r>
                                    <m:t>n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y</m:t>
                              </m:r>
                              <m:d>
                                <m:dPr>
                                  <m:begChr m:val="["/>
                                  <m:endChr m:val="]"/>
                                  <m:sepChr m:val=""/>
                                  <m:grow/>
                                </m:dPr>
                                <m:e>
                                  <m:r>
                                    <m:t>n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den>
              </m:f>
            </m:e>
          </m:d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дБ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  <w:r>
        <w:rPr>
          <w:rFonts w:ascii="Times New Roman" w:hAnsi="Times New Roman" w:cs="Times New Roman"/>
        </w:rP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опорный сигнал;</w:t>
      </w:r>
      <w:r>
        <w:rPr>
          <w:rFonts w:ascii="Times New Roman" w:hAnsi="Times New Roman" w:cs="Times New Roman"/>
        </w:rPr>
        <w:t xml:space="preserve"> </w:t>
      </w:r>
      <m:oMath>
        <m:r>
          <m:t>y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тестовый сигнал;</w:t>
      </w:r>
      <w:r>
        <w:rPr>
          <w:rFonts w:ascii="Times New Roman" w:hAnsi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длина сигнала;</w:t>
      </w:r>
      <w:r>
        <w:rPr>
          <w:rFonts w:ascii="Times New Roman" w:hAnsi="Times New Roman" w:cs="Times New Roman"/>
        </w:rP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защита от деления на ноль; результат в децибелах, положительный SNR означает, что сигнал сильнее шума.</w:t>
      </w:r>
    </w:p>
    <w:bookmarkEnd w:id="20"/>
    <w:bookmarkStart w:id="21" w:name="rmse-root-mean-square-error"/>
    <w:p>
      <w:pPr>
        <w:pStyle w:val="Heading1"/>
      </w:pPr>
      <w:r>
        <w:rPr>
          <w:rFonts w:ascii="Times New Roman" w:hAnsi="Times New Roman" w:cs="Times New Roman"/>
        </w:rPr>
        <w:t xml:space="preserve">RMSE (Root Mean Square Error)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Корень из среднего квадрата отклонения тестового сигнала от опорного. Показывает среднюю величину ошибки во временной области. Для сигналов, нормализованных к</w:t>
      </w:r>
      <w:r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cs="Times New Roman"/>
        </w:rPr>
        <w:t xml:space="preserve">: RMSE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означает идеальное совпадение, RMSE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максимально возможное отклонение.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  <w:r>
        <w:rPr>
          <w:rFonts w:ascii="Times New Roman" w:hAnsi="Times New Roman" w:cs="Times New Roman"/>
        </w:rPr>
        <w:t xml:space="preserve"> </w:t>
      </w:r>
      <m:oMath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опорный сигнал;</w:t>
      </w:r>
      <w:r>
        <w:rPr>
          <w:rFonts w:ascii="Times New Roman" w:hAnsi="Times New Roman" w:cs="Times New Roman"/>
        </w:rPr>
        <w:t xml:space="preserve"> </w:t>
      </w:r>
      <m:oMath>
        <m:r>
          <m:t>y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тестовый сигнал;</w:t>
      </w:r>
      <w:r>
        <w:rPr>
          <w:rFonts w:ascii="Times New Roman" w:hAnsi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длина сигнала.</w:t>
      </w:r>
    </w:p>
    <w:bookmarkEnd w:id="21"/>
    <w:bookmarkStart w:id="22" w:name="Xb47afae2aa306eae10ca1765b30d45f41cbfac1"/>
    <w:p>
      <w:pPr>
        <w:pStyle w:val="Heading1"/>
      </w:pPr>
      <w:r>
        <w:rPr>
          <w:rFonts w:ascii="Times New Roman" w:hAnsi="Times New Roman" w:cs="Times New Roman"/>
        </w:rPr>
        <w:t xml:space="preserve">SI-SDR (Scale-Invariant Signal-to-Distortion Ratio)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Масштабно-инвариантное отношение сигнал/искажение. В отличие от обычного SNR, SI-SDR автоматически подбирает оптимальный масштаб, компенсируя глобальные изменения громкости.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den>
              </m:f>
            </m:e>
          </m:d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дБ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</w:p>
    <w:p>
      <w:pPr>
        <w:numPr>
          <w:ilvl w:val="0"/>
          <w:numId w:val="1002"/>
        </w:numPr>
      </w:pPr>
      <m:oMath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r>
                  <m:t>x</m:t>
                </m:r>
              </m:e>
            </m:nary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⋅</m:t>
            </m:r>
            <m:r>
              <m:t>y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nary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+</m:t>
            </m:r>
            <m:r>
              <m:t>ε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коэффициент масштаба (проекция</w:t>
      </w:r>
      <w:r>
        <w:rPr>
          <w:rFonts w:ascii="Times New Roman" w:hAnsi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</w:t>
      </w:r>
      <w:r>
        <w:rPr>
          <w:rFonts w:ascii="Times New Roman" w:hAnsi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методом наименьших квадратов);</w:t>
      </w:r>
    </w:p>
    <w:p>
      <w:pPr>
        <w:numPr>
          <w:ilvl w:val="0"/>
          <w:numId w:val="1002"/>
        </w:numPr>
      </w:pPr>
      <m:oMath>
        <m:acc>
          <m:accPr>
            <m:chr m:val="̂"/>
          </m:accPr>
          <m:e>
            <m:r>
              <m:t>y</m:t>
            </m:r>
          </m:e>
        </m:acc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t>x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целевой компонент тестового сигнала (часть, совпадающая с опорным);</w:t>
      </w:r>
    </w:p>
    <w:p>
      <w:pPr>
        <w:numPr>
          <w:ilvl w:val="0"/>
          <w:numId w:val="1002"/>
        </w:numPr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y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шумовая компонента (искажения).</w:t>
      </w:r>
    </w:p>
    <w:bookmarkEnd w:id="22"/>
    <w:bookmarkStart w:id="23" w:name="lsd-log-spectral-distance"/>
    <w:p>
      <w:pPr>
        <w:pStyle w:val="Heading1"/>
      </w:pPr>
      <w:r>
        <w:rPr>
          <w:rFonts w:ascii="Times New Roman" w:hAnsi="Times New Roman" w:cs="Times New Roman"/>
        </w:rPr>
        <w:t xml:space="preserve">LSD (Log-Spectral Distance)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Логарифмическое спектральное расстояние. Измеряет среднее различие между спектрами опорного и тестового сигналов в логарифмическом масштабе (дБ). Учитывает частотные характеристики искажений, которые не видны во временной области.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</m:t>
          </m:r>
          <m:r>
            <m:rPr>
              <m:sty m:val="p"/>
            </m:rPr>
            <m:t>S</m:t>
          </m:r>
          <m:r>
            <m:rPr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S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sepChr m:val=""/>
                                  <m:grow/>
                                </m:dPr>
                                <m:e>
                                  <m: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 </m:t>
                                  </m:r>
                                  <m:r>
                                    <m:t>k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S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sepChr m:val=""/>
                                  <m:grow/>
                                </m:dPr>
                                <m:e>
                                  <m: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 </m:t>
                                  </m:r>
                                  <m:r>
                                    <m:t>k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e>
          </m:nary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дБ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</w:p>
    <w:p>
      <w:pPr>
        <w:numPr>
          <w:ilvl w:val="0"/>
          <w:numId w:val="1003"/>
        </w:numPr>
      </w:pPr>
      <m:oMath>
        <m:sSub>
          <m:e>
            <m:r>
              <m:t>X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⋅</m:t>
            </m:r>
            <m:r>
              <m:t>w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односторонний FFT опорного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r>
          <m:rPr>
            <m:sty m:val="p"/>
          </m:rPr>
          <m:t>F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  <m:r>
              <m:rPr>
                <m:sty m:val="p"/>
              </m:rPr>
              <m:t>⋅</m:t>
            </m:r>
            <m:r>
              <m:t>w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односторонний FFT тестового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t>S</m:t>
            </m:r>
          </m:e>
          <m:sub>
            <m:r>
              <m:t>x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 </m:t>
            </m:r>
            <m:r>
              <m:t>k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ε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спектральная плотность мощности опорного сигнала в дБ;</w:t>
      </w:r>
    </w:p>
    <w:p>
      <w:pPr>
        <w:numPr>
          <w:ilvl w:val="0"/>
          <w:numId w:val="1003"/>
        </w:numPr>
      </w:pPr>
      <m:oMath>
        <m:sSub>
          <m:e>
            <m:r>
              <m:t>S</m:t>
            </m:r>
          </m:e>
          <m:sub>
            <m:r>
              <m:t>y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 </m:t>
            </m:r>
            <m:r>
              <m:t>k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ε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спектральная плотность мощности тестового сигнала в дБ;</w:t>
      </w:r>
    </w:p>
    <w:p>
      <w:pPr>
        <w:numPr>
          <w:ilvl w:val="0"/>
          <w:numId w:val="1003"/>
        </w:numPr>
      </w:pPr>
      <m:oMath>
        <m:r>
          <m:t>w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​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  <m:r>
                      <m:t>n</m:t>
                    </m:r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окно Ханна;</w:t>
      </w:r>
    </w:p>
    <w:p>
      <w:pPr>
        <w:numPr>
          <w:ilvl w:val="0"/>
          <w:numId w:val="1003"/>
        </w:numPr>
      </w:pPr>
      <m:oMath>
        <m:r>
          <m:t>K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частотных бинов;</w:t>
      </w:r>
    </w:p>
    <w:p>
      <w:pPr>
        <w:numPr>
          <w:ilvl w:val="0"/>
          <w:numId w:val="1003"/>
        </w:numPr>
      </w:pP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⌊"/>
                <m:endChr m:val="⌋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f</m:t>
                        </m:r>
                        <m:r>
                          <m:rPr>
                            <m:sty m:val="p"/>
                          </m:rPr>
                          <m:t>t</m:t>
                        </m:r>
                      </m:sub>
                    </m:sSub>
                  </m:num>
                  <m:den>
                    <m:r>
                      <m:t>H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окон.</w:t>
      </w:r>
    </w:p>
    <w:bookmarkEnd w:id="23"/>
    <w:bookmarkStart w:id="24" w:name="X571764974d0e4b87ffb370484a40342f9c4f628"/>
    <w:p>
      <w:pPr>
        <w:pStyle w:val="Heading1"/>
      </w:pPr>
      <w:r>
        <w:rPr>
          <w:rFonts w:ascii="Times New Roman" w:hAnsi="Times New Roman" w:cs="Times New Roman"/>
        </w:rPr>
        <w:t xml:space="preserve">Spectral Convergence (Спектральная сходимость)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Относительная разница амплитудных спектров. Показывает, насколько амплитудный спектр обработанного сигнала отклоняется от опорного. Чем ниже значение, тем лучше спектральное совпадение.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d>
                                    <m:dPr>
                                      <m:begChr m:val="|"/>
                                      <m:endChr m:val="|"/>
                                      <m:sepChr m:val="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m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begChr m:val="["/>
                                          <m:endChr m:val="]"/>
                                          <m:sepChr m:val=""/>
                                          <m:grow/>
                                        </m:dPr>
                                        <m:e>
                                          <m:r>
                                            <m:t>k</m:t>
                                          </m:r>
                                        </m:e>
                                      </m:d>
                                    </m:e>
                                  </m:d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sepChr m:val=""/>
                                      <m:grow/>
                                    </m:dPr>
                                    <m:e>
                                      <m:sSub>
                                        <m:e>
                                          <m: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m:t>m</m:t>
                                          </m:r>
                                        </m:sub>
                                      </m:sSub>
                                      <m:d>
                                        <m:dPr>
                                          <m:begChr m:val="["/>
                                          <m:endChr m:val="]"/>
                                          <m:sepChr m:val=""/>
                                          <m:grow/>
                                        </m:dPr>
                                        <m:e>
                                          <m:r>
                                            <m:t>k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|"/>
                                  <m:endChr m:val="|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m</m:t>
                                      </m:r>
                                    </m:sub>
                                  </m:sSub>
                                  <m:d>
                                    <m:dPr>
                                      <m:begChr m:val="["/>
                                      <m:endChr m:val="]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k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  <w:r>
        <w:rPr>
          <w:rFonts w:ascii="Times New Roman" w:hAnsi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спектр опорного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спектр тестового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амплитуда (модуль) комплексного спектра в бине</w:t>
      </w:r>
      <w:r>
        <w:rPr>
          <w:rFonts w:ascii="Times New Roman" w:hAnsi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cs="Times New Roman"/>
        </w:rPr>
        <w:t xml:space="preserve">;</w:t>
      </w:r>
      <w:r>
        <w:rPr>
          <w:rFonts w:ascii="Times New Roman" w:hAnsi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частотных бинов;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окон.</w:t>
      </w:r>
    </w:p>
    <w:bookmarkEnd w:id="24"/>
    <w:bookmarkStart w:id="25" w:name="X3dca4987fa7df5275eee5dd4d5ee003a3e04477"/>
    <w:p>
      <w:pPr>
        <w:pStyle w:val="Heading1"/>
      </w:pPr>
      <w:r>
        <w:rPr>
          <w:rFonts w:ascii="Times New Roman" w:hAnsi="Times New Roman" w:cs="Times New Roman"/>
        </w:rPr>
        <w:t xml:space="preserve">Spectral Centroid Difference (Разница спектральных центроидов)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Разница &lt;&lt;центров тяжести&gt;&gt; спектров опорного и тестового сигналов. Спектральный центроид отражает perceived &lt;&lt;яркость&gt;&gt; звука: низкий центроид характерен для басовых звуков, высокий — для ярких, шипящих.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y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e>
              </m:d>
            </m:e>
          </m:nary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Гц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</w:p>
    <w:p>
      <w:pPr>
        <w:numPr>
          <w:ilvl w:val="0"/>
          <w:numId w:val="1004"/>
        </w:numPr>
      </w:pPr>
      <m:oMath>
        <m:sSub>
          <m:e>
            <m:r>
              <m:t>A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  <m:r>
              <m:t>​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w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амплитудный спектр опорного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4"/>
        </w:numPr>
      </w:pPr>
      <m:oMath>
        <m:sSub>
          <m:e>
            <m:r>
              <m:t>B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  <m:r>
              <m:t>​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w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амплитудный спектр тестового сигнала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4"/>
        </w:numPr>
      </w:pPr>
      <m:oMath>
        <m:sSub>
          <m:e>
            <m:r>
              <m:t>C</m:t>
            </m:r>
          </m:e>
          <m:sub>
            <m:r>
              <m:t>x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r>
                  <m:t>k</m:t>
                </m:r>
              </m:e>
            </m:nary>
            <m:r>
              <m:rPr>
                <m:sty m:val="p"/>
              </m:rPr>
              <m:t>⋅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m</m:t>
                    </m:r>
                  </m:sub>
                </m:sSub>
              </m:e>
            </m:nary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  <m:r>
              <m:rPr>
                <m:sty m:val="p"/>
              </m:rPr>
              <m:t>+</m:t>
            </m:r>
            <m:r>
              <m:t>ε</m:t>
            </m:r>
          </m:den>
        </m:f>
        <m:r>
          <m:rPr>
            <m:sty m:val="p"/>
          </m:rPr>
          <m:t>⋅</m:t>
        </m:r>
        <m:r>
          <m:t>Δ</m:t>
        </m:r>
        <m:r>
          <m:t>f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спектральный центроид опорного сигнала (Гц);</w:t>
      </w:r>
    </w:p>
    <w:p>
      <w:pPr>
        <w:numPr>
          <w:ilvl w:val="0"/>
          <w:numId w:val="1004"/>
        </w:numPr>
      </w:pPr>
      <m:oMath>
        <m:sSub>
          <m:e>
            <m:r>
              <m:t>C</m:t>
            </m:r>
          </m:e>
          <m:sub>
            <m:r>
              <m:t>y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r>
                  <m:t>k</m:t>
                </m:r>
              </m:e>
            </m:nary>
            <m:r>
              <m:rPr>
                <m:sty m:val="p"/>
              </m:rPr>
              <m:t>⋅</m:t>
            </m:r>
            <m:sSub>
              <m:e>
                <m:r>
                  <m:t>B</m:t>
                </m:r>
              </m:e>
              <m:sub>
                <m:r>
                  <m:t>m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B</m:t>
                    </m:r>
                  </m:e>
                  <m:sub>
                    <m:r>
                      <m:t>m</m:t>
                    </m:r>
                  </m:sub>
                </m:sSub>
              </m:e>
            </m:nary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  <m:r>
              <m:rPr>
                <m:sty m:val="p"/>
              </m:rPr>
              <m:t>+</m:t>
            </m:r>
            <m:r>
              <m:t>ε</m:t>
            </m:r>
          </m:den>
        </m:f>
        <m:r>
          <m:rPr>
            <m:sty m:val="p"/>
          </m:rPr>
          <m:t>⋅</m:t>
        </m:r>
        <m:r>
          <m:t>Δ</m:t>
        </m:r>
        <m:r>
          <m:t>f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спектральный центроид тестового сигнала (Гц);</w:t>
      </w:r>
    </w:p>
    <w:p>
      <w:pPr>
        <w:numPr>
          <w:ilvl w:val="0"/>
          <w:numId w:val="1004"/>
        </w:numPr>
      </w:pPr>
      <m:oMath>
        <m:r>
          <m:t>Δ</m:t>
        </m:r>
        <m:r>
          <m:t>f</m:t>
        </m:r>
        <m:r>
          <m:rPr>
            <m:sty m:val="p"/>
          </m:rPr>
          <m:t>=</m:t>
        </m:r>
        <m:r>
          <m:t>s</m:t>
        </m:r>
        <m:r>
          <m:t>r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частотное разрешение.</w:t>
      </w:r>
    </w:p>
    <w:bookmarkEnd w:id="25"/>
    <w:bookmarkStart w:id="26" w:name="Xa29fbabbdd67e387a67486b38addf52b4aeff47"/>
    <w:p>
      <w:pPr>
        <w:pStyle w:val="Heading1"/>
      </w:pPr>
      <w:r>
        <w:rPr>
          <w:rFonts w:ascii="Times New Roman" w:hAnsi="Times New Roman" w:cs="Times New Roman"/>
        </w:rPr>
        <w:t xml:space="preserve">Spectral Cosine Similarity (Косинусная мера сходства спектров)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Косинус угла между векторами амплитудных спектров. Значение 1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0 означает идентичную форму спектра, 0</w:t>
      </w:r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0 — ортогональные (полностью различные) спектры. Не чувствительна к глобальным изменениям амплитуды.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nary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k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  <m:e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b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  <m:e>
                          <m:sSubSup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  <w:r>
        <w:rPr>
          <w:rFonts w:ascii="Times New Roman" w:hAnsi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m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амплитудный спектр опорного сигнала;</w:t>
      </w:r>
      <w:r>
        <w:rPr>
          <w:rFonts w:ascii="Times New Roman" w:hAnsi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m</m:t>
                </m:r>
              </m:sub>
            </m:sSub>
            <m:d>
              <m:dPr>
                <m:begChr m:val="["/>
                <m:endChr m:val="]"/>
                <m:sepChr m:val=""/>
                <m:grow/>
              </m:dPr>
              <m:e>
                <m:r>
                  <m:t>k</m:t>
                </m:r>
              </m:e>
            </m:d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амплитудный спектр тестового сигнала;</w:t>
      </w:r>
      <w:r>
        <w:rPr>
          <w:rFonts w:ascii="Times New Roman" w:hAnsi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частотных бинов;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окон.</w:t>
      </w:r>
    </w:p>
    <w:bookmarkEnd w:id="26"/>
    <w:bookmarkStart w:id="27" w:name="X47510040529dd7e9a9b2ae46fdc0553609035e3"/>
    <w:p>
      <w:pPr>
        <w:pStyle w:val="Heading1"/>
      </w:pPr>
      <w:r>
        <w:rPr>
          <w:rFonts w:ascii="Times New Roman" w:hAnsi="Times New Roman" w:cs="Times New Roman"/>
        </w:rPr>
        <w:t xml:space="preserve">STOI (Short-Time Objective Intelligibility Index)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Индекс разборчивости речи на основе кратковременных спектральных огибающих. Сравнивает огибающие опорного и тестового сигналов в октавных полосах частот. Является предиктором разборчивости речи (не общего качества).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</w:p>
    <w:p>
      <w:pPr>
        <w:numPr>
          <w:ilvl w:val="0"/>
          <w:numId w:val="1005"/>
        </w:numPr>
      </w:pPr>
      <m:oMath>
        <m:sSub>
          <m:e>
            <m:r>
              <m:t>f</m:t>
            </m:r>
          </m:e>
          <m:sub>
            <m:r>
              <m:t>c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150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b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центральная частота</w:t>
      </w:r>
      <w:r>
        <w:rPr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cs="Times New Roman"/>
        </w:rPr>
        <w:t xml:space="preserve">-й октавной полосы (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октавы),</w:t>
      </w:r>
      <w:r>
        <w:rPr>
          <w:rFonts w:ascii="Times New Roman" w:hAnsi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5"/>
        </w:numPr>
      </w:pPr>
      <m:oMath>
        <m:r>
          <m:t>B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число октавных полос (по умолчанию 8);</w:t>
      </w:r>
    </w:p>
    <w:p>
      <w:pPr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огибающие опорного и тестового сигналов в полосе</w:t>
      </w:r>
      <w:r>
        <w:rPr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cs="Times New Roman"/>
        </w:rPr>
        <w:t xml:space="preserve">,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5"/>
        </w:numPr>
      </w:pP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коэффициент корреляции Пирсона между огибающими в полосе</w:t>
      </w:r>
      <w:r>
        <w:rPr>
          <w:rFonts w:ascii="Times New Roman" w:hAnsi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</m:sub>
                      </m:sSub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b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</m:sub>
                      </m:sSub>
                    </m:e>
                  </m:d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v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m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f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sepChr m:val=""/>
                                  <m:grow/>
                                </m:dPr>
                                <m:e>
                                  <m: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v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r</m:t>
                                  </m:r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m</m:t>
                      </m:r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e</m:t>
                                  </m:r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begChr m:val="["/>
                                  <m:endChr m:val="]"/>
                                  <m:sepChr m:val=""/>
                                  <m:grow/>
                                </m:dPr>
                                <m:e>
                                  <m: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b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e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n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v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t</m:t>
                                  </m:r>
                                  <m:r>
                                    <m:rPr>
                                      <m:sty m:val="p"/>
                                    </m:rPr>
                                    <m:t>s</m:t>
                                  </m:r>
                                  <m:r>
                                    <m:rPr>
                                      <m:sty m:val="p"/>
                                    </m:rP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rPr>
                  <m:sty m:val="p"/>
                </m:rPr>
                <m:t>+</m:t>
              </m:r>
              <m:r>
                <m:t>ε</m:t>
              </m:r>
            </m:den>
          </m:f>
        </m:oMath>
      </m:oMathPara>
    </w:p>
    <w:p>
      <w:pPr>
        <w:numPr>
          <w:ilvl w:val="0"/>
          <w:numId w:val="1005"/>
        </w:numPr>
      </w:pPr>
      <w:r>
        <w:rPr>
          <w:rFonts w:ascii="Times New Roman" w:hAnsi="Times New Roman" w:cs="Times New Roman"/>
        </w:rPr>
        <w:t xml:space="preserve">значения: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хорошая разборчивость,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отличная.</w:t>
      </w:r>
    </w:p>
    <w:bookmarkEnd w:id="27"/>
    <w:bookmarkStart w:id="28" w:name="X79417745540c7d2259d2787decaadaa07a3a9c6"/>
    <w:p>
      <w:pPr>
        <w:pStyle w:val="Heading1"/>
      </w:pPr>
      <w:r>
        <w:rPr>
          <w:rFonts w:ascii="Times New Roman" w:hAnsi="Times New Roman" w:cs="Times New Roman"/>
        </w:rPr>
        <w:t xml:space="preserve">PESQ (Perceptual Evaluation of Speech Quality)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Приближённая оценка перцептивного качества речи по стандарту ITU-T P.862. Учитывает психоакустические особенности слуха через A-взвешивание частотных компонент. Является приближённой реализацией (полная требует библиотеки ITU-T).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D</m:t>
                  </m:r>
                </m:e>
              </m:d>
            </m:e>
          </m: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</w:p>
    <w:p>
      <w:pPr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M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</m:e>
            </m:nary>
          </m:e>
        </m:ra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среднеквадратичное искажение;</w:t>
      </w:r>
    </w:p>
    <w:p>
      <w:pPr>
        <w:numPr>
          <w:ilvl w:val="0"/>
          <w:numId w:val="1006"/>
        </w:numPr>
      </w:pPr>
      <m:oMath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</m:e>
                          <m:sub>
                            <m:r>
                              <m:t>10</m:t>
                            </m:r>
                          </m:sub>
                        </m:sSub>
                        <m:f>
                          <m:fPr>
                            <m:type m:val="bar"/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m</m:t>
                                    </m:r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sepChr m:val=""/>
                                    <m:grow/>
                                  </m:dPr>
                                  <m:e>
                                    <m:r>
                                      <m:t>k</m:t>
                                    </m:r>
                                  </m:e>
                                </m:d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ε</m:t>
                            </m:r>
                          </m:num>
                          <m:den>
                            <m:d>
                              <m:dPr>
                                <m:begChr m:val="|"/>
                                <m:endChr m:val="|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m</m:t>
                                    </m:r>
                                  </m:sub>
                                </m:sSub>
                                <m:d>
                                  <m:dPr>
                                    <m:begChr m:val="["/>
                                    <m:endChr m:val="]"/>
                                    <m:sepChr m:val=""/>
                                    <m:grow/>
                                  </m:dPr>
                                  <m:e>
                                    <m:r>
                                      <m:t>k</m:t>
                                    </m:r>
                                  </m:e>
                                </m:d>
                              </m:e>
                            </m: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ε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ε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W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взвешенная лог-разность в окне</w:t>
      </w:r>
      <w:r>
        <w:rPr>
          <w:rFonts w:ascii="Times New Roman" w:hAnsi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cs="Times New Roman"/>
        </w:rPr>
        <w:t xml:space="preserve">;</w:t>
      </w:r>
    </w:p>
    <w:p>
      <w:pPr>
        <w:numPr>
          <w:ilvl w:val="0"/>
          <w:numId w:val="1006"/>
        </w:numPr>
      </w:pP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частотная коррекция A-взвешивания (кривая слышимости человека).</w:t>
      </w:r>
    </w:p>
    <w:bookmarkEnd w:id="28"/>
    <w:bookmarkStart w:id="29" w:name="mos-mean-opinion-score"/>
    <w:p>
      <w:pPr>
        <w:pStyle w:val="Heading1"/>
      </w:pPr>
      <w:r>
        <w:rPr>
          <w:rFonts w:ascii="Times New Roman" w:hAnsi="Times New Roman" w:cs="Times New Roman"/>
        </w:rPr>
        <w:t xml:space="preserve">MOS (Mean Opinion Score)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Средняя оценочная оценка качества, полученная преобразованием PESQ по формуле ITU-T P.862.1. Шкала MOS соответствует субъективной оценке слушателей.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87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3669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7197</m:t>
                              </m:r>
                            </m:e>
                          </m:d>
                        </m:e>
                      </m:d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Q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значение метрики PESQ;</w:t>
      </w:r>
      <w:r>
        <w:rPr>
          <w:rFonts w:ascii="Times New Roman" w:hAnsi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,</m:t>
        </m:r>
        <m:r>
          <m:t>3669</m:t>
        </m:r>
      </m:oMath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,</m:t>
        </m:r>
        <m:r>
          <m:t>7197</m:t>
        </m:r>
      </m:oMath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,</m:t>
        </m:r>
        <m:r>
          <m:t>87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эмпирические константы стандарта ITU-T P.862.1; формула представляет собой логистическую кривую (сигмоиду).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Шкала оценки:</w:t>
      </w:r>
    </w:p>
    <w:p>
      <w:pPr>
        <w:numPr>
          <w:ilvl w:val="0"/>
          <w:numId w:val="1007"/>
        </w:numPr>
      </w:pPr>
      <w:r>
        <w:rPr>
          <w:rFonts w:ascii="Times New Roman" w:hAnsi="Times New Roman" w:cs="Times New Roman"/>
        </w:rPr>
        <w:t xml:space="preserve">5 — Отлично (неотличимо от оригинала);</w:t>
      </w:r>
    </w:p>
    <w:p>
      <w:pPr>
        <w:numPr>
          <w:ilvl w:val="0"/>
          <w:numId w:val="1007"/>
        </w:numPr>
      </w:pPr>
      <w:r>
        <w:rPr>
          <w:rFonts w:ascii="Times New Roman" w:hAnsi="Times New Roman" w:cs="Times New Roman"/>
        </w:rPr>
        <w:t xml:space="preserve">4 — Хорошо (заметные, но не мешающие искажения);</w:t>
      </w:r>
    </w:p>
    <w:p>
      <w:pPr>
        <w:numPr>
          <w:ilvl w:val="0"/>
          <w:numId w:val="1007"/>
        </w:numPr>
      </w:pPr>
      <w:r>
        <w:rPr>
          <w:rFonts w:ascii="Times New Roman" w:hAnsi="Times New Roman" w:cs="Times New Roman"/>
        </w:rPr>
        <w:t xml:space="preserve">3 — Удовлетворительно (заметные искажения);</w:t>
      </w:r>
    </w:p>
    <w:p>
      <w:pPr>
        <w:numPr>
          <w:ilvl w:val="0"/>
          <w:numId w:val="1007"/>
        </w:numPr>
      </w:pPr>
      <w:r>
        <w:rPr>
          <w:rFonts w:ascii="Times New Roman" w:hAnsi="Times New Roman" w:cs="Times New Roman"/>
        </w:rPr>
        <w:t xml:space="preserve">2 — Плохо (существенные искажения);</w:t>
      </w:r>
    </w:p>
    <w:p>
      <w:pPr>
        <w:numPr>
          <w:ilvl w:val="0"/>
          <w:numId w:val="1007"/>
        </w:numPr>
      </w:pPr>
      <w:r>
        <w:rPr>
          <w:rFonts w:ascii="Times New Roman" w:hAnsi="Times New Roman" w:cs="Times New Roman"/>
        </w:rPr>
        <w:t xml:space="preserve">1 — Неприемлемо.</w:t>
      </w:r>
    </w:p>
    <w:bookmarkEnd w:id="29"/>
    <w:bookmarkStart w:id="30" w:name="агрегированный-score-интегральная-оценка"/>
    <w:p>
      <w:pPr>
        <w:pStyle w:val="Heading1"/>
      </w:pPr>
      <w:r>
        <w:rPr>
          <w:rFonts w:ascii="Times New Roman" w:hAnsi="Times New Roman" w:cs="Times New Roman"/>
        </w:rPr>
        <w:t xml:space="preserve">Агрегированный Score (интегральная оценка)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Взвешенная сумма нормализованных метрик. Все метрики сначала приводятся к единой шкале</w:t>
      </w:r>
      <w:r>
        <w:rPr>
          <w:rFonts w:ascii="Times New Roman" w:hAnsi="Times New Roman" w:cs="Times New Roman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помощью min-max нормализации, затем складываются с весами. Чем выше Score, тем лучше метод обработки.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Min-Max нормализация для метрик &lt;&lt;ниже — лучше&gt;&gt; (LSD, SC, RMSE,</w:t>
      </w:r>
      <w:r>
        <w:rPr>
          <w:rFonts w:ascii="Times New Roman" w:hAnsi="Times New Roman" w:cs="Times New Roman"/>
          <w:b/>
          <w:bCs/>
        </w:rPr>
        <w:t xml:space="preserve"> </w:t>
      </w:r>
      <m:oMath>
        <m:r>
          <m:t>Δ</m:t>
        </m:r>
        <m:r>
          <m:t>C</m:t>
        </m:r>
      </m:oMath>
      <w:r>
        <w:rPr>
          <w:rFonts w:ascii="Times New Roman" w:hAnsi="Times New Roman" w:cs="Times New Roman"/>
          <w:b/>
          <w:bCs/>
        </w:rPr>
        <w:t xml:space="preserve">, Time):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t>ε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Min-Max нормализация для метрик &lt;&lt;выше — лучше&gt;&gt; (SNR, SI-SDR, CosSim, STOI, PESQ, MOS):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  <m:r>
                <m:t>ε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Итоговая формула расчёта общего балла (Score):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15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D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15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E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nor/>
                        <m:sty m:val="p"/>
                      </m:rPr>
                      <m:t>-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rPr>
                    <m:sty m:val="p"/>
                  </m:rPr>
                  <m:t>⋅</m:t>
                </m:r>
                <m:r>
                  <m:t>Δ</m:t>
                </m:r>
                <m:sSub>
                  <m:e>
                    <m:r>
                      <m:t>C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e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I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Q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m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где: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r>
          <m:t>Δ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нормализованные значения метрик &lt;&lt;ниже — лучше&gt;&gt; (формула </w:t>
      </w:r>
      <w:hyperlink w:anchor="eq:norm-inv">
        <w:r>
          <w:rPr>
            <w:rStyle w:val="Hyperlink"/>
          </w:rPr>
          <w:t xml:space="preserve">[eq:norm-inv]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выше);</w:t>
      </w:r>
    </w:p>
    <w:p>
      <w:pPr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nor/>
                <m:sty m:val="p"/>
              </m:rPr>
              <m:t>-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Q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нормализованные значения метрик &lt;&lt;выше — лучше&gt;&gt; (формула </w:t>
      </w:r>
      <w:hyperlink w:anchor="eq:norm-dir">
        <w:r>
          <w:rPr>
            <w:rStyle w:val="Hyperlink"/>
          </w:rPr>
          <w:t xml:space="preserve">[eq:norm-dir]</w:t>
        </w:r>
      </w:hyperlink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выше);</w:t>
      </w:r>
    </w:p>
    <w:p>
      <w:pPr>
        <w:numPr>
          <w:ilvl w:val="0"/>
          <w:numId w:val="1008"/>
        </w:numPr>
      </w:pPr>
      <m:oMath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cs="Times New Roman"/>
        </w:rPr>
        <w:t xml:space="preserve">,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— минимальное и максимальное значения метрики среди всех сравниваемых методов для данного файла;</w:t>
      </w:r>
    </w:p>
    <w:p>
      <w:pPr>
        <w:numPr>
          <w:ilvl w:val="0"/>
          <w:numId w:val="1008"/>
        </w:numPr>
      </w:pPr>
      <w:r>
        <w:rPr>
          <w:rFonts w:ascii="Times New Roman" w:hAnsi="Times New Roman" w:cs="Times New Roman"/>
        </w:rPr>
        <w:t xml:space="preserve">сумма всех весов равна</w:t>
      </w:r>
      <w:r>
        <w:rPr>
          <w:rFonts w:ascii="Times New Roman" w:hAnsi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,</m:t>
        </m:r>
        <m:r>
          <m:t>00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(см. таблицу ниже).</w:t>
      </w:r>
    </w:p>
    <w:p>
      <w:pPr>
        <w:pStyle w:val="FirstParagraph"/>
      </w:pPr>
      <w:r>
        <w:rPr>
          <w:rFonts w:ascii="Times New Roman" w:hAnsi="Times New Roman" w:cs="Times New Roman"/>
          <w:b/>
          <w:bCs/>
        </w:rPr>
        <w:t xml:space="preserve">Веса метрик: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LSD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ниже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SNR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выше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ниже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SI-SDR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выше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Spectral Convergence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ниже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Centroid Diff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ниже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Cosine Similarity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выше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ниже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STOI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выше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PESQ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выше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MOS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 xml:space="preserve">0</w:t>
            </w:r>
            <w:r>
              <w:rPr>
                <w:rFonts w:ascii="Times New Roman" w:hAnsi="Times New Roman" w:cs="Times New Roman"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</w:rP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sz w:val="24"/>
              </w:rPr>
              <w:t xml:space="preserve">выше лучше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,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sectPr>
      <w:pgMar w:top="1134" w:bottom="1134" w:left="1417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</w:pPr>
    <w:rPr>
      <w:rFonts w:ascii="Times New Roman" w:hAnsi="Times New Roman" w:cs="Times New Roman"/>
      <w:sz w:val="28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/>
      <w:sz w:val="28"/>
    </w:rPr>
  </w:style>
  <w:style w:customStyle="1" w:styleId="Compact" w:type="paragraph">
    <w:name w:val="Compact"/>
    <w:basedOn w:val="BodyText"/>
    <w:qFormat/>
    <w:pPr>
      <w:spacing w:after="40" w:before="36"/>
    </w:pPr>
    <w:rPr>
      <w:rFonts w:ascii="Times New Roman" w:hAnsi="Times New Roman" w:cs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cs="Times New Roman"/>
      <w:b/>
      <w:bCs/>
      <w:color w:themeColor="accent1" w:themeShade="B5" w:val="345A8A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/>
      <w:sz w:val="28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/>
      <w:b/>
      <w:color w:val="345A8A"/>
      <w:sz w:val="28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480"/>
      <w:outlineLvl w:val="0"/>
    </w:pPr>
    <w:rPr>
      <w:rFonts w:asciiTheme="majorHAnsi" w:cstheme="majorBidi" w:eastAsiaTheme="majorEastAsia" w:hAnsiTheme="majorHAnsi" w:ascii="Times New Roman" w:hAnsi="Times New Roman" w:cs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cs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cs="Times New Roman"/>
      <w:b/>
      <w:bCs/>
      <w:color w:themeColor="accent1" w:val="4F81BD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cs="Times New Roman"/>
      <w:bCs/>
      <w:i/>
      <w:color w:themeColor="accent1" w:val="4F81BD"/>
      <w:sz w:val="28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cs="Times New Roman"/>
      <w:iCs/>
      <w:color w:themeColor="accent1" w:val="4F81BD"/>
      <w:sz w:val="28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/>
      <w:sz w:val="28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/>
      <w:sz w:val="28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/>
      <w:sz w:val="28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/>
      <w:sz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/>
      <w:b/>
      <w:sz w:val="28"/>
    </w:rPr>
  </w:style>
  <w:style w:customStyle="1" w:styleId="Definition" w:type="paragraph">
    <w:name w:val="Definition"/>
    <w:basedOn w:val="Normal"/>
    <w:rPr>
      <w:rFonts w:ascii="Times New Roman" w:hAnsi="Times New Roman" w:cs="Times New Roman"/>
      <w:sz w:val="28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/>
      <w:i/>
      <w:sz w:val="28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/>
      <w:sz w:val="28"/>
    </w:rPr>
  </w:style>
  <w:style w:customStyle="1" w:styleId="ImageCaption" w:type="paragraph">
    <w:name w:val="Image Caption"/>
    <w:basedOn w:val="Caption"/>
    <w:rPr>
      <w:rFonts w:ascii="Times New Roman" w:hAnsi="Times New Roman" w:cs="Times New Roman"/>
      <w:sz w:val="28"/>
    </w:rPr>
  </w:style>
  <w:style w:customStyle="1" w:styleId="Figure" w:type="paragraph">
    <w:name w:val="Figure"/>
    <w:basedOn w:val="Normal"/>
    <w:rPr>
      <w:rFonts w:ascii="Times New Roman" w:hAnsi="Times New Roman" w:cs="Times New Roman"/>
      <w:sz w:val="28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/>
      <w:sz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/>
      <w:sz w:val="28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/>
      <w:sz w:val="28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/>
      <w:sz w:val="28"/>
    </w:rPr>
  </w:style>
  <w:style w:styleId="FootnoteReference" w:type="character">
    <w:name w:val="Footnote Reference"/>
    <w:basedOn w:val="BodyTextChar"/>
    <w:rPr>
      <w:rFonts w:ascii="Times New Roman" w:hAnsi="Times New Roman" w:cs="Times New Roman"/>
      <w:sz w:val="28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/>
      <w:color w:themeColor="accent1" w:val="4F81BD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cs="Times New Roman"/>
      <w:b w:val="0"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/>
      <w:sz w:val="28"/>
    </w:rPr>
  </w:style>
  <w:style w:type="character" w:customStyle="1" w:styleId="KeywordTok">
    <w:name w:val="KeywordTok"/>
    <w:basedOn w:val="VerbatimChar"/>
    <w:rPr>
      <w:rFonts w:ascii="Times New Roman" w:hAnsi="Times New Roman" w:cs="Times New Roman"/>
      <w:b/>
      <w:color w:val="007020"/>
      <w:sz w:val="28"/>
    </w:rPr>
  </w:style>
  <w:style w:type="character" w:customStyle="1" w:styleId="DataTypeTok">
    <w:name w:val="DataTypeTok"/>
    <w:basedOn w:val="VerbatimChar"/>
    <w:rPr>
      <w:rFonts w:ascii="Times New Roman" w:hAnsi="Times New Roman" w:cs="Times New Roman"/>
      <w:color w:val="902000"/>
      <w:sz w:val="28"/>
    </w:rPr>
  </w:style>
  <w:style w:type="character" w:customStyle="1" w:styleId="DecValTok">
    <w:name w:val="DecValTok"/>
    <w:basedOn w:val="VerbatimChar"/>
    <w:rPr>
      <w:rFonts w:ascii="Times New Roman" w:hAnsi="Times New Roman" w:cs="Times New Roman"/>
      <w:color w:val="40a070"/>
      <w:sz w:val="28"/>
    </w:rPr>
  </w:style>
  <w:style w:type="character" w:customStyle="1" w:styleId="BaseNTok">
    <w:name w:val="BaseNTok"/>
    <w:basedOn w:val="VerbatimChar"/>
    <w:rPr>
      <w:rFonts w:ascii="Times New Roman" w:hAnsi="Times New Roman" w:cs="Times New Roman"/>
      <w:color w:val="40a070"/>
      <w:sz w:val="28"/>
    </w:rPr>
  </w:style>
  <w:style w:type="character" w:customStyle="1" w:styleId="FloatTok">
    <w:name w:val="FloatTok"/>
    <w:basedOn w:val="VerbatimChar"/>
    <w:rPr>
      <w:rFonts w:ascii="Times New Roman" w:hAnsi="Times New Roman" w:cs="Times New Roman"/>
      <w:color w:val="40a070"/>
      <w:sz w:val="28"/>
    </w:rPr>
  </w:style>
  <w:style w:type="character" w:customStyle="1" w:styleId="ConstantTok">
    <w:name w:val="ConstantTok"/>
    <w:basedOn w:val="VerbatimChar"/>
    <w:rPr>
      <w:rFonts w:ascii="Times New Roman" w:hAnsi="Times New Roman" w:cs="Times New Roman"/>
      <w:color w:val="880000"/>
      <w:sz w:val="28"/>
    </w:rPr>
  </w:style>
  <w:style w:type="character" w:customStyle="1" w:styleId="CharTok">
    <w:name w:val="Char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StringTok">
    <w:name w:val="String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/>
      <w:color w:val="bb6688"/>
      <w:sz w:val="28"/>
    </w:rPr>
  </w:style>
  <w:style w:type="character" w:customStyle="1" w:styleId="ImportTok">
    <w:name w:val="ImportTok"/>
    <w:basedOn w:val="VerbatimChar"/>
    <w:rPr>
      <w:rFonts w:ascii="Times New Roman" w:hAnsi="Times New Roman" w:cs="Times New Roman"/>
      <w:b/>
      <w:color w:val="008000"/>
      <w:sz w:val="28"/>
    </w:rPr>
  </w:style>
  <w:style w:type="character" w:customStyle="1" w:styleId="CommentTok">
    <w:name w:val="CommentTok"/>
    <w:basedOn w:val="VerbatimChar"/>
    <w:rPr>
      <w:rFonts w:ascii="Times New Roman" w:hAnsi="Times New Roman" w:cs="Times New Roman"/>
      <w:i/>
      <w:color w:val="60a0b0"/>
      <w:sz w:val="28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/>
      <w:i/>
      <w:color w:val="ba2121"/>
      <w:sz w:val="28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OtherTok">
    <w:name w:val="OtherTok"/>
    <w:basedOn w:val="VerbatimChar"/>
    <w:rPr>
      <w:rFonts w:ascii="Times New Roman" w:hAnsi="Times New Roman" w:cs="Times New Roman"/>
      <w:color w:val="007020"/>
      <w:sz w:val="28"/>
    </w:rPr>
  </w:style>
  <w:style w:type="character" w:customStyle="1" w:styleId="FunctionTok">
    <w:name w:val="FunctionTok"/>
    <w:basedOn w:val="VerbatimChar"/>
    <w:rPr>
      <w:rFonts w:ascii="Times New Roman" w:hAnsi="Times New Roman" w:cs="Times New Roman"/>
      <w:color w:val="06287e"/>
      <w:sz w:val="28"/>
    </w:rPr>
  </w:style>
  <w:style w:type="character" w:customStyle="1" w:styleId="VariableTok">
    <w:name w:val="VariableTok"/>
    <w:basedOn w:val="VerbatimChar"/>
    <w:rPr>
      <w:rFonts w:ascii="Times New Roman" w:hAnsi="Times New Roman" w:cs="Times New Roman"/>
      <w:color w:val="19177c"/>
      <w:sz w:val="28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/>
      <w:b/>
      <w:color w:val="007020"/>
      <w:sz w:val="28"/>
    </w:rPr>
  </w:style>
  <w:style w:type="character" w:customStyle="1" w:styleId="OperatorTok">
    <w:name w:val="OperatorTok"/>
    <w:basedOn w:val="VerbatimChar"/>
    <w:rPr>
      <w:rFonts w:ascii="Times New Roman" w:hAnsi="Times New Roman" w:cs="Times New Roman"/>
      <w:color w:val="666666"/>
      <w:sz w:val="28"/>
    </w:rPr>
  </w:style>
  <w:style w:type="character" w:customStyle="1" w:styleId="BuiltInTok">
    <w:name w:val="BuiltInTok"/>
    <w:basedOn w:val="VerbatimChar"/>
    <w:rPr>
      <w:rFonts w:ascii="Times New Roman" w:hAnsi="Times New Roman" w:cs="Times New Roman"/>
      <w:color w:val="008000"/>
      <w:sz w:val="28"/>
    </w:rPr>
  </w:style>
  <w:style w:type="character" w:customStyle="1" w:styleId="ExtensionTok">
    <w:name w:val="ExtensionTok"/>
    <w:basedOn w:val="VerbatimChar"/>
    <w:rPr>
      <w:rFonts w:ascii="Times New Roman" w:hAnsi="Times New Roman" w:cs="Times New Roman"/>
      <w:sz w:val="28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/>
      <w:color w:val="bc7a00"/>
      <w:sz w:val="28"/>
    </w:rPr>
  </w:style>
  <w:style w:type="character" w:customStyle="1" w:styleId="AttributeTok">
    <w:name w:val="AttributeTok"/>
    <w:basedOn w:val="VerbatimChar"/>
    <w:rPr>
      <w:rFonts w:ascii="Times New Roman" w:hAnsi="Times New Roman" w:cs="Times New Roman"/>
      <w:color w:val="7d9029"/>
      <w:sz w:val="28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/>
      <w:sz w:val="28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WarningTok">
    <w:name w:val="Warning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AlertTok">
    <w:name w:val="AlertTok"/>
    <w:basedOn w:val="VerbatimChar"/>
    <w:rPr>
      <w:rFonts w:ascii="Times New Roman" w:hAnsi="Times New Roman" w:cs="Times New Roman"/>
      <w:b/>
      <w:color w:val="ff0000"/>
      <w:sz w:val="28"/>
    </w:rPr>
  </w:style>
  <w:style w:type="character" w:customStyle="1" w:styleId="ErrorTok">
    <w:name w:val="ErrorTok"/>
    <w:basedOn w:val="VerbatimChar"/>
    <w:rPr>
      <w:rFonts w:ascii="Times New Roman" w:hAnsi="Times New Roman" w:cs="Times New Roman"/>
      <w:b/>
      <w:color w:val="ff0000"/>
      <w:sz w:val="28"/>
    </w:rPr>
  </w:style>
  <w:style w:type="character" w:customStyle="1" w:styleId="NormalTok">
    <w:name w:val="NormalTok"/>
    <w:basedOn w:val="VerbatimChar"/>
    <w:rPr>
      <w:rFonts w:ascii="Times New Roman" w:hAnsi="Times New Roman" w:cs="Times New Roman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2026-04-24T13:48:03Z</dcterms:created>
  <dcterms:modified xsi:type="dcterms:W3CDTF">2026-04-24T13:48:03Z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