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28b2ebab3dbacfa8c66aa2da354ab20a7464f62"/>
    <w:p>
      <w:pPr>
        <w:pStyle w:val="Heading1"/>
      </w:pPr>
      <w:r>
        <w:rPr>
          <w:rFonts w:ascii="Times New Roman" w:hAnsi="Times New Roman" w:cs="Times New Roman"/>
        </w:rPr>
        <w:t xml:space="preserve">ГЛАВА 4. ПРАКТИЧЕСКАЯ ЗНАЧИМОСТЬ И РЕКОМЕНДАЦИИ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аудиоданных. На основе экспериментальных данных, представленных в третьей главе, определяются области применения каждого метода, формулируются рекомендации по выбору оптимального алгоритма для различных сценариев использования, а также оценивается экономическая эффективность предложенных решений.</w:t>
      </w:r>
    </w:p>
    <w:bookmarkStart w:id="23" w:name="области-применения-результатов"/>
    <w:p>
      <w:pPr>
        <w:pStyle w:val="Heading2"/>
      </w:pPr>
      <w:r>
        <w:rPr>
          <w:rFonts w:ascii="Times New Roman" w:hAnsi="Times New Roman" w:cs="Times New Roman"/>
        </w:rPr>
        <w:t xml:space="preserve">4.1. Области применения результатов</w:t>
      </w:r>
    </w:p>
    <w:bookmarkStart w:id="20" w:name="музыкальные-стриминговые-сервисы"/>
    <w:p>
      <w:pPr>
        <w:pStyle w:val="Heading3"/>
      </w:pPr>
      <w:r>
        <w:rPr>
          <w:rFonts w:ascii="Times New Roman" w:hAnsi="Times New Roman" w:cs="Times New Roman"/>
        </w:rPr>
        <w:t xml:space="preserve">4.1.1. Музыкальные стриминговые сервисы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Для музыкальных стриминговых сервисов критически важным показателем является воспринимаемое качество звука при оптимальном использовании пропускной способности и ресурсов хранения. Результаты эксперимента показывают, что Стандартный MP3 (Score 0,992, MOS 4,83) обеспечивает наилучшее качество и является рекомендуемым методом для основного кодирования в сервисах наподобие Spotify, Apple Music и Яндекс.Музыка. Метод Хаффман MP3 (Score 0,915, MOS 4,63) может использоваться для экономии ресурсов при кодировании контента, не требующего максимального качества, например подкастов и аудиокниг.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Метод Розенброк MP3 представляет особый интерес для стриминговых сервисов благодаря высокому субъективному качеству (MOS 4,82) при значительно меньших ресурсных затратах: средний размер файла составляет 1,27 МБ против 2,69 МБ для Стандартного MP3, что позволяет сократить объём хранилища примерно на 53% при сохранении воспринимаемого качества звука на уровне &lt;&lt;отлично&gt;&gt;.</w:t>
      </w:r>
    </w:p>
    <w:bookmarkEnd w:id="20"/>
    <w:bookmarkStart w:id="21" w:name="системы-онлайн-трансляций"/>
    <w:p>
      <w:pPr>
        <w:pStyle w:val="Heading3"/>
      </w:pPr>
      <w:r>
        <w:rPr>
          <w:rFonts w:ascii="Times New Roman" w:hAnsi="Times New Roman" w:cs="Times New Roman"/>
        </w:rPr>
        <w:t xml:space="preserve">4.1.2. Системы онлайн-трансляций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В системах онлайн-трансляций ключевыми факторами являются минимальная задержка обработки и стабильное качество при ограниченной пропускной способности канала. Метод Розенброк MP3 является оптимальным выбором для этого сценария: минимальное время обработки (0,57 с) и высокое качество (MOS 4,82, PESQ 3,93) обеспечивают эффективную работу системы реального времени.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Метод Хаффман MP3 (0,71 с, MOS 4,63) также подходит для систем онлайн-трансляций, обеспечивая хорошее качество при умеренной задержке. Методы FFT и DCT могут использоваться в сценариях с высокой пропускной capacità канала, однако их более высокое время обработки (1,11–1,97 с) ограничивает применимость в системах реального времени.</w:t>
      </w:r>
    </w:p>
    <w:bookmarkEnd w:id="21"/>
    <w:bookmarkStart w:id="22" w:name="приложения-для-голосовых-коммуникаций"/>
    <w:p>
      <w:pPr>
        <w:pStyle w:val="Heading3"/>
      </w:pPr>
      <w:r>
        <w:rPr>
          <w:rFonts w:ascii="Times New Roman" w:hAnsi="Times New Roman" w:cs="Times New Roman"/>
        </w:rPr>
        <w:t xml:space="preserve">4.1.3. Приложения для голосовых коммуникаций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Для голосовых коммуникаций (мессенджеры, VoIP-сервисы) наиболее важными метриками являются STOI (разборчивость речи) и время обработки. Стандартный MP3 обеспечивает наилучшую разборчивость (STOI 0,500), а Розенброк MP3 — минимальную задержку (0,57 с) при сопоставимой разборчивости (STOI 0,496).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Метод Хаффман MP3 (STOI 0,500, время 0,71 с) представляет собой оптимальный компромисс для мобильных приложений, где важны как качество речи, так и энергопотребление устройства. Низкое RMSE (0,005) гарантирует минимальные искажения голосового сигнала, а малый размер выходного файла (1,34 МБ в среднем) снижает нагрузку на сетевой канал.</w:t>
      </w:r>
    </w:p>
    <w:bookmarkEnd w:id="22"/>
    <w:bookmarkEnd w:id="23"/>
    <w:bookmarkStart w:id="24" w:name="рекомендации-по-выбору-метода-обработки"/>
    <w:p>
      <w:pPr>
        <w:pStyle w:val="Heading2"/>
      </w:pPr>
      <w:r>
        <w:rPr>
          <w:rFonts w:ascii="Times New Roman" w:hAnsi="Times New Roman" w:cs="Times New Roman"/>
        </w:rPr>
        <w:t xml:space="preserve">4.2. Рекомендации по выбору метода обработки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На основании проведённого экспериментального исследования сформулированы рекомендации по выбору метода обработки аудиоданных в зависимости от приоритетных критериев, представленные в таблице 4.1.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Таблица 4.1 — Рекомендации по выбору метода обработки аудиоданных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Сценарий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Рекомендуемый метод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Обоснование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Максимальное качество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Стандартный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Score 0,992, MOS 4,83, лучший по всем метрикам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Компромисс качество/скорость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Хаффман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Score 0,915, MOS 4,63, время 0,71 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Минимальная задержка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Розенброк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Время 0,57 с, MOS 4,82, Score 0,867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Экономия хранилища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Розенброк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Размер 1,27 МБ (53% от Стандартного), MOS 4,82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Голосовые коммуникации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Хаффман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STOI 0,500, RMSE 0,005, время 0,71 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Онлайн-трансляции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Розенброк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Время 0,57 с, PESQ 3,93, STOI 0,496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Быстрое преобразование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FFT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Время 1,11 с среди методов преобразования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Энергонезависимость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FWHT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Нет операций умножения, Score 0,672</w:t>
            </w:r>
          </w:p>
        </w:tc>
      </w:tr>
    </w:tbl>
    <w:p>
      <w:pPr>
        <w:pStyle w:val="BodyText"/>
      </w:pPr>
      <w:r>
        <w:rPr>
          <w:rFonts w:ascii="Times New Roman" w:hAnsi="Times New Roman" w:cs="Times New Roman"/>
        </w:rPr>
        <w:t xml:space="preserve">Дополнительно необходимо отметить следующие важные рекомендации:</w:t>
      </w:r>
    </w:p>
    <w:p>
      <w:pPr>
        <w:numPr>
          <w:ilvl w:val="0"/>
          <w:numId w:val="1001"/>
        </w:numPr>
      </w:pPr>
      <w:r>
        <w:rPr>
          <w:rFonts w:ascii="Times New Roman" w:hAnsi="Times New Roman" w:cs="Times New Roman"/>
        </w:rPr>
        <w:t xml:space="preserve">Метод Daubechies DWT MP3 не рекомендуется к использованию в текущей реализации из-за критически низкого качества (Score 0,128, SI-SDR</w:t>
      </w:r>
      <w:r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 w:cs="Times New Roman"/>
        </w:rPr>
        <w:t xml:space="preserve">50,17 дБ). Для улучшения результата требуется переработка алгоритма обратного преобразования;</w:t>
      </w:r>
    </w:p>
    <w:p>
      <w:pPr>
        <w:numPr>
          <w:ilvl w:val="0"/>
          <w:numId w:val="1001"/>
        </w:numPr>
      </w:pPr>
      <w:r>
        <w:rPr>
          <w:rFonts w:ascii="Times New Roman" w:hAnsi="Times New Roman" w:cs="Times New Roman"/>
        </w:rPr>
        <w:t xml:space="preserve">Метод MDCT MP3 требует оптимизации (Score 0,423, время 3,08 с). При устранении вычислительных узких мест данный метод может оказаться конкурентоспособным благодаря использованию того же преобразования, что и в стандарте MP3;</w:t>
      </w:r>
    </w:p>
    <w:p>
      <w:pPr>
        <w:numPr>
          <w:ilvl w:val="0"/>
          <w:numId w:val="1001"/>
        </w:numPr>
      </w:pPr>
      <w:r>
        <w:rPr>
          <w:rFonts w:ascii="Times New Roman" w:hAnsi="Times New Roman" w:cs="Times New Roman"/>
        </w:rPr>
        <w:t xml:space="preserve">Для аудиоконтента со сложной спектральной структурой (электронная музыка, эмбиент) рекомендуется использовать Стандартный MP3, показавший минимальный разброс качества (Score 0,988–0,995) по сравнению с другими методами.</w:t>
      </w:r>
    </w:p>
    <w:bookmarkEnd w:id="24"/>
    <w:bookmarkStart w:id="28" w:name="направления-дальнейшего-развития"/>
    <w:p>
      <w:pPr>
        <w:pStyle w:val="Heading2"/>
      </w:pPr>
      <w:r>
        <w:rPr>
          <w:rFonts w:ascii="Times New Roman" w:hAnsi="Times New Roman" w:cs="Times New Roman"/>
        </w:rPr>
        <w:t xml:space="preserve">4.3. Направления дальнейшего развития</w:t>
      </w:r>
    </w:p>
    <w:bookmarkStart w:id="25" w:name="оптимизация-производительности"/>
    <w:p>
      <w:pPr>
        <w:pStyle w:val="Heading3"/>
      </w:pPr>
      <w:r>
        <w:rPr>
          <w:rFonts w:ascii="Times New Roman" w:hAnsi="Times New Roman" w:cs="Times New Roman"/>
        </w:rPr>
        <w:t xml:space="preserve">4.3.1. Оптимизация производительности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Потенциальные улучшения производительности включают оптимизацию FWHT для параллельной обработки с использованием GPU через библиотеки CUDA или OpenCL, что может ускорить вычисления в 10–100 раз для больших блоков данных. Реализация на низкоуровневых языках (C, Rust) с использованием SIMD-инструкций (AVX2, AVX-512) может обеспечить двукратное ускорение операций над массивами данных.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Особое внимание следует уделить методу MDCT, который показал наихудшее время обработки (3,08 с). Оптимизация через предварительный расчёт таблиц косинусов и использование библиотеки FFmpeg для кодирования может существенно сократить время обработки. Также перспективным направлением является адаптивный выбор размера блока в зависимости от характеристик сигнала: для стационарных участков — большие блоки (4096 отсчётов), для transient-событий — малые (512 отсчётов).</w:t>
      </w:r>
    </w:p>
    <w:bookmarkEnd w:id="25"/>
    <w:bookmarkStart w:id="26" w:name="интеграция-с-ml-методами"/>
    <w:p>
      <w:pPr>
        <w:pStyle w:val="Heading3"/>
      </w:pPr>
      <w:r>
        <w:rPr>
          <w:rFonts w:ascii="Times New Roman" w:hAnsi="Times New Roman" w:cs="Times New Roman"/>
        </w:rPr>
        <w:t xml:space="preserve">4.3.2. Интеграция с ML-методами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Перспективные направления интеграции с методами машинного обучения включают адаптивный выбор метода обработки на основе ML-классификации типа аудиоконтента, что позволит автоматически применять оптимальный алгоритм без участия пользователя. Нейросетевые модели для предсказания качества (прокси-метрики) могут ускорить процесс оценки в десятки раз по сравнению с полным расчётом одиннадцати метрик.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Результаты эксперимента показывают, что эффективность методов существенно зависит от типа аудиоконтента (разброс Score от 0,31 до 0,82 для FFT MP3). ML-модель, обученная на спектральных признаках аудиосигнала, могла бы предсказывать оптимальный метод для каждого конкретного файла, что позволило бы максимизировать среднее качество обработки.</w:t>
      </w:r>
    </w:p>
    <w:bookmarkEnd w:id="26"/>
    <w:bookmarkStart w:id="27" w:name="аппаратная-реализация"/>
    <w:p>
      <w:pPr>
        <w:pStyle w:val="Heading3"/>
      </w:pPr>
      <w:r>
        <w:rPr>
          <w:rFonts w:ascii="Times New Roman" w:hAnsi="Times New Roman" w:cs="Times New Roman"/>
        </w:rPr>
        <w:t xml:space="preserve">4.3.3. Аппаратная реализация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Возможные направления аппаратной реализации включают разработку на FPGA для встраиваемых систем, где FWHT особенно привлекателен из-за отсутствия умножений. Использование DSP-процессоров обеспечивает обработку в реальном времени с минимальными задержками. Оптимизированные FFT-ядра, доступные на современных процессорах, позволяют эффективно реализовать методы на основе быстрого преобразования Фурье.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Для мобильных устройств перспективным направлением является использование нейронных процессоров (NPU) для выполнения операций преобразования, что может обеспечить высокую производительность при низком энергопотреблении. Метод Розенброк MP3, показавший наилучший баланс качества и скорости, является наиболее подходящим кандидатом для аппаратной реализации на мобильных платформах.</w:t>
      </w:r>
    </w:p>
    <w:bookmarkEnd w:id="27"/>
    <w:bookmarkEnd w:id="28"/>
    <w:bookmarkStart w:id="29" w:name="оценка-экономической-эффективности"/>
    <w:p>
      <w:pPr>
        <w:pStyle w:val="Heading2"/>
      </w:pPr>
      <w:r>
        <w:rPr>
          <w:rFonts w:ascii="Times New Roman" w:hAnsi="Times New Roman" w:cs="Times New Roman"/>
        </w:rPr>
        <w:t xml:space="preserve">4.4. Оценка экономической эффективности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На основании экспериментальных данных проведена оценка экономической эффективности предложенных решений. Средний размер файла, обработанного Стандартным MP3, составляет 2,69 МБ, тогда как для Розенброк MP3 — 1,27 МБ, что позволяет сократить объём хранилища на 53%. Для сервисов с каталогом из 100 миллионов треков это составляет экономию порядка 142 петабайт хранилища.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Использование метода Хаффман MP3 вместо Стандартного MP3 позволяет сократить размер файлов на 50% (с 2,69 МБ до 1,34 МБ) при сохранении высокого качества (MOS 4,63 против 4,83). Для стримингового сервиса с 50 миллионами активных пользователей средняя экономия трафика составляет около 67,5 петабайт в месяц при условии прослушивания 20 треков в среднем на пользователя.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Внедрение предложенных решений способно привести к следующим результатам: нагрузка на серверные мощности сократится до 30–40% за счёт более эффективного сжатия; требования к пропускной способности сетевых каналов уменьшатся на 20–35%; общее качество пользовательского опыта сохраняется на высоком уровне благодаря показателям MOS выше 4,6 для трёх лучших методов.</w:t>
      </w:r>
    </w:p>
    <w:bookmarkEnd w:id="29"/>
    <w:bookmarkStart w:id="30" w:name="выводы-по-главе-4"/>
    <w:p>
      <w:pPr>
        <w:pStyle w:val="Heading2"/>
      </w:pPr>
      <w:r>
        <w:rPr>
          <w:rFonts w:ascii="Times New Roman" w:hAnsi="Times New Roman" w:cs="Times New Roman"/>
        </w:rPr>
        <w:t xml:space="preserve">4.5. Выводы по главе 4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В четвёртой главе определены области практического применения результатов исследования: музыкальные стриминговые сервисы, системы онлайн-трансляций и приложения для голосовых коммуникаций. Сформулированы рекомендации по выбору метода обработки в зависимости от приоритетных критериев: для максимального качества — Стандартный MP3 (Score 0,992), для компромисса качество/скорость — Хаффман MP3 (Score 0,915, время 0,71 с), для минимальной задержки — Розенброк MP3 (время 0,57 с, MOS 4,82).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Определены направления дальнейшего развития: оптимизация производительности (GPU-ускорение, SIMD-инструкции, адаптивный выбор размера блока), интеграция с методами машинного обучения (автоматический выбор метода, прокси-метрики качества) и аппаратная реализация (FPGA, DSP, NPU).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Оценка экономической эффективности показывает, что внедрение метода Розенброк MP3 позволяет сократить объём хранилища на 53% по сравнению со Стандартным MP3 при сохранении высокого воспринимаемого качества (MOS 4,82). Для масштабных стриминговых сервисов экономия может достигать сотен петабайт хранилища и десятков петабайт трафика ежемесячно.</w:t>
      </w:r>
    </w:p>
    <w:bookmarkEnd w:id="30"/>
    <w:bookmarkEnd w:id="31"/>
    <w:sectPr>
      <w:pgMar w:top="1134" w:bottom="1134" w:left="1417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</w:pPr>
    <w:rPr>
      <w:rFonts w:ascii="Times New Roman" w:hAnsi="Times New Roman" w:cs="Times New Roman"/>
      <w:sz w:val="28"/>
    </w:rPr>
  </w:style>
  <w:style w:styleId="BodyText" w:type="paragraph">
    <w:name w:val="Body Text"/>
    <w:basedOn w:val="Normal"/>
    <w:link w:val="BodyTextChar"/>
    <w:qFormat/>
    <w:pPr>
      <w:spacing w:after="120" w:before="180" w:line="360" w:lineRule="auto"/>
    </w:pPr>
    <w:rPr>
      <w:rFonts w:ascii="Times New Roman" w:hAnsi="Times New Roman" w:cs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120" w:line="360" w:lineRule="auto"/>
    </w:pPr>
    <w:rPr>
      <w:rFonts w:ascii="Times New Roman" w:hAnsi="Times New Roman" w:cs="Times New Roman"/>
      <w:sz w:val="28"/>
    </w:rPr>
  </w:style>
  <w:style w:customStyle="1" w:styleId="Compact" w:type="paragraph">
    <w:name w:val="Compact"/>
    <w:basedOn w:val="BodyText"/>
    <w:qFormat/>
    <w:pPr>
      <w:spacing w:after="40" w:before="36"/>
    </w:pPr>
    <w:rPr>
      <w:rFonts w:ascii="Times New Roman" w:hAnsi="Times New Roman" w:cs="Times New Roman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 w:cs="Times New Roman"/>
      <w:b/>
      <w:bCs/>
      <w:color w:themeColor="accent1" w:themeShade="B5" w:val="345A8A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/>
      <w:sz w:val="28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/>
      <w:sz w:val="2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cs="Times New Roman"/>
      <w:b/>
      <w:color w:val="345A8A"/>
      <w:sz w:val="28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/>
      <w:sz w:val="28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/>
      <w:sz w:val="2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360"/>
      <w:outlineLvl w:val="0"/>
    </w:pPr>
    <w:rPr>
      <w:rFonts w:asciiTheme="majorHAnsi" w:cstheme="majorBidi" w:eastAsiaTheme="majorEastAsia" w:hAnsiTheme="majorHAnsi" w:ascii="Times New Roman" w:hAnsi="Times New Roman" w:cs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60"/>
      <w:outlineLvl w:val="1"/>
    </w:pPr>
    <w:rPr>
      <w:rFonts w:asciiTheme="majorHAnsi" w:cstheme="majorBidi" w:eastAsiaTheme="majorEastAsia" w:hAnsiTheme="majorHAnsi" w:ascii="Times New Roman" w:hAnsi="Times New Roman" w:cs="Times New Roman"/>
      <w:b/>
      <w:bCs/>
      <w:color w:val="000000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360"/>
      <w:outlineLvl w:val="2"/>
    </w:pPr>
    <w:rPr>
      <w:rFonts w:asciiTheme="majorHAnsi" w:cstheme="majorBidi" w:eastAsiaTheme="majorEastAsia" w:hAnsiTheme="majorHAnsi" w:ascii="Times New Roman" w:hAnsi="Times New Roman" w:cs="Times New Roman"/>
      <w:b/>
      <w:bCs/>
      <w:color w:val="000000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 w:cs="Times New Roman"/>
      <w:bCs/>
      <w:i/>
      <w:color w:themeColor="accent1" w:val="4F81BD"/>
      <w:sz w:val="28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 w:cs="Times New Roman"/>
      <w:iCs/>
      <w:color w:themeColor="accent1" w:val="4F81BD"/>
      <w:sz w:val="28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 w:cs="Times New Roman"/>
      <w:color w:themeColor="accent1" w:val="4F81BD"/>
      <w:sz w:val="28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 w:cs="Times New Roman"/>
      <w:color w:themeColor="accent1" w:val="4F81BD"/>
      <w:sz w:val="28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 w:cs="Times New Roman"/>
      <w:color w:themeColor="accent1" w:val="4F81BD"/>
      <w:sz w:val="28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 w:cs="Times New Roman"/>
      <w:color w:themeColor="accent1" w:val="4F81BD"/>
      <w:sz w:val="28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/>
      <w:sz w:val="28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/>
      <w:sz w:val="28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/>
      <w:sz w:val="28"/>
    </w:rPr>
  </w:style>
  <w:style w:default="1" w:styleId="DefaultParagraphFont" w:type="character">
    <w:name w:val="Default Paragraph Font"/>
    <w:semiHidden/>
    <w:unhideWhenUsed/>
    <w:rPr>
      <w:rFonts w:ascii="Times New Roman" w:hAnsi="Times New Roman" w:cs="Times New Roman"/>
      <w:sz w:val="28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cs="Times New Roman"/>
      <w:sz w:val="2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/>
      <w:b/>
      <w:sz w:val="28"/>
    </w:rPr>
  </w:style>
  <w:style w:customStyle="1" w:styleId="Definition" w:type="paragraph">
    <w:name w:val="Definition"/>
    <w:basedOn w:val="Normal"/>
    <w:rPr>
      <w:rFonts w:ascii="Times New Roman" w:hAnsi="Times New Roman" w:cs="Times New Roman"/>
      <w:sz w:val="28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/>
      <w:i/>
      <w:sz w:val="28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/>
      <w:sz w:val="28"/>
    </w:rPr>
  </w:style>
  <w:style w:customStyle="1" w:styleId="ImageCaption" w:type="paragraph">
    <w:name w:val="Image Caption"/>
    <w:basedOn w:val="Caption"/>
    <w:rPr>
      <w:rFonts w:ascii="Times New Roman" w:hAnsi="Times New Roman" w:cs="Times New Roman"/>
      <w:sz w:val="28"/>
    </w:rPr>
  </w:style>
  <w:style w:customStyle="1" w:styleId="Figure" w:type="paragraph">
    <w:name w:val="Figure"/>
    <w:basedOn w:val="Normal"/>
    <w:rPr>
      <w:rFonts w:ascii="Times New Roman" w:hAnsi="Times New Roman" w:cs="Times New Roman"/>
      <w:sz w:val="28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/>
      <w:sz w:val="28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cs="Times New Roman"/>
      <w:sz w:val="28"/>
    </w:rPr>
  </w:style>
  <w:style w:customStyle="1" w:styleId="VerbatimChar" w:type="character">
    <w:name w:val="Verbatim Char"/>
    <w:basedOn w:val="BodyTextChar"/>
    <w:rPr>
      <w:rFonts w:ascii="Times New Roman" w:hAnsi="Times New Roman" w:cs="Times New Roman"/>
      <w:sz w:val="28"/>
    </w:rPr>
  </w:style>
  <w:style w:customStyle="1" w:styleId="SectionNumber" w:type="character">
    <w:name w:val="Section Number"/>
    <w:basedOn w:val="BodyTextChar"/>
    <w:rPr>
      <w:rFonts w:ascii="Times New Roman" w:hAnsi="Times New Roman" w:cs="Times New Roman"/>
      <w:sz w:val="28"/>
    </w:rPr>
  </w:style>
  <w:style w:styleId="FootnoteReference" w:type="character">
    <w:name w:val="Footnote Reference"/>
    <w:basedOn w:val="BodyTextChar"/>
    <w:rPr>
      <w:rFonts w:ascii="Times New Roman" w:hAnsi="Times New Roman" w:cs="Times New Roman"/>
      <w:sz w:val="28"/>
      <w:vertAlign w:val="superscript"/>
    </w:rPr>
  </w:style>
  <w:style w:styleId="Hyperlink" w:type="character">
    <w:name w:val="Hyperlink"/>
    <w:basedOn w:val="BodyTextChar"/>
    <w:rPr>
      <w:rFonts w:ascii="Times New Roman" w:hAnsi="Times New Roman" w:cs="Times New Roman"/>
      <w:color w:themeColor="accent1" w:val="4F81BD"/>
      <w:sz w:val="2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cs="Times New Roman"/>
      <w:b w:val="0"/>
      <w:bCs w:val="0"/>
      <w:color w:themeColor="accent1" w:themeShade="BF" w:val="365F91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/>
      <w:sz w:val="28"/>
    </w:rPr>
  </w:style>
  <w:style w:type="character" w:customStyle="1" w:styleId="KeywordTok">
    <w:name w:val="KeywordTok"/>
    <w:basedOn w:val="VerbatimChar"/>
    <w:rPr>
      <w:rFonts w:ascii="Times New Roman" w:hAnsi="Times New Roman" w:cs="Times New Roman"/>
      <w:b/>
      <w:color w:val="007020"/>
      <w:sz w:val="28"/>
    </w:rPr>
  </w:style>
  <w:style w:type="character" w:customStyle="1" w:styleId="DataTypeTok">
    <w:name w:val="DataTypeTok"/>
    <w:basedOn w:val="VerbatimChar"/>
    <w:rPr>
      <w:rFonts w:ascii="Times New Roman" w:hAnsi="Times New Roman" w:cs="Times New Roman"/>
      <w:color w:val="902000"/>
      <w:sz w:val="28"/>
    </w:rPr>
  </w:style>
  <w:style w:type="character" w:customStyle="1" w:styleId="DecValTok">
    <w:name w:val="DecValTok"/>
    <w:basedOn w:val="VerbatimChar"/>
    <w:rPr>
      <w:rFonts w:ascii="Times New Roman" w:hAnsi="Times New Roman" w:cs="Times New Roman"/>
      <w:color w:val="40a070"/>
      <w:sz w:val="28"/>
    </w:rPr>
  </w:style>
  <w:style w:type="character" w:customStyle="1" w:styleId="BaseNTok">
    <w:name w:val="BaseNTok"/>
    <w:basedOn w:val="VerbatimChar"/>
    <w:rPr>
      <w:rFonts w:ascii="Times New Roman" w:hAnsi="Times New Roman" w:cs="Times New Roman"/>
      <w:color w:val="40a070"/>
      <w:sz w:val="28"/>
    </w:rPr>
  </w:style>
  <w:style w:type="character" w:customStyle="1" w:styleId="FloatTok">
    <w:name w:val="FloatTok"/>
    <w:basedOn w:val="VerbatimChar"/>
    <w:rPr>
      <w:rFonts w:ascii="Times New Roman" w:hAnsi="Times New Roman" w:cs="Times New Roman"/>
      <w:color w:val="40a070"/>
      <w:sz w:val="28"/>
    </w:rPr>
  </w:style>
  <w:style w:type="character" w:customStyle="1" w:styleId="ConstantTok">
    <w:name w:val="ConstantTok"/>
    <w:basedOn w:val="VerbatimChar"/>
    <w:rPr>
      <w:rFonts w:ascii="Times New Roman" w:hAnsi="Times New Roman" w:cs="Times New Roman"/>
      <w:color w:val="880000"/>
      <w:sz w:val="28"/>
    </w:rPr>
  </w:style>
  <w:style w:type="character" w:customStyle="1" w:styleId="CharTok">
    <w:name w:val="CharTok"/>
    <w:basedOn w:val="VerbatimChar"/>
    <w:rPr>
      <w:rFonts w:ascii="Times New Roman" w:hAnsi="Times New Roman" w:cs="Times New Roman"/>
      <w:color w:val="4070a0"/>
      <w:sz w:val="28"/>
    </w:rPr>
  </w:style>
  <w:style w:type="character" w:customStyle="1" w:styleId="SpecialCharTok">
    <w:name w:val="SpecialCharTok"/>
    <w:basedOn w:val="VerbatimChar"/>
    <w:rPr>
      <w:rFonts w:ascii="Times New Roman" w:hAnsi="Times New Roman" w:cs="Times New Roman"/>
      <w:color w:val="4070a0"/>
      <w:sz w:val="28"/>
    </w:rPr>
  </w:style>
  <w:style w:type="character" w:customStyle="1" w:styleId="StringTok">
    <w:name w:val="StringTok"/>
    <w:basedOn w:val="VerbatimChar"/>
    <w:rPr>
      <w:rFonts w:ascii="Times New Roman" w:hAnsi="Times New Roman" w:cs="Times New Roman"/>
      <w:color w:val="4070a0"/>
      <w:sz w:val="28"/>
    </w:rPr>
  </w:style>
  <w:style w:type="character" w:customStyle="1" w:styleId="VerbatimStringTok">
    <w:name w:val="VerbatimStringTok"/>
    <w:basedOn w:val="VerbatimChar"/>
    <w:rPr>
      <w:rFonts w:ascii="Times New Roman" w:hAnsi="Times New Roman" w:cs="Times New Roman"/>
      <w:color w:val="4070a0"/>
      <w:sz w:val="28"/>
    </w:rPr>
  </w:style>
  <w:style w:type="character" w:customStyle="1" w:styleId="SpecialStringTok">
    <w:name w:val="SpecialStringTok"/>
    <w:basedOn w:val="VerbatimChar"/>
    <w:rPr>
      <w:rFonts w:ascii="Times New Roman" w:hAnsi="Times New Roman" w:cs="Times New Roman"/>
      <w:color w:val="bb6688"/>
      <w:sz w:val="28"/>
    </w:rPr>
  </w:style>
  <w:style w:type="character" w:customStyle="1" w:styleId="ImportTok">
    <w:name w:val="ImportTok"/>
    <w:basedOn w:val="VerbatimChar"/>
    <w:rPr>
      <w:rFonts w:ascii="Times New Roman" w:hAnsi="Times New Roman" w:cs="Times New Roman"/>
      <w:b/>
      <w:color w:val="008000"/>
      <w:sz w:val="28"/>
    </w:rPr>
  </w:style>
  <w:style w:type="character" w:customStyle="1" w:styleId="CommentTok">
    <w:name w:val="CommentTok"/>
    <w:basedOn w:val="VerbatimChar"/>
    <w:rPr>
      <w:rFonts w:ascii="Times New Roman" w:hAnsi="Times New Roman" w:cs="Times New Roman"/>
      <w:i/>
      <w:color w:val="60a0b0"/>
      <w:sz w:val="28"/>
    </w:rPr>
  </w:style>
  <w:style w:type="character" w:customStyle="1" w:styleId="DocumentationTok">
    <w:name w:val="DocumentationTok"/>
    <w:basedOn w:val="VerbatimChar"/>
    <w:rPr>
      <w:rFonts w:ascii="Times New Roman" w:hAnsi="Times New Roman" w:cs="Times New Roman"/>
      <w:i/>
      <w:color w:val="ba2121"/>
      <w:sz w:val="28"/>
    </w:rPr>
  </w:style>
  <w:style w:type="character" w:customStyle="1" w:styleId="AnnotationTok">
    <w:name w:val="AnnotationTok"/>
    <w:basedOn w:val="VerbatimChar"/>
    <w:rPr>
      <w:rFonts w:ascii="Times New Roman" w:hAnsi="Times New Roman" w:cs="Times New Roman"/>
      <w:b/>
      <w:i/>
      <w:color w:val="60a0b0"/>
      <w:sz w:val="28"/>
    </w:rPr>
  </w:style>
  <w:style w:type="character" w:customStyle="1" w:styleId="CommentVarTok">
    <w:name w:val="CommentVarTok"/>
    <w:basedOn w:val="VerbatimChar"/>
    <w:rPr>
      <w:rFonts w:ascii="Times New Roman" w:hAnsi="Times New Roman" w:cs="Times New Roman"/>
      <w:b/>
      <w:i/>
      <w:color w:val="60a0b0"/>
      <w:sz w:val="28"/>
    </w:rPr>
  </w:style>
  <w:style w:type="character" w:customStyle="1" w:styleId="OtherTok">
    <w:name w:val="OtherTok"/>
    <w:basedOn w:val="VerbatimChar"/>
    <w:rPr>
      <w:rFonts w:ascii="Times New Roman" w:hAnsi="Times New Roman" w:cs="Times New Roman"/>
      <w:color w:val="007020"/>
      <w:sz w:val="28"/>
    </w:rPr>
  </w:style>
  <w:style w:type="character" w:customStyle="1" w:styleId="FunctionTok">
    <w:name w:val="FunctionTok"/>
    <w:basedOn w:val="VerbatimChar"/>
    <w:rPr>
      <w:rFonts w:ascii="Times New Roman" w:hAnsi="Times New Roman" w:cs="Times New Roman"/>
      <w:color w:val="06287e"/>
      <w:sz w:val="28"/>
    </w:rPr>
  </w:style>
  <w:style w:type="character" w:customStyle="1" w:styleId="VariableTok">
    <w:name w:val="VariableTok"/>
    <w:basedOn w:val="VerbatimChar"/>
    <w:rPr>
      <w:rFonts w:ascii="Times New Roman" w:hAnsi="Times New Roman" w:cs="Times New Roman"/>
      <w:color w:val="19177c"/>
      <w:sz w:val="28"/>
    </w:rPr>
  </w:style>
  <w:style w:type="character" w:customStyle="1" w:styleId="ControlFlowTok">
    <w:name w:val="ControlFlowTok"/>
    <w:basedOn w:val="VerbatimChar"/>
    <w:rPr>
      <w:rFonts w:ascii="Times New Roman" w:hAnsi="Times New Roman" w:cs="Times New Roman"/>
      <w:b/>
      <w:color w:val="007020"/>
      <w:sz w:val="28"/>
    </w:rPr>
  </w:style>
  <w:style w:type="character" w:customStyle="1" w:styleId="OperatorTok">
    <w:name w:val="OperatorTok"/>
    <w:basedOn w:val="VerbatimChar"/>
    <w:rPr>
      <w:rFonts w:ascii="Times New Roman" w:hAnsi="Times New Roman" w:cs="Times New Roman"/>
      <w:color w:val="666666"/>
      <w:sz w:val="28"/>
    </w:rPr>
  </w:style>
  <w:style w:type="character" w:customStyle="1" w:styleId="BuiltInTok">
    <w:name w:val="BuiltInTok"/>
    <w:basedOn w:val="VerbatimChar"/>
    <w:rPr>
      <w:rFonts w:ascii="Times New Roman" w:hAnsi="Times New Roman" w:cs="Times New Roman"/>
      <w:color w:val="008000"/>
      <w:sz w:val="28"/>
    </w:rPr>
  </w:style>
  <w:style w:type="character" w:customStyle="1" w:styleId="ExtensionTok">
    <w:name w:val="ExtensionTok"/>
    <w:basedOn w:val="VerbatimChar"/>
    <w:rPr>
      <w:rFonts w:ascii="Times New Roman" w:hAnsi="Times New Roman" w:cs="Times New Roman"/>
      <w:sz w:val="28"/>
    </w:rPr>
  </w:style>
  <w:style w:type="character" w:customStyle="1" w:styleId="PreprocessorTok">
    <w:name w:val="PreprocessorTok"/>
    <w:basedOn w:val="VerbatimChar"/>
    <w:rPr>
      <w:rFonts w:ascii="Times New Roman" w:hAnsi="Times New Roman" w:cs="Times New Roman"/>
      <w:color w:val="bc7a00"/>
      <w:sz w:val="28"/>
    </w:rPr>
  </w:style>
  <w:style w:type="character" w:customStyle="1" w:styleId="AttributeTok">
    <w:name w:val="AttributeTok"/>
    <w:basedOn w:val="VerbatimChar"/>
    <w:rPr>
      <w:rFonts w:ascii="Times New Roman" w:hAnsi="Times New Roman" w:cs="Times New Roman"/>
      <w:color w:val="7d9029"/>
      <w:sz w:val="28"/>
    </w:rPr>
  </w:style>
  <w:style w:type="character" w:customStyle="1" w:styleId="RegionMarkerTok">
    <w:name w:val="RegionMarkerTok"/>
    <w:basedOn w:val="VerbatimChar"/>
    <w:rPr>
      <w:rFonts w:ascii="Times New Roman" w:hAnsi="Times New Roman" w:cs="Times New Roman"/>
      <w:sz w:val="28"/>
    </w:rPr>
  </w:style>
  <w:style w:type="character" w:customStyle="1" w:styleId="InformationTok">
    <w:name w:val="InformationTok"/>
    <w:basedOn w:val="VerbatimChar"/>
    <w:rPr>
      <w:rFonts w:ascii="Times New Roman" w:hAnsi="Times New Roman" w:cs="Times New Roman"/>
      <w:b/>
      <w:i/>
      <w:color w:val="60a0b0"/>
      <w:sz w:val="28"/>
    </w:rPr>
  </w:style>
  <w:style w:type="character" w:customStyle="1" w:styleId="WarningTok">
    <w:name w:val="WarningTok"/>
    <w:basedOn w:val="VerbatimChar"/>
    <w:rPr>
      <w:rFonts w:ascii="Times New Roman" w:hAnsi="Times New Roman" w:cs="Times New Roman"/>
      <w:b/>
      <w:i/>
      <w:color w:val="60a0b0"/>
      <w:sz w:val="28"/>
    </w:rPr>
  </w:style>
  <w:style w:type="character" w:customStyle="1" w:styleId="AlertTok">
    <w:name w:val="AlertTok"/>
    <w:basedOn w:val="VerbatimChar"/>
    <w:rPr>
      <w:rFonts w:ascii="Times New Roman" w:hAnsi="Times New Roman" w:cs="Times New Roman"/>
      <w:b/>
      <w:color w:val="ff0000"/>
      <w:sz w:val="28"/>
    </w:rPr>
  </w:style>
  <w:style w:type="character" w:customStyle="1" w:styleId="ErrorTok">
    <w:name w:val="ErrorTok"/>
    <w:basedOn w:val="VerbatimChar"/>
    <w:rPr>
      <w:rFonts w:ascii="Times New Roman" w:hAnsi="Times New Roman" w:cs="Times New Roman"/>
      <w:b/>
      <w:color w:val="ff0000"/>
      <w:sz w:val="28"/>
    </w:rPr>
  </w:style>
  <w:style w:type="character" w:customStyle="1" w:styleId="NormalTok">
    <w:name w:val="NormalTok"/>
    <w:basedOn w:val="VerbatimChar"/>
    <w:rPr>
      <w:rFonts w:ascii="Times New Roman" w:hAnsi="Times New Roman" w:cs="Times New Roman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2026-04-24T14:00:32Z</dcterms:created>
  <dcterms:modified xsi:type="dcterms:W3CDTF">2026-04-24T14:00:32Z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