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ascii="Times New Roman" w:hAnsi="Times New Roman" w:cs="Times New Roman"/>
          <w:b/>
          <w:bCs/>
        </w:rPr>
        <w:t xml:space="preserve">ФОРМУЛЫ МЕТРИК КАЧЕСТВА АУДИОСИГНАЛА</w:t>
      </w:r>
    </w:p>
    <w:p>
      <w:pPr>
        <w:pStyle w:val="BodyText"/>
      </w:pPr>
      <w:r>
        <w:rPr>
          <w:rFonts w:ascii="Times New Roman" w:hAnsi="Times New Roman" w:cs="Times New Roman"/>
          <w:b/>
          <w:bCs/>
        </w:rPr>
        <w:t xml:space="preserve">Общие обозначения, используемые в формулах:</w:t>
      </w:r>
    </w:p>
    <w:p>
      <w:pPr>
        <w:numPr>
          <w:ilvl w:val="0"/>
          <w:numId w:val="1001"/>
        </w:numPr>
      </w:pP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(ref[n]) — опорный (оригинальный) сигнал, массив PCM-отсчётов;</w:t>
      </w:r>
    </w:p>
    <w:p>
      <w:pPr>
        <w:numPr>
          <w:ilvl w:val="0"/>
          <w:numId w:val="1001"/>
        </w:numPr>
      </w:pPr>
      <m:oMath>
        <m:r>
          <m:t>y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(test[n]) — тестовый (обработанный) сигнал, массив PCM-отсчётов;</w:t>
      </w:r>
    </w:p>
    <w:p>
      <w:pPr>
        <w:numPr>
          <w:ilvl w:val="0"/>
          <w:numId w:val="1001"/>
        </w:numPr>
      </w:pPr>
      <m:oMath>
        <m:r>
          <m:t>N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длина сигнала:</w:t>
      </w:r>
      <w:r>
        <w:rPr>
          <w:rFonts w:ascii="Times New Roman" w:hAnsi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,</m:t>
            </m:r>
            <m:r>
              <m:t> 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</m:e>
            </m:d>
          </m:e>
        </m:d>
      </m:oMath>
      <w:r>
        <w:rPr>
          <w:rFonts w:ascii="Times New Roman" w:hAnsi="Times New Roman" w:cs="Times New Roman"/>
        </w:rPr>
        <w:t xml:space="preserve">;</w:t>
      </w:r>
    </w:p>
    <w:p>
      <w:pPr>
        <w:numPr>
          <w:ilvl w:val="0"/>
          <w:numId w:val="1001"/>
        </w:numPr>
      </w:pPr>
      <m:oMath>
        <m:sSub>
          <m:e>
            <m:r>
              <m:t>X</m:t>
            </m:r>
          </m:e>
          <m:sub>
            <m:r>
              <m:t>m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комплексный спектр опорного сигнала в окне</w:t>
      </w:r>
      <w:r>
        <w:rPr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cs="Times New Roman"/>
        </w:rPr>
        <w:t xml:space="preserve">;</w:t>
      </w:r>
    </w:p>
    <w:p>
      <w:pPr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m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комплексный спектр тестового сигнала в окне</w:t>
      </w:r>
      <w:r>
        <w:rPr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cs="Times New Roman"/>
        </w:rPr>
        <w:t xml:space="preserve">;</w:t>
      </w:r>
    </w:p>
    <w:p>
      <w:pPr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размер окна FFT (по умолчанию 1024);</w:t>
      </w:r>
    </w:p>
    <w:p>
      <w:pPr>
        <w:numPr>
          <w:ilvl w:val="0"/>
          <w:numId w:val="1001"/>
        </w:numPr>
      </w:pPr>
      <m:oMath>
        <m:r>
          <m:t>H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шаг сдвига окна (по умолчанию 512);</w:t>
      </w:r>
    </w:p>
    <w:p>
      <w:pPr>
        <w:numPr>
          <w:ilvl w:val="0"/>
          <w:numId w:val="1001"/>
        </w:numPr>
      </w:pPr>
      <m:oMath>
        <m:r>
          <m:t>w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весовая функция окна Ханна;</w:t>
      </w:r>
    </w:p>
    <w:p>
      <w:pPr>
        <w:numPr>
          <w:ilvl w:val="0"/>
          <w:numId w:val="1001"/>
        </w:numPr>
      </w:pPr>
      <m:oMath>
        <m:r>
          <m:t>K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число частотных бинов;</w:t>
      </w:r>
    </w:p>
    <w:p>
      <w:pPr>
        <w:numPr>
          <w:ilvl w:val="0"/>
          <w:numId w:val="1001"/>
        </w:numPr>
      </w:pPr>
      <m:oMath>
        <m:r>
          <m:t>M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число окон (фреймов) в сигнале;</w:t>
      </w:r>
    </w:p>
    <w:p>
      <w:pPr>
        <w:numPr>
          <w:ilvl w:val="0"/>
          <w:numId w:val="1001"/>
        </w:numPr>
      </w:pP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константа для избежания деления на ноль;</w:t>
      </w:r>
    </w:p>
    <w:p>
      <w:pPr>
        <w:numPr>
          <w:ilvl w:val="0"/>
          <w:numId w:val="1001"/>
        </w:numPr>
      </w:pPr>
      <m:oMath>
        <m:r>
          <m:t>Δ</m:t>
        </m:r>
        <m:r>
          <m:t>f</m:t>
        </m:r>
        <m:r>
          <m:rPr>
            <m:sty m:val="p"/>
          </m:rPr>
          <m:t>=</m:t>
        </m:r>
        <m:r>
          <m:t>s</m:t>
        </m:r>
        <m:r>
          <m:t>r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частотное разрешение (Гц на бин).</w:t>
      </w:r>
    </w:p>
    <w:bookmarkStart w:id="20" w:name="snr-signal-to-noise-ratio"/>
    <w:p>
      <w:pPr>
        <w:pStyle w:val="Heading1"/>
      </w:pPr>
      <w:r>
        <w:rPr>
          <w:rFonts w:ascii="Times New Roman" w:hAnsi="Times New Roman" w:cs="Times New Roman"/>
        </w:rPr>
        <w:t xml:space="preserve">SNR (Signal-to-Noise Ratio)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Отношение мощности полезного сигнала к мощности шума. Чем выше SNR, тем меньше искажений внесено при обработке.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d>
                                <m:dPr>
                                  <m:begChr m:val="["/>
                                  <m:endChr m:val="]"/>
                                  <m:sepChr m:val=""/>
                                  <m:grow/>
                                </m:dPr>
                                <m:e>
                                  <m:r>
                                    <m:t>n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y</m:t>
                              </m:r>
                              <m:d>
                                <m:dPr>
                                  <m:begChr m:val="["/>
                                  <m:endChr m:val="]"/>
                                  <m:sepChr m:val=""/>
                                  <m:grow/>
                                </m:dPr>
                                <m:e>
                                  <m:r>
                                    <m:t>n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den>
              </m:f>
            </m:e>
          </m:d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дБ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 w:cs="Times New Roman"/>
          <w:b/>
          <w:bCs/>
        </w:rPr>
        <w:t xml:space="preserve">где:</w:t>
      </w:r>
      <w:r>
        <w:rPr>
          <w:rFonts w:ascii="Times New Roman" w:hAnsi="Times New Roman" w:cs="Times New Roman"/>
        </w:rP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опорный сигнал;</w:t>
      </w:r>
      <w:r>
        <w:rPr>
          <w:rFonts w:ascii="Times New Roman" w:hAnsi="Times New Roman" w:cs="Times New Roman"/>
        </w:rPr>
        <w:t xml:space="preserve"> </w:t>
      </w:r>
      <m:oMath>
        <m:r>
          <m:t>y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тестовый сигнал;</w:t>
      </w:r>
      <w:r>
        <w:rPr>
          <w:rFonts w:ascii="Times New Roman" w:hAnsi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длина сигнала;</w:t>
      </w:r>
      <w:r>
        <w:rPr>
          <w:rFonts w:ascii="Times New Roman" w:hAnsi="Times New Roman" w:cs="Times New Roman"/>
        </w:rP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защита от деления на ноль; результат в децибелах, положительный SNR означает, что сигнал сильнее шума.</w:t>
      </w:r>
    </w:p>
    <w:bookmarkEnd w:id="20"/>
    <w:bookmarkStart w:id="21" w:name="rmse-root-mean-square-error"/>
    <w:p>
      <w:pPr>
        <w:pStyle w:val="Heading1"/>
      </w:pPr>
      <w:r>
        <w:rPr>
          <w:rFonts w:ascii="Times New Roman" w:hAnsi="Times New Roman" w:cs="Times New Roman"/>
        </w:rPr>
        <w:t xml:space="preserve">RMSE (Root Mean Square Error)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Корень из среднего квадрата отклонения тестового сигнала от опорного. Показывает среднюю величину ошибки во временной области. Для сигналов, нормализованных к</w:t>
      </w:r>
      <w:r>
        <w:rPr>
          <w:rFonts w:ascii="Times New Roman" w:hAnsi="Times New Roman" w:cs="Times New Roman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Times New Roman" w:hAnsi="Times New Roman" w:cs="Times New Roman"/>
        </w:rPr>
        <w:t xml:space="preserve">: RMSE</w:t>
      </w:r>
      <w:r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означает идеальное совпадение, RMSE</w:t>
      </w:r>
      <w:r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максимально возможное отклонение.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</m:oMath>
      </m:oMathPara>
    </w:p>
    <w:p>
      <w:pPr>
        <w:pStyle w:val="FirstParagraph"/>
      </w:pPr>
      <w:r>
        <w:rPr>
          <w:rFonts w:ascii="Times New Roman" w:hAnsi="Times New Roman" w:cs="Times New Roman"/>
          <w:b/>
          <w:bCs/>
        </w:rPr>
        <w:t xml:space="preserve">где:</w:t>
      </w:r>
      <w:r>
        <w:rPr>
          <w:rFonts w:ascii="Times New Roman" w:hAnsi="Times New Roman" w:cs="Times New Roman"/>
        </w:rP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опорный сигнал;</w:t>
      </w:r>
      <w:r>
        <w:rPr>
          <w:rFonts w:ascii="Times New Roman" w:hAnsi="Times New Roman" w:cs="Times New Roman"/>
        </w:rPr>
        <w:t xml:space="preserve"> </w:t>
      </w:r>
      <m:oMath>
        <m:r>
          <m:t>y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тестовый сигнал;</w:t>
      </w:r>
      <w:r>
        <w:rPr>
          <w:rFonts w:ascii="Times New Roman" w:hAnsi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длина сигнала.</w:t>
      </w:r>
    </w:p>
    <w:bookmarkEnd w:id="21"/>
    <w:bookmarkStart w:id="22" w:name="Xb47afae2aa306eae10ca1765b30d45f41cbfac1"/>
    <w:p>
      <w:pPr>
        <w:pStyle w:val="Heading1"/>
      </w:pPr>
      <w:r>
        <w:rPr>
          <w:rFonts w:ascii="Times New Roman" w:hAnsi="Times New Roman" w:cs="Times New Roman"/>
        </w:rPr>
        <w:t xml:space="preserve">SI-SDR (Scale-Invariant Signal-to-Distortion Ratio)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Масштабно-инвариантное отношение сигнал/искажение. В отличие от обычного SNR, SI-SDR автоматически подбирает оптимальный масштаб, компенсируя глобальные изменения громкости.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nor/>
              <m:sty m:val="p"/>
            </m:rPr>
            <m:t>-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sSubSup>
                        <m:e>
                          <m:r>
                            <m:t>e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den>
              </m:f>
            </m:e>
          </m:d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дБ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 w:cs="Times New Roman"/>
          <w:b/>
          <w:bCs/>
        </w:rPr>
        <w:t xml:space="preserve">где: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b>
              <m:sup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r>
                  <m:t>x</m:t>
                </m:r>
              </m:e>
            </m:nary>
            <m:d>
              <m:dPr>
                <m:begChr m:val="["/>
                <m:endChr m:val="]"/>
                <m:sepChr m:val=""/>
                <m:grow/>
              </m:dPr>
              <m:e>
                <m:r>
                  <m:t>n</m:t>
                </m:r>
              </m:e>
            </m:d>
            <m:r>
              <m:rPr>
                <m:sty m:val="p"/>
              </m:rPr>
              <m:t>⋅</m:t>
            </m:r>
            <m:r>
              <m:t>y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n</m:t>
                </m:r>
              </m:e>
            </m:d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b>
              <m:sup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nary>
            <m:d>
              <m:dPr>
                <m:begChr m:val="["/>
                <m:endChr m:val="]"/>
                <m:sepChr m:val=""/>
                <m:grow/>
              </m:dPr>
              <m:e>
                <m:r>
                  <m:t>n</m:t>
                </m:r>
              </m:e>
            </m:d>
            <m:r>
              <m:rPr>
                <m:sty m:val="p"/>
              </m:rPr>
              <m:t>+</m:t>
            </m:r>
            <m:r>
              <m:t>ε</m:t>
            </m:r>
          </m:den>
        </m:f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коэффициент масштаба (проекция</w:t>
      </w:r>
      <w:r>
        <w:rPr>
          <w:rFonts w:ascii="Times New Roman" w:hAnsi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на</w:t>
      </w:r>
      <w:r>
        <w:rPr>
          <w:rFonts w:ascii="Times New Roman" w:hAnsi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методом наименьших квадратов);</w:t>
      </w:r>
    </w:p>
    <w:p>
      <w:pPr>
        <w:numPr>
          <w:ilvl w:val="0"/>
          <w:numId w:val="1002"/>
        </w:numPr>
      </w:pPr>
      <m:oMath>
        <m:acc>
          <m:accPr>
            <m:chr m:val="̂"/>
          </m:accPr>
          <m:e>
            <m:r>
              <m:t>y</m:t>
            </m:r>
          </m:e>
        </m:acc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⋅</m:t>
        </m:r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целевой компонент тестового сигнала (часть, совпадающая с опорным);</w:t>
      </w:r>
    </w:p>
    <w:p>
      <w:pPr>
        <w:numPr>
          <w:ilvl w:val="0"/>
          <w:numId w:val="1002"/>
        </w:numPr>
      </w:pPr>
      <m:oMath>
        <m:sSub>
          <m:e>
            <m:r>
              <m:t>e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y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шумовая компонента (искажения).</w:t>
      </w:r>
    </w:p>
    <w:bookmarkEnd w:id="22"/>
    <w:bookmarkStart w:id="23" w:name="lsd-log-spectral-distance"/>
    <w:p>
      <w:pPr>
        <w:pStyle w:val="Heading1"/>
      </w:pPr>
      <w:r>
        <w:rPr>
          <w:rFonts w:ascii="Times New Roman" w:hAnsi="Times New Roman" w:cs="Times New Roman"/>
        </w:rPr>
        <w:t xml:space="preserve">LSD (Log-Spectral Distance)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Логарифмическое спектральное расстояние. Измеряет среднее различие между спектрами опорного и тестового сигналов в логарифмическом масштабе (дБ). Учитывает частотные характеристики искажений, которые не видны во временной области.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S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d>
                                <m:dPr>
                                  <m:begChr m:val="["/>
                                  <m:endChr m:val="]"/>
                                  <m:sepChr m:val=""/>
                                  <m:grow/>
                                </m:dPr>
                                <m:e>
                                  <m:r>
                                    <m:t>m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 </m:t>
                                  </m:r>
                                  <m:r>
                                    <m:t>k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S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d>
                                <m:dPr>
                                  <m:begChr m:val="["/>
                                  <m:endChr m:val="]"/>
                                  <m:sepChr m:val=""/>
                                  <m:grow/>
                                </m:dPr>
                                <m:e>
                                  <m:r>
                                    <m:t>m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 </m:t>
                                  </m:r>
                                  <m:r>
                                    <m:t>k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e>
          </m:nary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дБ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 w:cs="Times New Roman"/>
          <w:b/>
          <w:bCs/>
        </w:rPr>
        <w:t xml:space="preserve">где:</w:t>
      </w:r>
    </w:p>
    <w:p>
      <w:pPr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m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sty m:val="p"/>
          </m:rPr>
          <m:t>F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m</m:t>
                </m:r>
              </m:sub>
            </m:sSub>
            <m:d>
              <m:dPr>
                <m:begChr m:val="["/>
                <m:endChr m:val="]"/>
                <m:sepChr m:val=""/>
                <m:grow/>
              </m:dPr>
              <m:e>
                <m:r>
                  <m:t>n</m:t>
                </m:r>
              </m:e>
            </m:d>
            <m:r>
              <m:rPr>
                <m:sty m:val="p"/>
              </m:rPr>
              <m:t>⋅</m:t>
            </m:r>
            <m:r>
              <m:t>w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n</m:t>
                </m:r>
              </m:e>
            </m:d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односторонний FFT опорного сигнала в окне</w:t>
      </w:r>
      <w:r>
        <w:rPr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m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sty m:val="p"/>
          </m:rPr>
          <m:t>F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m</m:t>
                </m:r>
              </m:sub>
            </m:sSub>
            <m:d>
              <m:dPr>
                <m:begChr m:val="["/>
                <m:endChr m:val="]"/>
                <m:sepChr m:val=""/>
                <m:grow/>
              </m:dPr>
              <m:e>
                <m:r>
                  <m:t>n</m:t>
                </m:r>
              </m:e>
            </m:d>
            <m:r>
              <m:rPr>
                <m:sty m:val="p"/>
              </m:rPr>
              <m:t>⋅</m:t>
            </m:r>
            <m:r>
              <m:t>w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n</m:t>
                </m:r>
              </m:e>
            </m:d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односторонний FFT тестового сигнала в окне</w:t>
      </w:r>
      <w:r>
        <w:rPr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x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 </m:t>
            </m:r>
            <m:r>
              <m:t>k</m:t>
            </m:r>
          </m:e>
        </m:d>
        <m:r>
          <m:rPr>
            <m:sty m:val="p"/>
          </m:rPr>
          <m:t>=</m:t>
        </m:r>
        <m:r>
          <m:t>10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k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ε</m:t>
            </m:r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спектральная плотность мощности опорного сигнала в дБ;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y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 </m:t>
            </m:r>
            <m:r>
              <m:t>k</m:t>
            </m:r>
          </m:e>
        </m:d>
        <m:r>
          <m:rPr>
            <m:sty m:val="p"/>
          </m:rPr>
          <m:t>=</m:t>
        </m:r>
        <m:r>
          <m:t>10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k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ε</m:t>
            </m:r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спектральная плотность мощности тестового сигнала в дБ;</w:t>
      </w:r>
    </w:p>
    <w:p>
      <w:pPr>
        <w:numPr>
          <w:ilvl w:val="0"/>
          <w:numId w:val="1003"/>
        </w:numPr>
      </w:pPr>
      <m:oMath>
        <m:r>
          <m:t>w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​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  <m:r>
                      <m:t>n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d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окно Ханна;</w:t>
      </w:r>
    </w:p>
    <w:p>
      <w:pPr>
        <w:numPr>
          <w:ilvl w:val="0"/>
          <w:numId w:val="1003"/>
        </w:numPr>
      </w:pPr>
      <m:oMath>
        <m:r>
          <m:t>K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число частотных бинов;</w:t>
      </w:r>
    </w:p>
    <w:p>
      <w:pPr>
        <w:numPr>
          <w:ilvl w:val="0"/>
          <w:numId w:val="1003"/>
        </w:numPr>
      </w:pP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+</m:t>
            </m:r>
            <m:d>
              <m:dPr>
                <m:begChr m:val="⌊"/>
                <m:endChr m:val="⌋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t</m:t>
                        </m:r>
                      </m:sub>
                    </m:sSub>
                  </m:num>
                  <m:den>
                    <m:r>
                      <m:t>H</m:t>
                    </m:r>
                  </m:den>
                </m:f>
              </m:e>
            </m:d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число окон.</w:t>
      </w:r>
    </w:p>
    <w:bookmarkEnd w:id="23"/>
    <w:bookmarkStart w:id="24" w:name="X571764974d0e4b87ffb370484a40342f9c4f628"/>
    <w:p>
      <w:pPr>
        <w:pStyle w:val="Heading1"/>
      </w:pPr>
      <w:r>
        <w:rPr>
          <w:rFonts w:ascii="Times New Roman" w:hAnsi="Times New Roman" w:cs="Times New Roman"/>
        </w:rPr>
        <w:t xml:space="preserve">Spectral Convergence (Спектральная сходимость)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Относительная разница амплитудных спектров. Показывает, насколько амплитудный спектр обработанного сигнала отклоняется от опорного. Чем ниже значение, тем лучше спектральное совпадение.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d>
                                    <m:dPr>
                                      <m:begChr m:val="|"/>
                                      <m:endChr m:val="|"/>
                                      <m:sepChr m:val=""/>
                                      <m:grow/>
                                    </m:dPr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m</m:t>
                                          </m:r>
                                        </m:sub>
                                      </m:sSub>
                                      <m:d>
                                        <m:dPr>
                                          <m:begChr m:val="["/>
                                          <m:endChr m:val="]"/>
                                          <m:sepChr m:val=""/>
                                          <m:grow/>
                                        </m:dPr>
                                        <m:e>
                                          <m:r>
                                            <m:t>k</m:t>
                                          </m:r>
                                        </m:e>
                                      </m:d>
                                    </m:e>
                                  </m:d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d>
                                    <m:dPr>
                                      <m:begChr m:val="|"/>
                                      <m:endChr m:val="|"/>
                                      <m:sepChr m:val=""/>
                                      <m:grow/>
                                    </m:dPr>
                                    <m:e>
                                      <m:sSub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  <m:sub>
                                          <m:r>
                                            <m:t>m</m:t>
                                          </m:r>
                                        </m:sub>
                                      </m:sSub>
                                      <m:d>
                                        <m:dPr>
                                          <m:begChr m:val="["/>
                                          <m:endChr m:val="]"/>
                                          <m:sepChr m:val=""/>
                                          <m:grow/>
                                        </m:dPr>
                                        <m:e>
                                          <m:r>
                                            <m:t>k</m:t>
                                          </m:r>
                                        </m:e>
                                      </m:d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|"/>
                                  <m:endChr m:val="|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m</m:t>
                                      </m:r>
                                    </m:sub>
                                  </m:sSub>
                                  <m:d>
                                    <m:dPr>
                                      <m:begChr m:val="["/>
                                      <m:endChr m:val="]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k</m:t>
                                      </m:r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rFonts w:ascii="Times New Roman" w:hAnsi="Times New Roman" w:cs="Times New Roman"/>
          <w:b/>
          <w:bCs/>
        </w:rPr>
        <w:t xml:space="preserve">где:</w:t>
      </w:r>
      <w:r>
        <w:rPr>
          <w:rFonts w:ascii="Times New Roman" w:hAnsi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спектр опорного сигнала в окне</w:t>
      </w:r>
      <w:r>
        <w:rPr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cs="Times New Roman"/>
        </w:rPr>
        <w:t xml:space="preserve">;</w:t>
      </w:r>
      <w:r>
        <w:rPr>
          <w:rFonts w:ascii="Times New Roman" w:hAnsi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m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спектр тестового сигнала в окне</w:t>
      </w:r>
      <w:r>
        <w:rPr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cs="Times New Roman"/>
        </w:rPr>
        <w:t xml:space="preserve">;</w:t>
      </w:r>
      <w:r>
        <w:rPr>
          <w:rFonts w:ascii="Times New Roman" w:hAnsi="Times New Roman" w:cs="Times New Roman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m</m:t>
                </m:r>
              </m:sub>
            </m:sSub>
            <m:d>
              <m:dPr>
                <m:begChr m:val="["/>
                <m:endChr m:val="]"/>
                <m:sepChr m:val=""/>
                <m:grow/>
              </m:dPr>
              <m:e>
                <m:r>
                  <m:t>k</m:t>
                </m:r>
              </m:e>
            </m:d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амплитуда (модуль) комплексного спектра в бине</w:t>
      </w:r>
      <w:r>
        <w:rPr>
          <w:rFonts w:ascii="Times New Roman" w:hAnsi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cs="Times New Roman"/>
        </w:rPr>
        <w:t xml:space="preserve">;</w:t>
      </w:r>
      <w:r>
        <w:rPr>
          <w:rFonts w:ascii="Times New Roman" w:hAnsi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число частотных бинов;</w:t>
      </w:r>
      <w:r>
        <w:rPr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число окон.</w:t>
      </w:r>
    </w:p>
    <w:bookmarkEnd w:id="24"/>
    <w:bookmarkStart w:id="25" w:name="X3dca4987fa7df5275eee5dd4d5ee003a3e04477"/>
    <w:p>
      <w:pPr>
        <w:pStyle w:val="Heading1"/>
      </w:pPr>
      <w:r>
        <w:rPr>
          <w:rFonts w:ascii="Times New Roman" w:hAnsi="Times New Roman" w:cs="Times New Roman"/>
        </w:rPr>
        <w:t xml:space="preserve">Spectral Centroid Difference (Разница спектральных центроидов)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Разница &lt;&lt;центров тяжести&gt;&gt; спектров опорного и тестового сигналов. Спектральный центроид отражает perceived &lt;&lt;яркость&gt;&gt; звука: низкий центроид характерен для басовых звуков, высокий — для ярких, шипящих.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x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y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</m:e>
              </m:d>
            </m:e>
          </m:nary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Гц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 w:cs="Times New Roman"/>
          <w:b/>
          <w:bCs/>
        </w:rPr>
        <w:t xml:space="preserve">где:</w:t>
      </w:r>
    </w:p>
    <w:p>
      <w:pPr>
        <w:numPr>
          <w:ilvl w:val="0"/>
          <w:numId w:val="1004"/>
        </w:numPr>
      </w:pPr>
      <m:oMath>
        <m:sSub>
          <m:e>
            <m:r>
              <m:t>A</m:t>
            </m:r>
          </m:e>
          <m:sub>
            <m:r>
              <m:t>m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T</m:t>
            </m:r>
            <m:r>
              <m:t>​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w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e>
            </m:d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амплитудный спектр опорного сигнала в окне</w:t>
      </w:r>
      <w:r>
        <w:rPr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cs="Times New Roman"/>
        </w:rPr>
        <w:t xml:space="preserve">;</w:t>
      </w:r>
    </w:p>
    <w:p>
      <w:pPr>
        <w:numPr>
          <w:ilvl w:val="0"/>
          <w:numId w:val="1004"/>
        </w:numPr>
      </w:pPr>
      <m:oMath>
        <m:sSub>
          <m:e>
            <m:r>
              <m:t>B</m:t>
            </m:r>
          </m:e>
          <m:sub>
            <m:r>
              <m:t>m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T</m:t>
            </m:r>
            <m:r>
              <m:t>​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w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e>
            </m:d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амплитудный спектр тестового сигнала в окне</w:t>
      </w:r>
      <w:r>
        <w:rPr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cs="Times New Roman"/>
        </w:rPr>
        <w:t xml:space="preserve">;</w:t>
      </w:r>
    </w:p>
    <w:p>
      <w:pPr>
        <w:numPr>
          <w:ilvl w:val="0"/>
          <w:numId w:val="1004"/>
        </w:numPr>
      </w:pPr>
      <m:oMath>
        <m:sSub>
          <m:e>
            <m:r>
              <m:t>C</m:t>
            </m:r>
          </m:e>
          <m:sub>
            <m:r>
              <m:t>x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b>
              <m:sup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r>
                  <m:t>k</m:t>
                </m:r>
              </m:e>
            </m:nary>
            <m:r>
              <m:rPr>
                <m:sty m:val="p"/>
              </m:rPr>
              <m:t>⋅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  <m:d>
              <m:dPr>
                <m:begChr m:val="["/>
                <m:endChr m:val="]"/>
                <m:sepChr m:val=""/>
                <m:grow/>
              </m:dPr>
              <m:e>
                <m:r>
                  <m:t>k</m:t>
                </m:r>
              </m:e>
            </m:d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b>
              <m:sup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m</m:t>
                    </m:r>
                  </m:sub>
                </m:sSub>
              </m:e>
            </m:nary>
            <m:d>
              <m:dPr>
                <m:begChr m:val="["/>
                <m:endChr m:val="]"/>
                <m:sepChr m:val=""/>
                <m:grow/>
              </m:dPr>
              <m:e>
                <m:r>
                  <m:t>k</m:t>
                </m:r>
              </m:e>
            </m:d>
            <m:r>
              <m:rPr>
                <m:sty m:val="p"/>
              </m:rPr>
              <m:t>+</m:t>
            </m:r>
            <m:r>
              <m:t>ε</m:t>
            </m:r>
          </m:den>
        </m:f>
        <m:r>
          <m:rPr>
            <m:sty m:val="p"/>
          </m:rPr>
          <m:t>⋅</m:t>
        </m:r>
        <m:r>
          <m:t>Δ</m:t>
        </m:r>
        <m:r>
          <m:t>f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спектральный центроид опорного сигнала (Гц);</w:t>
      </w:r>
    </w:p>
    <w:p>
      <w:pPr>
        <w:numPr>
          <w:ilvl w:val="0"/>
          <w:numId w:val="1004"/>
        </w:numPr>
      </w:pPr>
      <m:oMath>
        <m:sSub>
          <m:e>
            <m:r>
              <m:t>C</m:t>
            </m:r>
          </m:e>
          <m:sub>
            <m:r>
              <m:t>y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b>
              <m:sup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r>
                  <m:t>k</m:t>
                </m:r>
              </m:e>
            </m:nary>
            <m:r>
              <m:rPr>
                <m:sty m:val="p"/>
              </m:rPr>
              <m:t>⋅</m:t>
            </m:r>
            <m:sSub>
              <m:e>
                <m:r>
                  <m:t>B</m:t>
                </m:r>
              </m:e>
              <m:sub>
                <m:r>
                  <m:t>m</m:t>
                </m:r>
              </m:sub>
            </m:sSub>
            <m:d>
              <m:dPr>
                <m:begChr m:val="["/>
                <m:endChr m:val="]"/>
                <m:sepChr m:val=""/>
                <m:grow/>
              </m:dPr>
              <m:e>
                <m:r>
                  <m:t>k</m:t>
                </m:r>
              </m:e>
            </m:d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b>
              <m:sup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nary>
            <m:d>
              <m:dPr>
                <m:begChr m:val="["/>
                <m:endChr m:val="]"/>
                <m:sepChr m:val=""/>
                <m:grow/>
              </m:dPr>
              <m:e>
                <m:r>
                  <m:t>k</m:t>
                </m:r>
              </m:e>
            </m:d>
            <m:r>
              <m:rPr>
                <m:sty m:val="p"/>
              </m:rPr>
              <m:t>+</m:t>
            </m:r>
            <m:r>
              <m:t>ε</m:t>
            </m:r>
          </m:den>
        </m:f>
        <m:r>
          <m:rPr>
            <m:sty m:val="p"/>
          </m:rPr>
          <m:t>⋅</m:t>
        </m:r>
        <m:r>
          <m:t>Δ</m:t>
        </m:r>
        <m:r>
          <m:t>f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спектральный центроид тестового сигнала (Гц);</w:t>
      </w:r>
    </w:p>
    <w:p>
      <w:pPr>
        <w:numPr>
          <w:ilvl w:val="0"/>
          <w:numId w:val="1004"/>
        </w:numPr>
      </w:pPr>
      <m:oMath>
        <m:r>
          <m:t>Δ</m:t>
        </m:r>
        <m:r>
          <m:t>f</m:t>
        </m:r>
        <m:r>
          <m:rPr>
            <m:sty m:val="p"/>
          </m:rPr>
          <m:t>=</m:t>
        </m:r>
        <m:r>
          <m:t>s</m:t>
        </m:r>
        <m:r>
          <m:t>r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частотное разрешение.</w:t>
      </w:r>
    </w:p>
    <w:bookmarkEnd w:id="25"/>
    <w:bookmarkStart w:id="26" w:name="Xa29fbabbdd67e387a67486b38addf52b4aeff47"/>
    <w:p>
      <w:pPr>
        <w:pStyle w:val="Heading1"/>
      </w:pPr>
      <w:r>
        <w:rPr>
          <w:rFonts w:ascii="Times New Roman" w:hAnsi="Times New Roman" w:cs="Times New Roman"/>
        </w:rPr>
        <w:t xml:space="preserve">Spectral Cosine Similarity (Косинусная мера сходства спектров)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Косинус угла между векторами амплитудных спектров. Значение 1</w:t>
      </w:r>
      <w:r>
        <w:rPr>
          <w:rFonts w:ascii="Times New Roman" w:hAnsi="Times New Roman" w:cs="Times New Roman"/>
        </w:rPr>
        <w:t xml:space="preserve">,</w:t>
      </w:r>
      <w:r>
        <w:rPr>
          <w:rFonts w:ascii="Times New Roman" w:hAnsi="Times New Roman" w:cs="Times New Roman"/>
        </w:rPr>
        <w:t xml:space="preserve">0 означает идентичную форму спектра, 0</w:t>
      </w:r>
      <w:r>
        <w:rPr>
          <w:rFonts w:ascii="Times New Roman" w:hAnsi="Times New Roman" w:cs="Times New Roman"/>
        </w:rPr>
        <w:t xml:space="preserve">,</w:t>
      </w:r>
      <w:r>
        <w:rPr>
          <w:rFonts w:ascii="Times New Roman" w:hAnsi="Times New Roman" w:cs="Times New Roman"/>
        </w:rPr>
        <w:t xml:space="preserve">0 — ортогональные (полностью различные) спектры. Не чувствительна к глобальным изменениям амплитуды.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s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nary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k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k</m:t>
                          </m:r>
                        </m:e>
                      </m:d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  <m:e>
                          <m:sSubSup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k</m:t>
                          </m:r>
                        </m:e>
                      </m:d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rFonts w:ascii="Times New Roman" w:hAnsi="Times New Roman" w:cs="Times New Roman"/>
          <w:b/>
          <w:bCs/>
        </w:rPr>
        <w:t xml:space="preserve">где:</w:t>
      </w:r>
      <w:r>
        <w:rPr>
          <w:rFonts w:ascii="Times New Roman" w:hAnsi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m</m:t>
                </m:r>
              </m:sub>
            </m:sSub>
            <m:d>
              <m:dPr>
                <m:begChr m:val="["/>
                <m:endChr m:val="]"/>
                <m:sepChr m:val=""/>
                <m:grow/>
              </m:dPr>
              <m:e>
                <m:r>
                  <m:t>k</m:t>
                </m:r>
              </m:e>
            </m:d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амплитудный спектр опорного сигнала;</w:t>
      </w:r>
      <w:r>
        <w:rPr>
          <w:rFonts w:ascii="Times New Roman" w:hAnsi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m</m:t>
                </m:r>
              </m:sub>
            </m:sSub>
            <m:d>
              <m:dPr>
                <m:begChr m:val="["/>
                <m:endChr m:val="]"/>
                <m:sepChr m:val=""/>
                <m:grow/>
              </m:dPr>
              <m:e>
                <m:r>
                  <m:t>k</m:t>
                </m:r>
              </m:e>
            </m:d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амплитудный спектр тестового сигнала;</w:t>
      </w:r>
      <w:r>
        <w:rPr>
          <w:rFonts w:ascii="Times New Roman" w:hAnsi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число частотных бинов;</w:t>
      </w:r>
      <w:r>
        <w:rPr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число окон.</w:t>
      </w:r>
    </w:p>
    <w:bookmarkEnd w:id="26"/>
    <w:bookmarkStart w:id="27" w:name="X47510040529dd7e9a9b2ae46fdc0553609035e3"/>
    <w:p>
      <w:pPr>
        <w:pStyle w:val="Heading1"/>
      </w:pPr>
      <w:r>
        <w:rPr>
          <w:rFonts w:ascii="Times New Roman" w:hAnsi="Times New Roman" w:cs="Times New Roman"/>
        </w:rPr>
        <w:t xml:space="preserve">STOI (Short-Time Objective Intelligibility Index)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Индекс разборчивости речи на основе кратковременных спектральных огибающих. Сравнивает огибающие опорного и тестового сигналов в октавных полосах частот. Является предиктором разборчивости речи (не общего качества).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O</m:t>
          </m:r>
          <m:r>
            <m:rPr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 w:cs="Times New Roman"/>
          <w:b/>
          <w:bCs/>
        </w:rPr>
        <w:t xml:space="preserve">где:</w:t>
      </w:r>
    </w:p>
    <w:p>
      <w:pPr>
        <w:numPr>
          <w:ilvl w:val="0"/>
          <w:numId w:val="1005"/>
        </w:numPr>
      </w:pPr>
      <m:oMath>
        <m:sSub>
          <m:e>
            <m:r>
              <m:t>f</m:t>
            </m:r>
          </m:e>
          <m:sub>
            <m:r>
              <m:t>c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150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b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центральная частота</w:t>
      </w:r>
      <w:r>
        <w:rPr>
          <w:rFonts w:ascii="Times New Roman" w:hAnsi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cs="Times New Roman"/>
        </w:rPr>
        <w:t xml:space="preserve">-й октавной полосы (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октавы),</w:t>
      </w:r>
      <w:r>
        <w:rPr>
          <w:rFonts w:ascii="Times New Roman" w:hAnsi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cs="Times New Roman"/>
        </w:rPr>
        <w:t xml:space="preserve">;</w:t>
      </w:r>
    </w:p>
    <w:p>
      <w:pPr>
        <w:numPr>
          <w:ilvl w:val="0"/>
          <w:numId w:val="1005"/>
        </w:numPr>
      </w:pPr>
      <m:oMath>
        <m:r>
          <m:t>B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число октавных полос (по умолчанию 8);</w:t>
      </w:r>
    </w:p>
    <w:p>
      <w:pPr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и</w:t>
      </w:r>
      <w:r>
        <w:rPr>
          <w:rFonts w:ascii="Times New Roman" w:hAnsi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огибающие опорного и тестового сигналов в полосе</w:t>
      </w:r>
      <w:r>
        <w:rPr>
          <w:rFonts w:ascii="Times New Roman" w:hAnsi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cs="Times New Roman"/>
        </w:rPr>
        <w:t xml:space="preserve">, окне</w:t>
      </w:r>
      <w:r>
        <w:rPr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cs="Times New Roman"/>
        </w:rPr>
        <w:t xml:space="preserve">;</w:t>
      </w:r>
    </w:p>
    <w:p>
      <w:pPr>
        <w:numPr>
          <w:ilvl w:val="0"/>
          <w:numId w:val="1005"/>
        </w:numPr>
      </w:pP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коэффициент корреляции Пирсона между огибающими в полосе</w:t>
      </w:r>
      <w:r>
        <w:rPr>
          <w:rFonts w:ascii="Times New Roman" w:hAnsi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v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r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rPr>
                              <m:sty m:val="p"/>
                            </m:rPr>
                            <m:t>f</m:t>
                          </m:r>
                        </m:sub>
                      </m:sSub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b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v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r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rPr>
                              <m:sty m:val="p"/>
                            </m:rPr>
                            <m:t>f</m:t>
                          </m:r>
                        </m:sub>
                      </m:sSub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t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v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t</m:t>
                      </m:r>
                    </m:sub>
                  </m:sSub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m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v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r</m:t>
                                  </m:r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rPr>
                                      <m:sty m:val="p"/>
                                    </m:rPr>
                                    <m:t>f</m:t>
                                  </m:r>
                                </m:sub>
                              </m:sSub>
                              <m:d>
                                <m:dPr>
                                  <m:begChr m:val="["/>
                                  <m:endChr m:val="]"/>
                                  <m:sepChr m:val=""/>
                                  <m:grow/>
                                </m:dPr>
                                <m:e>
                                  <m:r>
                                    <m:t>m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b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n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v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r</m:t>
                                  </m:r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rPr>
                                      <m:sty m:val="p"/>
                                    </m:rPr>
                                    <m:t>f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m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v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t</m:t>
                                  </m:r>
                                  <m:r>
                                    <m:rPr>
                                      <m:sty m:val="p"/>
                                    </m:rPr>
                                    <m:t>s</m:t>
                                  </m:r>
                                  <m:r>
                                    <m:rPr>
                                      <m:sty m:val="p"/>
                                    </m:rPr>
                                    <m:t>t</m:t>
                                  </m:r>
                                </m:sub>
                              </m:sSub>
                              <m:d>
                                <m:dPr>
                                  <m:begChr m:val="["/>
                                  <m:endChr m:val="]"/>
                                  <m:sepChr m:val=""/>
                                  <m:grow/>
                                </m:dPr>
                                <m:e>
                                  <m:r>
                                    <m:t>m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b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n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v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t</m:t>
                                  </m:r>
                                  <m:r>
                                    <m:rPr>
                                      <m:sty m:val="p"/>
                                    </m:rPr>
                                    <m:t>s</m:t>
                                  </m:r>
                                  <m:r>
                                    <m:rPr>
                                      <m:sty m:val="p"/>
                                    </m:rPr>
                                    <m:t>t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m:rPr>
                  <m:sty m:val="p"/>
                </m:rPr>
                <m:t>+</m:t>
              </m:r>
              <m:r>
                <m:t>ε</m:t>
              </m:r>
            </m:den>
          </m:f>
        </m:oMath>
      </m:oMathPara>
    </w:p>
    <w:p>
      <w:pPr>
        <w:numPr>
          <w:ilvl w:val="0"/>
          <w:numId w:val="1005"/>
        </w:numPr>
      </w:pPr>
      <w:r>
        <w:rPr>
          <w:rFonts w:ascii="Times New Roman" w:hAnsi="Times New Roman" w:cs="Times New Roman"/>
        </w:rPr>
        <w:t xml:space="preserve">значения:</w:t>
      </w:r>
      <w:r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75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хорошая разборчивость,</w:t>
      </w:r>
      <w:r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отличная.</w:t>
      </w:r>
    </w:p>
    <w:bookmarkEnd w:id="27"/>
    <w:bookmarkStart w:id="28" w:name="X79417745540c7d2259d2787decaadaa07a3a9c6"/>
    <w:p>
      <w:pPr>
        <w:pStyle w:val="Heading1"/>
      </w:pPr>
      <w:r>
        <w:rPr>
          <w:rFonts w:ascii="Times New Roman" w:hAnsi="Times New Roman" w:cs="Times New Roman"/>
        </w:rPr>
        <w:t xml:space="preserve">PESQ (Perceptual Evaluation of Speech Quality)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Приближённая оценка перцептивного качества речи по стандарту ITU-T P.862. Учитывает психоакустические особенности слуха через A-взвешивание частотных компонент. Является приближённой реализацией (полная требует библиотеки ITU-T).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D</m:t>
                  </m:r>
                </m:e>
              </m:d>
            </m:e>
          </m:d>
        </m:oMath>
      </m:oMathPara>
    </w:p>
    <w:p>
      <w:pPr>
        <w:pStyle w:val="FirstParagraph"/>
      </w:pPr>
      <w:r>
        <w:rPr>
          <w:rFonts w:ascii="Times New Roman" w:hAnsi="Times New Roman" w:cs="Times New Roman"/>
          <w:b/>
          <w:bCs/>
        </w:rPr>
        <w:t xml:space="preserve">где:</w:t>
      </w:r>
    </w:p>
    <w:p>
      <w:pPr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M</m:t>
                </m:r>
              </m:den>
            </m:f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b>
              <m:sup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</m:e>
            </m:nary>
          </m:e>
        </m:ra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среднеквадратичное искажение;</w:t>
      </w:r>
    </w:p>
    <w:p>
      <w:pPr>
        <w:numPr>
          <w:ilvl w:val="0"/>
          <w:numId w:val="1006"/>
        </w:numPr>
      </w:pPr>
      <m:oMath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  <m:sub>
                            <m:r>
                              <m:t>10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sepChr m:val="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d>
                                  <m:dPr>
                                    <m:begChr m:val="["/>
                                    <m:endChr m:val="]"/>
                                    <m:sepChr m:val=""/>
                                    <m:grow/>
                                  </m:dPr>
                                  <m:e>
                                    <m:r>
                                      <m:t>k</m:t>
                                    </m:r>
                                  </m:e>
                                </m:d>
                              </m:e>
                            </m:d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ε</m:t>
                            </m:r>
                          </m:num>
                          <m:den>
                            <m:d>
                              <m:dPr>
                                <m:begChr m:val="|"/>
                                <m:endChr m:val="|"/>
                                <m:sepChr m:val="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d>
                                  <m:dPr>
                                    <m:begChr m:val="["/>
                                    <m:endChr m:val="]"/>
                                    <m:sepChr m:val=""/>
                                    <m:grow/>
                                  </m:dPr>
                                  <m:e>
                                    <m:r>
                                      <m:t>k</m:t>
                                    </m:r>
                                  </m:e>
                                </m:d>
                              </m:e>
                            </m:d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ε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ε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W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взвешенная лог-разность в окне</w:t>
      </w:r>
      <w:r>
        <w:rPr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cs="Times New Roman"/>
        </w:rPr>
        <w:t xml:space="preserve">;</w:t>
      </w:r>
    </w:p>
    <w:p>
      <w:pPr>
        <w:numPr>
          <w:ilvl w:val="0"/>
          <w:numId w:val="1006"/>
        </w:numPr>
      </w:pPr>
      <m:oMath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частотная коррекция A-взвешивания (кривая слышимости человека).</w:t>
      </w:r>
    </w:p>
    <w:bookmarkEnd w:id="28"/>
    <w:bookmarkStart w:id="29" w:name="mos-mean-opinion-score"/>
    <w:p>
      <w:pPr>
        <w:pStyle w:val="Heading1"/>
      </w:pPr>
      <w:r>
        <w:rPr>
          <w:rFonts w:ascii="Times New Roman" w:hAnsi="Times New Roman" w:cs="Times New Roman"/>
        </w:rPr>
        <w:t xml:space="preserve">MOS (Mean Opinion Score)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Средняя оценочная оценка качества, полученная преобразованием PESQ по формуле ITU-T P.862.1. Шкала MOS соответствует субъективной оценке слушателей.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87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3669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  <m:r>
                                <m:rPr>
                                  <m:sty m:val="p"/>
                                </m:rPr>
                                <m:t>Q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7197</m:t>
                              </m:r>
                            </m:e>
                          </m:d>
                        </m:e>
                      </m:d>
                    </m:den>
                  </m:f>
                </m:e>
              </m:d>
            </m:e>
          </m:d>
        </m:oMath>
      </m:oMathPara>
    </w:p>
    <w:p>
      <w:pPr>
        <w:pStyle w:val="FirstParagraph"/>
      </w:pPr>
      <w:r>
        <w:rPr>
          <w:rFonts w:ascii="Times New Roman" w:hAnsi="Times New Roman" w:cs="Times New Roman"/>
          <w:b/>
          <w:bCs/>
        </w:rPr>
        <w:t xml:space="preserve">где:</w:t>
      </w:r>
      <w:r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Q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значение метрики PESQ;</w:t>
      </w:r>
      <w:r>
        <w:rPr>
          <w:rFonts w:ascii="Times New Roman" w:hAnsi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,</m:t>
        </m:r>
        <m:r>
          <m:t>3669</m:t>
        </m:r>
      </m:oMath>
      <w:r>
        <w:rPr>
          <w:rFonts w:ascii="Times New Roman" w:hAnsi="Times New Roman" w:cs="Times New Roman"/>
        </w:rPr>
        <w:t xml:space="preserve">,</w:t>
      </w:r>
      <w:r>
        <w:rPr>
          <w:rFonts w:ascii="Times New Roman" w:hAnsi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7197</m:t>
        </m:r>
      </m:oMath>
      <w:r>
        <w:rPr>
          <w:rFonts w:ascii="Times New Roman" w:hAnsi="Times New Roman" w:cs="Times New Roman"/>
        </w:rPr>
        <w:t xml:space="preserve">,</w:t>
      </w:r>
      <w:r>
        <w:rPr>
          <w:rFonts w:ascii="Times New Roman" w:hAnsi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,</m:t>
        </m:r>
        <m:r>
          <m:t>87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эмпирические константы стандарта ITU-T P.862.1; формула представляет собой логистическую кривую (сигмоиду).</w:t>
      </w:r>
    </w:p>
    <w:p>
      <w:pPr>
        <w:pStyle w:val="BodyText"/>
      </w:pPr>
      <w:r>
        <w:rPr>
          <w:rFonts w:ascii="Times New Roman" w:hAnsi="Times New Roman" w:cs="Times New Roman"/>
          <w:b/>
          <w:bCs/>
        </w:rPr>
        <w:t xml:space="preserve">Шкала оценки:</w:t>
      </w:r>
    </w:p>
    <w:p>
      <w:pPr>
        <w:numPr>
          <w:ilvl w:val="0"/>
          <w:numId w:val="1007"/>
        </w:numPr>
      </w:pPr>
      <w:r>
        <w:rPr>
          <w:rFonts w:ascii="Times New Roman" w:hAnsi="Times New Roman" w:cs="Times New Roman"/>
        </w:rPr>
        <w:t xml:space="preserve">5 — Отлично (неотличимо от оригинала);</w:t>
      </w:r>
    </w:p>
    <w:p>
      <w:pPr>
        <w:numPr>
          <w:ilvl w:val="0"/>
          <w:numId w:val="1007"/>
        </w:numPr>
      </w:pPr>
      <w:r>
        <w:rPr>
          <w:rFonts w:ascii="Times New Roman" w:hAnsi="Times New Roman" w:cs="Times New Roman"/>
        </w:rPr>
        <w:t xml:space="preserve">4 — Хорошо (заметные, но не мешающие искажения);</w:t>
      </w:r>
    </w:p>
    <w:p>
      <w:pPr>
        <w:numPr>
          <w:ilvl w:val="0"/>
          <w:numId w:val="1007"/>
        </w:numPr>
      </w:pPr>
      <w:r>
        <w:rPr>
          <w:rFonts w:ascii="Times New Roman" w:hAnsi="Times New Roman" w:cs="Times New Roman"/>
        </w:rPr>
        <w:t xml:space="preserve">3 — Удовлетворительно (заметные искажения);</w:t>
      </w:r>
    </w:p>
    <w:p>
      <w:pPr>
        <w:numPr>
          <w:ilvl w:val="0"/>
          <w:numId w:val="1007"/>
        </w:numPr>
      </w:pPr>
      <w:r>
        <w:rPr>
          <w:rFonts w:ascii="Times New Roman" w:hAnsi="Times New Roman" w:cs="Times New Roman"/>
        </w:rPr>
        <w:t xml:space="preserve">2 — Плохо (существенные искажения);</w:t>
      </w:r>
    </w:p>
    <w:p>
      <w:pPr>
        <w:numPr>
          <w:ilvl w:val="0"/>
          <w:numId w:val="1007"/>
        </w:numPr>
      </w:pPr>
      <w:r>
        <w:rPr>
          <w:rFonts w:ascii="Times New Roman" w:hAnsi="Times New Roman" w:cs="Times New Roman"/>
        </w:rPr>
        <w:t xml:space="preserve">1 — Неприемлемо.</w:t>
      </w:r>
    </w:p>
    <w:bookmarkEnd w:id="29"/>
    <w:bookmarkStart w:id="30" w:name="агрегированный-score-интегральная-оценка"/>
    <w:p>
      <w:pPr>
        <w:pStyle w:val="Heading1"/>
      </w:pPr>
      <w:r>
        <w:rPr>
          <w:rFonts w:ascii="Times New Roman" w:hAnsi="Times New Roman" w:cs="Times New Roman"/>
        </w:rPr>
        <w:t xml:space="preserve">Агрегированный Score (интегральная оценка)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Взвешенная сумма нормализованных метрик. Все метрики сначала приводятся к единой шкале</w:t>
      </w:r>
      <w:r>
        <w:rPr>
          <w:rFonts w:ascii="Times New Roman" w:hAnsi="Times New Roman" w:cs="Times New Roman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с помощью min-max нормализации, затем складываются с весами. Чем выше Score, тем лучше метод обработки.</w:t>
      </w:r>
    </w:p>
    <w:p>
      <w:pPr>
        <w:pStyle w:val="BodyText"/>
      </w:pPr>
      <w:r>
        <w:rPr>
          <w:rFonts w:ascii="Times New Roman" w:hAnsi="Times New Roman" w:cs="Times New Roman"/>
          <w:b/>
          <w:bCs/>
        </w:rPr>
        <w:t xml:space="preserve">Min-Max нормализация для метрик &lt;&lt;ниже — лучше&gt;&gt; (LSD, SC, RMSE,</w:t>
      </w:r>
      <w:r>
        <w:rPr>
          <w:rFonts w:ascii="Times New Roman" w:hAnsi="Times New Roman" w:cs="Times New Roman"/>
          <w:b/>
          <w:bCs/>
        </w:rPr>
        <w:t xml:space="preserve"> </w:t>
      </w:r>
      <m:oMath>
        <m:r>
          <m:t>Δ</m:t>
        </m:r>
        <m:r>
          <m:t>C</m:t>
        </m:r>
      </m:oMath>
      <w:r>
        <w:rPr>
          <w:rFonts w:ascii="Times New Roman" w:hAnsi="Times New Roman" w:cs="Times New Roman"/>
          <w:b/>
          <w:bCs/>
        </w:rPr>
        <w:t xml:space="preserve">, Time):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ε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cs="Times New Roman"/>
          <w:b/>
          <w:bCs/>
        </w:rPr>
        <w:t xml:space="preserve">Min-Max нормализация для метрик &lt;&lt;выше — лучше&gt;&gt; (SNR, SI-SDR, CosSim, STOI, PESQ, MOS):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ε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cs="Times New Roman"/>
          <w:b/>
          <w:bCs/>
        </w:rPr>
        <w:t xml:space="preserve">Итоговая формула интегральной оценки: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cs="Times New Roman"/>
          <w:b/>
          <w:bCs/>
        </w:rPr>
        <w:t xml:space="preserve">где:</w:t>
      </w:r>
      <w:r>
        <w:rPr>
          <w:rFonts w:ascii="Times New Roman" w:hAnsi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вес</w:t>
      </w:r>
      <w:r>
        <w:rPr>
          <w:rFonts w:ascii="Times New Roman" w:hAnsi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cs="Times New Roman"/>
        </w:rPr>
        <w:t xml:space="preserve">-й метрики;</w:t>
      </w:r>
      <w:r>
        <w:rPr>
          <w:rFonts w:ascii="Times New Roman" w:hAnsi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нормализованное значение</w:t>
      </w:r>
      <w:r>
        <w:rPr>
          <w:rFonts w:ascii="Times New Roman" w:hAnsi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cs="Times New Roman"/>
        </w:rPr>
        <w:t xml:space="preserve">-й метрики;</w:t>
      </w:r>
      <w:r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cs="Times New Roman"/>
        </w:rPr>
        <w:t xml:space="preserve">,</w:t>
      </w:r>
      <w:r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— минимальное и максимальное значения метрики среди всех сравниваемых методов.</w:t>
      </w:r>
    </w:p>
    <w:p>
      <w:pPr>
        <w:pStyle w:val="BodyText"/>
      </w:pPr>
      <w:r>
        <w:rPr>
          <w:rFonts w:ascii="Times New Roman" w:hAnsi="Times New Roman" w:cs="Times New Roman"/>
          <w:b/>
          <w:bCs/>
        </w:rPr>
        <w:t xml:space="preserve">Веса метрик: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Метрика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Тип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LSD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 xml:space="preserve">0</w:t>
            </w:r>
            <w:r>
              <w:rPr>
                <w:rFonts w:ascii="Times New Roman" w:hAnsi="Times New Roman" w:cs="Times New Roman"/>
                <w:sz w:val="24"/>
              </w:rPr>
              <w:t xml:space="preserve">,</w:t>
            </w:r>
            <w:r>
              <w:rPr>
                <w:rFonts w:ascii="Times New Roman" w:hAnsi="Times New Roman" w:cs="Times New Roman"/>
                <w:sz w:val="24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ниже лучше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SNR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 xml:space="preserve">0</w:t>
            </w:r>
            <w:r>
              <w:rPr>
                <w:rFonts w:ascii="Times New Roman" w:hAnsi="Times New Roman" w:cs="Times New Roman"/>
                <w:sz w:val="24"/>
              </w:rPr>
              <w:t xml:space="preserve">,</w:t>
            </w:r>
            <w:r>
              <w:rPr>
                <w:rFonts w:ascii="Times New Roman" w:hAnsi="Times New Roman" w:cs="Times New Roman"/>
                <w:sz w:val="24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выше лучше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 xml:space="preserve">0</w:t>
            </w:r>
            <w:r>
              <w:rPr>
                <w:rFonts w:ascii="Times New Roman" w:hAnsi="Times New Roman" w:cs="Times New Roman"/>
                <w:sz w:val="24"/>
              </w:rPr>
              <w:t xml:space="preserve">,</w:t>
            </w:r>
            <w:r>
              <w:rPr>
                <w:rFonts w:ascii="Times New Roman" w:hAnsi="Times New Roman" w:cs="Times New Roman"/>
                <w:sz w:val="24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ниже лучше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SI-SDR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 xml:space="preserve">0</w:t>
            </w:r>
            <w:r>
              <w:rPr>
                <w:rFonts w:ascii="Times New Roman" w:hAnsi="Times New Roman" w:cs="Times New Roman"/>
                <w:sz w:val="24"/>
              </w:rPr>
              <w:t xml:space="preserve">,</w:t>
            </w:r>
            <w:r>
              <w:rPr>
                <w:rFonts w:ascii="Times New Roman" w:hAnsi="Times New Roman" w:cs="Times New Roman"/>
                <w:sz w:val="24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выше лучше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Spectral Convergence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 xml:space="preserve">0</w:t>
            </w:r>
            <w:r>
              <w:rPr>
                <w:rFonts w:ascii="Times New Roman" w:hAnsi="Times New Roman" w:cs="Times New Roman"/>
                <w:sz w:val="24"/>
              </w:rPr>
              <w:t xml:space="preserve">,</w:t>
            </w:r>
            <w:r>
              <w:rPr>
                <w:rFonts w:ascii="Times New Roman" w:hAnsi="Times New Roman" w:cs="Times New Roman"/>
                <w:sz w:val="24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ниже лучше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Centroid Diff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 xml:space="preserve">0</w:t>
            </w:r>
            <w:r>
              <w:rPr>
                <w:rFonts w:ascii="Times New Roman" w:hAnsi="Times New Roman" w:cs="Times New Roman"/>
                <w:sz w:val="24"/>
              </w:rPr>
              <w:t xml:space="preserve">,</w:t>
            </w:r>
            <w:r>
              <w:rPr>
                <w:rFonts w:ascii="Times New Roman" w:hAnsi="Times New Roman" w:cs="Times New Roman"/>
                <w:sz w:val="24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ниже лучше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Cosine Similarity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 xml:space="preserve">0</w:t>
            </w:r>
            <w:r>
              <w:rPr>
                <w:rFonts w:ascii="Times New Roman" w:hAnsi="Times New Roman" w:cs="Times New Roman"/>
                <w:sz w:val="24"/>
              </w:rPr>
              <w:t xml:space="preserve">,</w:t>
            </w:r>
            <w:r>
              <w:rPr>
                <w:rFonts w:ascii="Times New Roman" w:hAnsi="Times New Roman" w:cs="Times New Roman"/>
                <w:sz w:val="24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выше лучше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Time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 xml:space="preserve">0</w:t>
            </w:r>
            <w:r>
              <w:rPr>
                <w:rFonts w:ascii="Times New Roman" w:hAnsi="Times New Roman" w:cs="Times New Roman"/>
                <w:sz w:val="24"/>
              </w:rPr>
              <w:t xml:space="preserve">,</w:t>
            </w:r>
            <w:r>
              <w:rPr>
                <w:rFonts w:ascii="Times New Roman" w:hAnsi="Times New Roman" w:cs="Times New Roman"/>
                <w:sz w:val="24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ниже лучше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STOI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 xml:space="preserve">0</w:t>
            </w:r>
            <w:r>
              <w:rPr>
                <w:rFonts w:ascii="Times New Roman" w:hAnsi="Times New Roman" w:cs="Times New Roman"/>
                <w:sz w:val="24"/>
              </w:rPr>
              <w:t xml:space="preserve">,</w:t>
            </w:r>
            <w:r>
              <w:rPr>
                <w:rFonts w:ascii="Times New Roman" w:hAnsi="Times New Roman" w:cs="Times New Roman"/>
                <w:sz w:val="24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выше лучше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PESQ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 xml:space="preserve">0</w:t>
            </w:r>
            <w:r>
              <w:rPr>
                <w:rFonts w:ascii="Times New Roman" w:hAnsi="Times New Roman" w:cs="Times New Roman"/>
                <w:sz w:val="24"/>
              </w:rPr>
              <w:t xml:space="preserve">,</w:t>
            </w:r>
            <w:r>
              <w:rPr>
                <w:rFonts w:ascii="Times New Roman" w:hAnsi="Times New Roman" w:cs="Times New Roman"/>
                <w:sz w:val="24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выше лучше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MOS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 xml:space="preserve">0</w:t>
            </w:r>
            <w:r>
              <w:rPr>
                <w:rFonts w:ascii="Times New Roman" w:hAnsi="Times New Roman" w:cs="Times New Roman"/>
                <w:sz w:val="24"/>
              </w:rPr>
              <w:t xml:space="preserve">,</w:t>
            </w:r>
            <w:r>
              <w:rPr>
                <w:rFonts w:ascii="Times New Roman" w:hAnsi="Times New Roman" w:cs="Times New Roman"/>
                <w:sz w:val="24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sz w:val="24"/>
              </w:rPr>
              <w:t xml:space="preserve">выше лучше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Итого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1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,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 xml:space="preserve">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sectPr>
      <w:pgMar w:top="1134" w:bottom="1134" w:left="1417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</w:pPr>
    <w:rPr>
      <w:rFonts w:ascii="Times New Roman" w:hAnsi="Times New Roman" w:cs="Times New Roman"/>
      <w:sz w:val="28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</w:pPr>
    <w:rPr>
      <w:rFonts w:ascii="Times New Roman" w:hAnsi="Times New Roman" w:cs="Times New Roman"/>
      <w:sz w:val="28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/>
      <w:sz w:val="28"/>
    </w:rPr>
  </w:style>
  <w:style w:customStyle="1" w:styleId="Compact" w:type="paragraph">
    <w:name w:val="Compact"/>
    <w:basedOn w:val="BodyText"/>
    <w:qFormat/>
    <w:pPr>
      <w:spacing w:after="40" w:before="36"/>
    </w:pPr>
    <w:rPr>
      <w:rFonts w:ascii="Times New Roman" w:hAnsi="Times New Roman" w:cs="Times New Roman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 w:cs="Times New Roman"/>
      <w:b/>
      <w:bCs/>
      <w:color w:themeColor="accent1" w:themeShade="B5" w:val="345A8A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/>
      <w:sz w:val="28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/>
      <w:sz w:val="2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cs="Times New Roman"/>
      <w:b/>
      <w:color w:val="345A8A"/>
      <w:sz w:val="28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/>
      <w:sz w:val="28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/>
      <w:sz w:val="2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480"/>
      <w:outlineLvl w:val="0"/>
    </w:pPr>
    <w:rPr>
      <w:rFonts w:asciiTheme="majorHAnsi" w:cstheme="majorBidi" w:eastAsiaTheme="majorEastAsia" w:hAnsiTheme="majorHAnsi" w:ascii="Times New Roman" w:hAnsi="Times New Roman" w:cs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 w:cs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 w:cs="Times New Roman"/>
      <w:b/>
      <w:bCs/>
      <w:color w:themeColor="accent1" w:val="4F81BD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 w:cs="Times New Roman"/>
      <w:bCs/>
      <w:i/>
      <w:color w:themeColor="accent1" w:val="4F81BD"/>
      <w:sz w:val="28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 w:cs="Times New Roman"/>
      <w:iCs/>
      <w:color w:themeColor="accent1" w:val="4F81BD"/>
      <w:sz w:val="28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 w:cs="Times New Roman"/>
      <w:color w:themeColor="accent1" w:val="4F81BD"/>
      <w:sz w:val="28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 w:cs="Times New Roman"/>
      <w:color w:themeColor="accent1" w:val="4F81BD"/>
      <w:sz w:val="28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 w:cs="Times New Roman"/>
      <w:color w:themeColor="accent1" w:val="4F81BD"/>
      <w:sz w:val="28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 w:cs="Times New Roman"/>
      <w:color w:themeColor="accent1" w:val="4F81BD"/>
      <w:sz w:val="28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/>
      <w:sz w:val="28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/>
      <w:sz w:val="28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/>
      <w:sz w:val="28"/>
    </w:rPr>
  </w:style>
  <w:style w:default="1" w:styleId="DefaultParagraphFont" w:type="character">
    <w:name w:val="Default Paragraph Font"/>
    <w:semiHidden/>
    <w:unhideWhenUsed/>
    <w:rPr>
      <w:rFonts w:ascii="Times New Roman" w:hAnsi="Times New Roman" w:cs="Times New Roman"/>
      <w:sz w:val="28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cs="Times New Roman"/>
      <w:sz w:val="2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/>
      <w:b/>
      <w:sz w:val="28"/>
    </w:rPr>
  </w:style>
  <w:style w:customStyle="1" w:styleId="Definition" w:type="paragraph">
    <w:name w:val="Definition"/>
    <w:basedOn w:val="Normal"/>
    <w:rPr>
      <w:rFonts w:ascii="Times New Roman" w:hAnsi="Times New Roman" w:cs="Times New Roman"/>
      <w:sz w:val="28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/>
      <w:i/>
      <w:sz w:val="28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/>
      <w:sz w:val="28"/>
    </w:rPr>
  </w:style>
  <w:style w:customStyle="1" w:styleId="ImageCaption" w:type="paragraph">
    <w:name w:val="Image Caption"/>
    <w:basedOn w:val="Caption"/>
    <w:rPr>
      <w:rFonts w:ascii="Times New Roman" w:hAnsi="Times New Roman" w:cs="Times New Roman"/>
      <w:sz w:val="28"/>
    </w:rPr>
  </w:style>
  <w:style w:customStyle="1" w:styleId="Figure" w:type="paragraph">
    <w:name w:val="Figure"/>
    <w:basedOn w:val="Normal"/>
    <w:rPr>
      <w:rFonts w:ascii="Times New Roman" w:hAnsi="Times New Roman" w:cs="Times New Roman"/>
      <w:sz w:val="28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/>
      <w:sz w:val="28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cs="Times New Roman"/>
      <w:sz w:val="28"/>
    </w:rPr>
  </w:style>
  <w:style w:customStyle="1" w:styleId="VerbatimChar" w:type="character">
    <w:name w:val="Verbatim Char"/>
    <w:basedOn w:val="BodyTextChar"/>
    <w:rPr>
      <w:rFonts w:ascii="Times New Roman" w:hAnsi="Times New Roman" w:cs="Times New Roman"/>
      <w:sz w:val="28"/>
    </w:rPr>
  </w:style>
  <w:style w:customStyle="1" w:styleId="SectionNumber" w:type="character">
    <w:name w:val="Section Number"/>
    <w:basedOn w:val="BodyTextChar"/>
    <w:rPr>
      <w:rFonts w:ascii="Times New Roman" w:hAnsi="Times New Roman" w:cs="Times New Roman"/>
      <w:sz w:val="28"/>
    </w:rPr>
  </w:style>
  <w:style w:styleId="FootnoteReference" w:type="character">
    <w:name w:val="Footnote Reference"/>
    <w:basedOn w:val="BodyTextChar"/>
    <w:rPr>
      <w:rFonts w:ascii="Times New Roman" w:hAnsi="Times New Roman" w:cs="Times New Roman"/>
      <w:sz w:val="28"/>
      <w:vertAlign w:val="superscript"/>
    </w:rPr>
  </w:style>
  <w:style w:styleId="Hyperlink" w:type="character">
    <w:name w:val="Hyperlink"/>
    <w:basedOn w:val="BodyTextChar"/>
    <w:rPr>
      <w:rFonts w:ascii="Times New Roman" w:hAnsi="Times New Roman" w:cs="Times New Roman"/>
      <w:color w:themeColor="accent1" w:val="4F81BD"/>
      <w:sz w:val="2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cs="Times New Roman"/>
      <w:b w:val="0"/>
      <w:bCs w:val="0"/>
      <w:color w:themeColor="accent1" w:themeShade="BF" w:val="365F91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/>
      <w:sz w:val="28"/>
    </w:rPr>
  </w:style>
  <w:style w:type="character" w:customStyle="1" w:styleId="KeywordTok">
    <w:name w:val="KeywordTok"/>
    <w:basedOn w:val="VerbatimChar"/>
    <w:rPr>
      <w:rFonts w:ascii="Times New Roman" w:hAnsi="Times New Roman" w:cs="Times New Roman"/>
      <w:b/>
      <w:color w:val="007020"/>
      <w:sz w:val="28"/>
    </w:rPr>
  </w:style>
  <w:style w:type="character" w:customStyle="1" w:styleId="DataTypeTok">
    <w:name w:val="DataTypeTok"/>
    <w:basedOn w:val="VerbatimChar"/>
    <w:rPr>
      <w:rFonts w:ascii="Times New Roman" w:hAnsi="Times New Roman" w:cs="Times New Roman"/>
      <w:color w:val="902000"/>
      <w:sz w:val="28"/>
    </w:rPr>
  </w:style>
  <w:style w:type="character" w:customStyle="1" w:styleId="DecValTok">
    <w:name w:val="DecValTok"/>
    <w:basedOn w:val="VerbatimChar"/>
    <w:rPr>
      <w:rFonts w:ascii="Times New Roman" w:hAnsi="Times New Roman" w:cs="Times New Roman"/>
      <w:color w:val="40a070"/>
      <w:sz w:val="28"/>
    </w:rPr>
  </w:style>
  <w:style w:type="character" w:customStyle="1" w:styleId="BaseNTok">
    <w:name w:val="BaseNTok"/>
    <w:basedOn w:val="VerbatimChar"/>
    <w:rPr>
      <w:rFonts w:ascii="Times New Roman" w:hAnsi="Times New Roman" w:cs="Times New Roman"/>
      <w:color w:val="40a070"/>
      <w:sz w:val="28"/>
    </w:rPr>
  </w:style>
  <w:style w:type="character" w:customStyle="1" w:styleId="FloatTok">
    <w:name w:val="FloatTok"/>
    <w:basedOn w:val="VerbatimChar"/>
    <w:rPr>
      <w:rFonts w:ascii="Times New Roman" w:hAnsi="Times New Roman" w:cs="Times New Roman"/>
      <w:color w:val="40a070"/>
      <w:sz w:val="28"/>
    </w:rPr>
  </w:style>
  <w:style w:type="character" w:customStyle="1" w:styleId="ConstantTok">
    <w:name w:val="ConstantTok"/>
    <w:basedOn w:val="VerbatimChar"/>
    <w:rPr>
      <w:rFonts w:ascii="Times New Roman" w:hAnsi="Times New Roman" w:cs="Times New Roman"/>
      <w:color w:val="880000"/>
      <w:sz w:val="28"/>
    </w:rPr>
  </w:style>
  <w:style w:type="character" w:customStyle="1" w:styleId="CharTok">
    <w:name w:val="CharTok"/>
    <w:basedOn w:val="VerbatimChar"/>
    <w:rPr>
      <w:rFonts w:ascii="Times New Roman" w:hAnsi="Times New Roman" w:cs="Times New Roman"/>
      <w:color w:val="4070a0"/>
      <w:sz w:val="28"/>
    </w:rPr>
  </w:style>
  <w:style w:type="character" w:customStyle="1" w:styleId="SpecialCharTok">
    <w:name w:val="SpecialCharTok"/>
    <w:basedOn w:val="VerbatimChar"/>
    <w:rPr>
      <w:rFonts w:ascii="Times New Roman" w:hAnsi="Times New Roman" w:cs="Times New Roman"/>
      <w:color w:val="4070a0"/>
      <w:sz w:val="28"/>
    </w:rPr>
  </w:style>
  <w:style w:type="character" w:customStyle="1" w:styleId="StringTok">
    <w:name w:val="StringTok"/>
    <w:basedOn w:val="VerbatimChar"/>
    <w:rPr>
      <w:rFonts w:ascii="Times New Roman" w:hAnsi="Times New Roman" w:cs="Times New Roman"/>
      <w:color w:val="4070a0"/>
      <w:sz w:val="28"/>
    </w:rPr>
  </w:style>
  <w:style w:type="character" w:customStyle="1" w:styleId="VerbatimStringTok">
    <w:name w:val="VerbatimStringTok"/>
    <w:basedOn w:val="VerbatimChar"/>
    <w:rPr>
      <w:rFonts w:ascii="Times New Roman" w:hAnsi="Times New Roman" w:cs="Times New Roman"/>
      <w:color w:val="4070a0"/>
      <w:sz w:val="28"/>
    </w:rPr>
  </w:style>
  <w:style w:type="character" w:customStyle="1" w:styleId="SpecialStringTok">
    <w:name w:val="SpecialStringTok"/>
    <w:basedOn w:val="VerbatimChar"/>
    <w:rPr>
      <w:rFonts w:ascii="Times New Roman" w:hAnsi="Times New Roman" w:cs="Times New Roman"/>
      <w:color w:val="bb6688"/>
      <w:sz w:val="28"/>
    </w:rPr>
  </w:style>
  <w:style w:type="character" w:customStyle="1" w:styleId="ImportTok">
    <w:name w:val="ImportTok"/>
    <w:basedOn w:val="VerbatimChar"/>
    <w:rPr>
      <w:rFonts w:ascii="Times New Roman" w:hAnsi="Times New Roman" w:cs="Times New Roman"/>
      <w:b/>
      <w:color w:val="008000"/>
      <w:sz w:val="28"/>
    </w:rPr>
  </w:style>
  <w:style w:type="character" w:customStyle="1" w:styleId="CommentTok">
    <w:name w:val="CommentTok"/>
    <w:basedOn w:val="VerbatimChar"/>
    <w:rPr>
      <w:rFonts w:ascii="Times New Roman" w:hAnsi="Times New Roman" w:cs="Times New Roman"/>
      <w:i/>
      <w:color w:val="60a0b0"/>
      <w:sz w:val="28"/>
    </w:rPr>
  </w:style>
  <w:style w:type="character" w:customStyle="1" w:styleId="DocumentationTok">
    <w:name w:val="DocumentationTok"/>
    <w:basedOn w:val="VerbatimChar"/>
    <w:rPr>
      <w:rFonts w:ascii="Times New Roman" w:hAnsi="Times New Roman" w:cs="Times New Roman"/>
      <w:i/>
      <w:color w:val="ba2121"/>
      <w:sz w:val="28"/>
    </w:rPr>
  </w:style>
  <w:style w:type="character" w:customStyle="1" w:styleId="AnnotationTok">
    <w:name w:val="AnnotationTok"/>
    <w:basedOn w:val="VerbatimChar"/>
    <w:rPr>
      <w:rFonts w:ascii="Times New Roman" w:hAnsi="Times New Roman" w:cs="Times New Roman"/>
      <w:b/>
      <w:i/>
      <w:color w:val="60a0b0"/>
      <w:sz w:val="28"/>
    </w:rPr>
  </w:style>
  <w:style w:type="character" w:customStyle="1" w:styleId="CommentVarTok">
    <w:name w:val="CommentVarTok"/>
    <w:basedOn w:val="VerbatimChar"/>
    <w:rPr>
      <w:rFonts w:ascii="Times New Roman" w:hAnsi="Times New Roman" w:cs="Times New Roman"/>
      <w:b/>
      <w:i/>
      <w:color w:val="60a0b0"/>
      <w:sz w:val="28"/>
    </w:rPr>
  </w:style>
  <w:style w:type="character" w:customStyle="1" w:styleId="OtherTok">
    <w:name w:val="OtherTok"/>
    <w:basedOn w:val="VerbatimChar"/>
    <w:rPr>
      <w:rFonts w:ascii="Times New Roman" w:hAnsi="Times New Roman" w:cs="Times New Roman"/>
      <w:color w:val="007020"/>
      <w:sz w:val="28"/>
    </w:rPr>
  </w:style>
  <w:style w:type="character" w:customStyle="1" w:styleId="FunctionTok">
    <w:name w:val="FunctionTok"/>
    <w:basedOn w:val="VerbatimChar"/>
    <w:rPr>
      <w:rFonts w:ascii="Times New Roman" w:hAnsi="Times New Roman" w:cs="Times New Roman"/>
      <w:color w:val="06287e"/>
      <w:sz w:val="28"/>
    </w:rPr>
  </w:style>
  <w:style w:type="character" w:customStyle="1" w:styleId="VariableTok">
    <w:name w:val="VariableTok"/>
    <w:basedOn w:val="VerbatimChar"/>
    <w:rPr>
      <w:rFonts w:ascii="Times New Roman" w:hAnsi="Times New Roman" w:cs="Times New Roman"/>
      <w:color w:val="19177c"/>
      <w:sz w:val="28"/>
    </w:rPr>
  </w:style>
  <w:style w:type="character" w:customStyle="1" w:styleId="ControlFlowTok">
    <w:name w:val="ControlFlowTok"/>
    <w:basedOn w:val="VerbatimChar"/>
    <w:rPr>
      <w:rFonts w:ascii="Times New Roman" w:hAnsi="Times New Roman" w:cs="Times New Roman"/>
      <w:b/>
      <w:color w:val="007020"/>
      <w:sz w:val="28"/>
    </w:rPr>
  </w:style>
  <w:style w:type="character" w:customStyle="1" w:styleId="OperatorTok">
    <w:name w:val="OperatorTok"/>
    <w:basedOn w:val="VerbatimChar"/>
    <w:rPr>
      <w:rFonts w:ascii="Times New Roman" w:hAnsi="Times New Roman" w:cs="Times New Roman"/>
      <w:color w:val="666666"/>
      <w:sz w:val="28"/>
    </w:rPr>
  </w:style>
  <w:style w:type="character" w:customStyle="1" w:styleId="BuiltInTok">
    <w:name w:val="BuiltInTok"/>
    <w:basedOn w:val="VerbatimChar"/>
    <w:rPr>
      <w:rFonts w:ascii="Times New Roman" w:hAnsi="Times New Roman" w:cs="Times New Roman"/>
      <w:color w:val="008000"/>
      <w:sz w:val="28"/>
    </w:rPr>
  </w:style>
  <w:style w:type="character" w:customStyle="1" w:styleId="ExtensionTok">
    <w:name w:val="ExtensionTok"/>
    <w:basedOn w:val="VerbatimChar"/>
    <w:rPr>
      <w:rFonts w:ascii="Times New Roman" w:hAnsi="Times New Roman" w:cs="Times New Roman"/>
      <w:sz w:val="28"/>
    </w:rPr>
  </w:style>
  <w:style w:type="character" w:customStyle="1" w:styleId="PreprocessorTok">
    <w:name w:val="PreprocessorTok"/>
    <w:basedOn w:val="VerbatimChar"/>
    <w:rPr>
      <w:rFonts w:ascii="Times New Roman" w:hAnsi="Times New Roman" w:cs="Times New Roman"/>
      <w:color w:val="bc7a00"/>
      <w:sz w:val="28"/>
    </w:rPr>
  </w:style>
  <w:style w:type="character" w:customStyle="1" w:styleId="AttributeTok">
    <w:name w:val="AttributeTok"/>
    <w:basedOn w:val="VerbatimChar"/>
    <w:rPr>
      <w:rFonts w:ascii="Times New Roman" w:hAnsi="Times New Roman" w:cs="Times New Roman"/>
      <w:color w:val="7d9029"/>
      <w:sz w:val="28"/>
    </w:rPr>
  </w:style>
  <w:style w:type="character" w:customStyle="1" w:styleId="RegionMarkerTok">
    <w:name w:val="RegionMarkerTok"/>
    <w:basedOn w:val="VerbatimChar"/>
    <w:rPr>
      <w:rFonts w:ascii="Times New Roman" w:hAnsi="Times New Roman" w:cs="Times New Roman"/>
      <w:sz w:val="28"/>
    </w:rPr>
  </w:style>
  <w:style w:type="character" w:customStyle="1" w:styleId="InformationTok">
    <w:name w:val="InformationTok"/>
    <w:basedOn w:val="VerbatimChar"/>
    <w:rPr>
      <w:rFonts w:ascii="Times New Roman" w:hAnsi="Times New Roman" w:cs="Times New Roman"/>
      <w:b/>
      <w:i/>
      <w:color w:val="60a0b0"/>
      <w:sz w:val="28"/>
    </w:rPr>
  </w:style>
  <w:style w:type="character" w:customStyle="1" w:styleId="WarningTok">
    <w:name w:val="WarningTok"/>
    <w:basedOn w:val="VerbatimChar"/>
    <w:rPr>
      <w:rFonts w:ascii="Times New Roman" w:hAnsi="Times New Roman" w:cs="Times New Roman"/>
      <w:b/>
      <w:i/>
      <w:color w:val="60a0b0"/>
      <w:sz w:val="28"/>
    </w:rPr>
  </w:style>
  <w:style w:type="character" w:customStyle="1" w:styleId="AlertTok">
    <w:name w:val="AlertTok"/>
    <w:basedOn w:val="VerbatimChar"/>
    <w:rPr>
      <w:rFonts w:ascii="Times New Roman" w:hAnsi="Times New Roman" w:cs="Times New Roman"/>
      <w:b/>
      <w:color w:val="ff0000"/>
      <w:sz w:val="28"/>
    </w:rPr>
  </w:style>
  <w:style w:type="character" w:customStyle="1" w:styleId="ErrorTok">
    <w:name w:val="ErrorTok"/>
    <w:basedOn w:val="VerbatimChar"/>
    <w:rPr>
      <w:rFonts w:ascii="Times New Roman" w:hAnsi="Times New Roman" w:cs="Times New Roman"/>
      <w:b/>
      <w:color w:val="ff0000"/>
      <w:sz w:val="28"/>
    </w:rPr>
  </w:style>
  <w:style w:type="character" w:customStyle="1" w:styleId="NormalTok">
    <w:name w:val="NormalTok"/>
    <w:basedOn w:val="VerbatimChar"/>
    <w:rPr>
      <w:rFonts w:ascii="Times New Roman" w:hAnsi="Times New Roman" w:cs="Times New Roman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2026-04-24T13:23:58Z</dcterms:created>
  <dcterms:modified xsi:type="dcterms:W3CDTF">2026-04-24T13:23:58Z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