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Формулы расчёта метрик качества аудио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Ниже представлены математические формулы, реализованные в программном комплексе AudioAnalyzer. Все формулы соответствуют фактическому исходному коду приложения (модуль metrics.py, transforms/).</w:t>
      </w:r>
    </w:p>
    <w:p>
      <w:pPr>
        <w:pStyle w:val="Heading1"/>
      </w:pPr>
      <w:r>
        <w:rPr>
          <w:rFonts w:ascii="Times New Roman" w:hAnsi="Times New Roman"/>
          <w:sz w:val="28"/>
        </w:rPr>
        <w:t>1. Метрики временной области</w:t>
      </w:r>
    </w:p>
    <w:p>
      <w:pPr>
        <w:pStyle w:val="Heading2"/>
      </w:pPr>
      <w:r>
        <w:rPr>
          <w:rFonts w:ascii="Times New Roman" w:hAnsi="Times New Roman"/>
          <w:sz w:val="24"/>
        </w:rPr>
        <w:t>1.1. Отношение сигнал/шум (SNR, дБ)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SNR (Signal-to-Noise Ratio) измеряет отношение мощности полезного сигнала к мощности шума. Вычисляется между опорным (reference) и тестовым (test) сигналами, усечёнными до общей длины N. Шум определяется как разность между опорным и тестовым сигналами: noise = ref − test. Выше значение SNR означает лучшее качество обработки.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Мощность сигнала и шума рассчитываются как среднее квадратов: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001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ps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0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(1.1)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195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pnoi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95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(1.2)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Итоговое значение SNR в децибелах: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84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8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(1.3)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Значение «выше — лучше». Добавлена защита от деления на ноль: P + 10⁻¹².</w:t>
      </w:r>
    </w:p>
    <w:p>
      <w:pPr>
        <w:pStyle w:val="Heading2"/>
      </w:pPr>
      <w:r>
        <w:rPr>
          <w:rFonts w:ascii="Times New Roman" w:hAnsi="Times New Roman"/>
          <w:sz w:val="24"/>
        </w:rPr>
        <w:t>1.2. Среднеквадратическая ошибка (RMSE)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RMSE (Root Mean Square Error) измеряет среднее отклонение тестового сигнала от опорного во временной области. Низкие значения RMSE указывают на высокое сходство сигналов. Сигналы усекаются до общей длины N перед расчётом.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1288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2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(1.4)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Значение «ниже — лучше».</w:t>
      </w:r>
    </w:p>
    <w:p>
      <w:pPr>
        <w:pStyle w:val="Heading2"/>
      </w:pPr>
      <w:r>
        <w:rPr>
          <w:rFonts w:ascii="Times New Roman" w:hAnsi="Times New Roman"/>
          <w:sz w:val="24"/>
        </w:rPr>
        <w:t>1.3. Масштабно-инвариантное отношение сигнал/искажение (SI-SDR, дБ)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SI-SDR (Scale-Invariant Signal-to-Distortion Ratio) инвариантен к масштабу сигнала и оценивает качество реконструкции. Сначала вычисляется оптимальный масштаб α как проекция тестового сигнала на опорный, затем определяется целевой компонент и ошибка.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Коэффициент масштаба (проекция):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930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dr_alp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3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(1.5)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Целевой (оценка) и шумовой компоненты: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6636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dr_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(1.6)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Значение SI-SDR: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5542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sd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5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(1.7)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Значение «выше — лучше».</w:t>
      </w:r>
    </w:p>
    <w:p>
      <w:pPr>
        <w:pStyle w:val="Heading1"/>
      </w:pPr>
      <w:r>
        <w:rPr>
          <w:rFonts w:ascii="Times New Roman" w:hAnsi="Times New Roman"/>
          <w:sz w:val="28"/>
        </w:rPr>
        <w:t>2. Метрики спектральной области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Все спектральные метрики используют кратковременное оконное преобразование Фурье (STFT) с окном Ханна (Hann) размера N = 1024 и шагом H = 512. Перед расчётом тестовый сигнал приводится к частоте дискретизации опорного методом линейной интерполяции. Для каждой метрики результаты по окнам усредняются.</w:t>
      </w:r>
    </w:p>
    <w:p>
      <w:pPr>
        <w:pStyle w:val="Heading2"/>
      </w:pPr>
      <w:r>
        <w:rPr>
          <w:rFonts w:ascii="Times New Roman" w:hAnsi="Times New Roman"/>
          <w:sz w:val="24"/>
        </w:rPr>
        <w:t>2.1. Логарифмическое спектральное расстояние (LSD, дБ)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LSD (Log-Spectral Distance) измеряет различие между амплитудными спектрами опорного и тестового сигналов в логарифмическом масштабе. Для каждого окна применяется окно Ханна, вычисляется rFFT, затем лог-амплитуда спектра.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Лог-амплитуда спектра для каждого окна: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d_loga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(2.1)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Спектральное расстояние для одного окна: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315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d_fr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1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(2.2)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Среднее LSD по всем окнам: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0881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8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(2.3)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Значение «ниже — лучше». Параметры: N = 1024, H = 512.</w:t>
      </w:r>
    </w:p>
    <w:p>
      <w:pPr>
        <w:pStyle w:val="Heading2"/>
      </w:pPr>
      <w:r>
        <w:rPr>
          <w:rFonts w:ascii="Times New Roman" w:hAnsi="Times New Roman"/>
          <w:sz w:val="24"/>
        </w:rPr>
        <w:t>2.2. Спектральная сходимость (Spectral Convergence)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Spectral Convergence измеряет нормализованное различие амплитудных спектров. Используется L2-норма (евклидова норма).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2881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conv_fra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(2.4)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0473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con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4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(2.5)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Значение «ниже — лучше».</w:t>
      </w:r>
    </w:p>
    <w:p>
      <w:pPr>
        <w:pStyle w:val="Heading2"/>
      </w:pPr>
      <w:r>
        <w:rPr>
          <w:rFonts w:ascii="Times New Roman" w:hAnsi="Times New Roman"/>
          <w:sz w:val="24"/>
        </w:rPr>
        <w:t>2.3. Разность спектральных центроидов (Spectral Centroid Δ, Гц)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Спектральный центроид — «центр тяжести» спектра, отражающий «яркость» звука. Измеряется в герцах. Низкий центроид (~500-2000 Гц) соответствует басовым звукам, высокий (~5000-15000 Гц) — ярким, шипящим звукам. df = sr / N — разрешение по частоте.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777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oid_fra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(2.6)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1872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oid_dif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(2.7)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Значение «ниже — лучше».</w:t>
      </w:r>
    </w:p>
    <w:p>
      <w:pPr>
        <w:pStyle w:val="Heading2"/>
      </w:pPr>
      <w:r>
        <w:rPr>
          <w:rFonts w:ascii="Times New Roman" w:hAnsi="Times New Roman"/>
          <w:sz w:val="24"/>
        </w:rPr>
        <w:t>2.4. Косинусная близость спектров (Cosine Similarity)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Косинусная близость измеряет сходство формы спектров независимо от их амплитуды. Значение в диапазоне [0, 1], где 1 означает полное совпадение.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3650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ine_fra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6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(2.8)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131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1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(2.9)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Значение «выше — лучше», диапазон [0, 1].</w:t>
      </w:r>
    </w:p>
    <w:p>
      <w:pPr>
        <w:pStyle w:val="Heading1"/>
      </w:pPr>
      <w:r>
        <w:rPr>
          <w:rFonts w:ascii="Times New Roman" w:hAnsi="Times New Roman"/>
          <w:sz w:val="28"/>
        </w:rPr>
        <w:t>3. Индекс разборчивости речи (STOI)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STOI (Short-Time Objective Intelligibility Index) измеряет разборчивость речи путём сравнения кратковременных спектральных огибающих опорного и тестового сигналов. Диапазон значений: 0.0 (полностью неразборчиво) до 1.0 (идеальное совпадение). Используется 15 октавных полос с центральными частотами от 150 Гц, ширина полосы 1/3 октавы.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Центральные частоты октавных полос: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5085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i_band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(3.1)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Огибающая в полосе для каждого фрейма (RMS энергии):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1946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i_envelop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9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(3.2)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Корреляция Пирсона огибающих в каждой полосе: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0984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i_cor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(3.3)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Итоговое значение STOI: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1780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7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(3.4)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Преобразование из [-1, 1] в [0, 1] через линейное отображение. Значение «выше — лучше».</w:t>
      </w:r>
    </w:p>
    <w:p>
      <w:pPr>
        <w:pStyle w:val="Heading1"/>
      </w:pPr>
      <w:r>
        <w:rPr>
          <w:rFonts w:ascii="Times New Roman" w:hAnsi="Times New Roman"/>
          <w:sz w:val="28"/>
        </w:rPr>
        <w:t>4. Приближённая оценка PESQ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PESQ (Perceptual Evaluation of Speech Quality) — стандарт ITU-T P.862 для оценки качества речи. Диапазон: -0.5 до 4.5 (выше лучше). В приложении реализована приближённая оценка, основанная на взвешенном спектральном расстоянии с A-взвешиванием.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Упрощённое A-взвешивание (частотная коррекция):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5630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_aweigh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(4.1)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Взвешенное спектральное расстояние для каждого окна: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86690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_d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(4.2)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Приближённый PESQ и преобразование в MOS: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2023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02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(4.3)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5417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_m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1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(4.4)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MOS (Mean Opinion Score): шкала от 1 (неприемлемо) до 5 (отлично).</w:t>
      </w:r>
    </w:p>
    <w:p>
      <w:pPr>
        <w:pStyle w:val="Heading1"/>
      </w:pPr>
      <w:r>
        <w:rPr>
          <w:rFonts w:ascii="Times New Roman" w:hAnsi="Times New Roman"/>
          <w:sz w:val="28"/>
        </w:rPr>
        <w:t>5. Дополнительные метрики</w:t>
      </w:r>
    </w:p>
    <w:p>
      <w:pPr>
        <w:pStyle w:val="Heading2"/>
      </w:pPr>
      <w:r>
        <w:rPr>
          <w:rFonts w:ascii="Times New Roman" w:hAnsi="Times New Roman"/>
          <w:sz w:val="24"/>
        </w:rPr>
        <w:t>5.1. Спектральная плоскостность (Wiener Entropy)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Спектральная плоскостность измеряет, насколько спектр сигнала похож на белый шум. Диапазон: 0.0 (тональный сигнал) до 1.0 (шумоподобный сигнал).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88622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fla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(5.1)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08810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flat_av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88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(5.2)</w:t>
      </w:r>
    </w:p>
    <w:p>
      <w:pPr>
        <w:pStyle w:val="Heading2"/>
      </w:pPr>
      <w:r>
        <w:rPr>
          <w:rFonts w:ascii="Times New Roman" w:hAnsi="Times New Roman"/>
          <w:sz w:val="24"/>
        </w:rPr>
        <w:t>5.2. Динамический диапазон (дБ)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Динамический диапазон — разница между громкими и тихими участками сигнала. Вычисляется по RMS-значениям в скользящих окнах размером 1024 отсчёта с шагом 512.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6752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_wind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75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(5.3)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0528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ran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(5.4)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P₅ и P₉₅ — 5-й и 95-й процентили распределения RMS-значений.</w:t>
      </w:r>
    </w:p>
    <w:p>
      <w:pPr>
        <w:pStyle w:val="Heading2"/>
      </w:pPr>
      <w:r>
        <w:rPr>
          <w:rFonts w:ascii="Times New Roman" w:hAnsi="Times New Roman"/>
          <w:sz w:val="24"/>
        </w:rPr>
        <w:t>5.3. Пик-фактор (Crest Factor)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Пик-фактор — отношение пикового значения сигнала к его среднеквадратичному значению. Характеризует «пиковость» сигнала. Для синусоиды CF = 1.41, для типичной речи/музыки CF ~ 3-4.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30428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_facto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(5.5)</w:t>
      </w:r>
    </w:p>
    <w:p>
      <w:pPr>
        <w:pStyle w:val="Heading1"/>
      </w:pPr>
      <w:r>
        <w:rPr>
          <w:rFonts w:ascii="Times New Roman" w:hAnsi="Times New Roman"/>
          <w:sz w:val="28"/>
        </w:rPr>
        <w:t>6. Агрегированный балл качества (Score)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Агрегированный балл вычисляется как взвешенная сумма нормализованных метрик. Используется min-max нормировка, при которой все метрики приводятся к шкале «выше — лучше».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Нормировка для метрик «ниже — лучше» (инверсия):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8789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inv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87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(6.1)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Нормировка для метрик «выше — лучше»: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793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di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(6.2)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Итоговый взвешенный балл: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04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(6.3)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Веса: LSD — 20%, SNR — 20%, RMSE — 15%, SI-SDR — 15%, Spectral Convergence — 15%, Centroid Δ — 5%, Cosine Similarity — 5%, время — 5%. Индекс n означает нормализованное значение. ε = 10⁻¹² — защита от деления на ноль.</w:t>
      </w:r>
    </w:p>
    <w:p>
      <w:pPr>
        <w:pStyle w:val="Heading1"/>
      </w:pPr>
      <w:r>
        <w:rPr>
          <w:rFonts w:ascii="Times New Roman" w:hAnsi="Times New Roman"/>
          <w:sz w:val="28"/>
        </w:rPr>
        <w:t>7. Формулы преобразований аудиосигнала</w:t>
      </w:r>
    </w:p>
    <w:p>
      <w:pPr>
        <w:pStyle w:val="Heading2"/>
      </w:pPr>
      <w:r>
        <w:rPr>
          <w:rFonts w:ascii="Times New Roman" w:hAnsi="Times New Roman"/>
          <w:sz w:val="24"/>
        </w:rPr>
        <w:t>7.1. Быстрое преобразование Фурье (FFT)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FFT (Fast Fourier Transform) — быстрый алгоритм вычисления дискретного преобразования Фурье. Вычислительная сложность: O(N log N). Для действительных сигналов используется rFFT, возвращающий N/2 + 1 комплексных коэффициентов.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Прямое преобразование: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831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t_fw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3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(7.1)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Обратное преобразование: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53125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t_inv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3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(7.2)</w:t>
      </w:r>
    </w:p>
    <w:p>
      <w:pPr>
        <w:pStyle w:val="Heading2"/>
      </w:pPr>
      <w:r>
        <w:rPr>
          <w:rFonts w:ascii="Times New Roman" w:hAnsi="Times New Roman"/>
          <w:sz w:val="24"/>
        </w:rPr>
        <w:t>7.2. Быстрое преобразование Уолша-Адамара (FWHT)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FWHT (Fast Walsh-Hadamard Transform) — аналог FFT для функций Уолша (прямоугольных волн). Использует только сложения и вычитания (нет умножений). Вычислительная сложность: O(N log N). Реализуется через алгоритм «бабочки».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Прямое преобразование (ортонормированное):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2761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h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(7.3)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Обратное преобразование идентично прямому (self-inverse property). На каждом уровне бабочки h = 1, 2, 4, ..., N/2: a[i] = x[i] + x[i+h], a[i+h] = x[i] − x[i+h].</w:t>
      </w:r>
    </w:p>
    <w:p>
      <w:pPr>
        <w:pStyle w:val="Heading2"/>
      </w:pPr>
      <w:r>
        <w:rPr>
          <w:rFonts w:ascii="Times New Roman" w:hAnsi="Times New Roman"/>
          <w:sz w:val="24"/>
        </w:rPr>
        <w:t>7.3. Дискретное косинусное преобразование (DCT-II)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DCT-II (Discrete Cosine Transform) разлагает сигнал на косинусоиды. Используется в JPEG и MP3. Работает только с действительными числами и обеспечивает хорошую концентрацию энергии. Реализуется через rFFT чётного отражения сигнала.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Прямое преобразование DCT-II: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87634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t_fw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7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(7.4)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где c₀ = 1/√2, cₖ = 1 для k &gt; 0. Обратное IDCT-III вычисляется через irFFT.</w:t>
      </w:r>
    </w:p>
    <w:p>
      <w:pPr>
        <w:pStyle w:val="Heading2"/>
      </w:pPr>
      <w:r>
        <w:rPr>
          <w:rFonts w:ascii="Times New Roman" w:hAnsi="Times New Roman"/>
          <w:sz w:val="24"/>
        </w:rPr>
        <w:t>7.4. Дискретное вейвлет-преобразование (DWT, Хаар)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DWT (Discrete Wavelet Transform) с вейвлетом Хаара разделяет сигнал на аппроксимацию (низкие частоты) и детали (высокие частоты). Поддерживается многоуровневая декомпозиция. Вычислительная сложность одного уровня: O(N).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Одноуровневое прямое преобразование: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58665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t_fw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(7.5)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Обратное преобразование: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61678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wt_inv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(7.6)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Многоуровневое разложение: на каждом уровне аппроксимация A подаётся на вход следующего уровня. Результат: [Aₗ, Dₗ, Dₗ₋₁, ..., D₁], где Aₗ — финальная аппроксимация, Dᵢ — детали на уровне i.</w:t>
      </w:r>
    </w:p>
    <w:p>
      <w:pPr>
        <w:pStyle w:val="Heading2"/>
      </w:pPr>
      <w:r>
        <w:rPr>
          <w:rFonts w:ascii="Times New Roman" w:hAnsi="Times New Roman"/>
          <w:sz w:val="24"/>
        </w:rPr>
        <w:t>7.5. μ-law компандирование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μ-law (мю-закон) — нелинейное преобразование для сжатия динамического диапазона сигнала по логарифмическому закону. Широко используется в телефонии. Стандартный параметр: μ = 255.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Прямое (компрессия) и обратное (расширение) преобразования: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10245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aw_compres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0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(7.7)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8755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aw_expan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(7.8)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В приложении используется полный цикл: компрессия → равномерное квантование (Q = 2ᵇⁱᵗˢ уровней) → расширение. Это реализовано в классе HuffmanLikeTransform.</w:t>
      </w:r>
    </w:p>
    <w:p>
      <w:pPr>
        <w:pStyle w:val="Heading2"/>
      </w:pPr>
      <w:r>
        <w:rPr>
          <w:rFonts w:ascii="Times New Roman" w:hAnsi="Times New Roman"/>
          <w:sz w:val="24"/>
        </w:rPr>
        <w:t>7.6. Нелинейное сглаживающее преобразование (Rosenbrock-like)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Нелинейное преобразование, названное по аналогии с функцией Розенброка. Создаёт эффект мягкого лимитера/компрессора dynamics. Параметры: α (сглаживание, 0-10), β (сдвиг, -5...+5).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142168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enbrock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2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(7.9)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При α = 0: y = x (тождественное преобразование). При x ≈ β: y ≈ x (минимальное изменение). При x &gt;&gt; β или x &lt;&lt; β: y &lt; x (сжатие динамики). После преобразования применяется нормировка по пику для предотвращения клиппинга.</w:t>
      </w:r>
    </w:p>
    <w:p>
      <w:pPr>
        <w:pStyle w:val="Heading1"/>
      </w:pPr>
      <w:r>
        <w:rPr>
          <w:rFonts w:ascii="Times New Roman" w:hAnsi="Times New Roman"/>
          <w:sz w:val="28"/>
        </w:rPr>
        <w:t>8. Алгоритм OLA (Overlap-Add)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OLA (Overlap-Add) — стандартный метод блочной обработки сигналов произвольной длины с перекрывающимися блоками. При 50% перекрытии и sqrt-Hann окне достигается идеальная реконструкция (сумма квадратов окон = 1).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Окно Ханна и его квадратный корень: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0427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a_window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(8.1)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Условие идеальной реконструкции при 50% перекрытии: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8572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a_perfec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(8.2)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/>
          <w:sz w:val="24"/>
        </w:rPr>
        <w:t>Нормировка и обрезка восстановленного сигнала: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58782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a_finaliz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(8.3)</w:t>
      </w:r>
    </w:p>
    <w:p>
      <w:pPr>
        <w:pStyle w:val="Heading1"/>
      </w:pPr>
      <w:r>
        <w:rPr>
          <w:rFonts w:ascii="Times New Roman" w:hAnsi="Times New Roman"/>
          <w:sz w:val="28"/>
        </w:rPr>
        <w:t>9. Отбор коэффициентов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Для сжатия сигнала в преобразованиях FFT, FWHT, DCT, DWT поддерживаются два режима отбора коэффициентов, позволяющие сократить объём данных с контролируемой потерей качества.</w:t>
      </w:r>
    </w:p>
    <w:p>
      <w:pPr>
        <w:pStyle w:val="Heading2"/>
      </w:pPr>
      <w:r>
        <w:rPr>
          <w:rFonts w:ascii="Times New Roman" w:hAnsi="Times New Roman"/>
          <w:sz w:val="24"/>
        </w:rPr>
        <w:t>9.1. Отбор по энергии (Energy)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Сохраняется минимальное число наибольших по модулю коэффициентов, содержащих заданную долю энергии сигнала. DC-компонента всегда сохраняется.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94445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tota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(9.1)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где r — заданная доля сохраняемой энергии (keep_energy_ratio). Коэффициенты сортируются по убыванию энергии, затем отбирается минимальное число коэффициентов, сумма энергий которых не меньше E_keep. Остальные коэффициенты обнуляются.</w:t>
      </w:r>
    </w:p>
    <w:p>
      <w:pPr>
        <w:pStyle w:val="Heading2"/>
      </w:pPr>
      <w:r>
        <w:rPr>
          <w:rFonts w:ascii="Times New Roman" w:hAnsi="Times New Roman"/>
          <w:sz w:val="24"/>
        </w:rPr>
        <w:t>9.2. Отбор по частоте (Lowpass)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Сохраняются первые K коэффициентов в порядке частоты/sequency, аналогично lowpass-фильтрации.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78340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pass_k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(9.2)</w:t>
      </w:r>
    </w:p>
    <w:p>
      <w:pPr>
        <w:spacing w:after="120" w:line="312" w:lineRule="auto"/>
      </w:pPr>
      <w:r>
        <w:rPr>
          <w:rFonts w:ascii="Times New Roman" w:hAnsi="Times New Roman"/>
          <w:b w:val="0"/>
          <w:i w:val="0"/>
          <w:sz w:val="24"/>
        </w:rPr>
        <w:t>где r — доля сохраняемых коэффициентов (sequency_keep_ratio), N — общее число коэффициентов. Коэффициенты с индексами K_lp, ..., N-1 обнуляются.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