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B3000E">
      <w:headerReference w:type="default" r:id="rId29"/>
      <w:footerReference w:type="default" r:id="rId30"/>
      <w:pgSz w:w="11906" w:h="16838"/>
      <w:pgMar w:top="1134" w:right="850" w:bottom="1134" w:left="1701" w:header="708" w:footer="708" w:gutter="0"/>
      <w:cols w:space="720"/>
      <w:docGrid w:linePitch="360"/>
    </w:sectPr>
    <w:p w14:paraId="5BA5C461" w14:textId="77777777" w:rsidR="00F93242" w:rsidRDefault="00000000">
      <w:pPr>
        <w:pStyle w:val="1"/>
        <w:spacing w:line="360" w:lineRule="auto"/>
      </w:pPr>
      <w:bookmarkStart w:id="28" w:name="_Toc225177086"/>
      <w:r>
        <w:lastRenderedPageBreak/>
        <w:t>ГЛАВА 2. РАЗРАБОТКА ПРОГРАММНОГО КОМПЛЕКСА</w:t>
      </w:r>
      <w:bookmarkEnd w:id="28"/>
    </w:p>
    <w:p w14:paraId="016BAFA8" w14:textId="77777777" w:rsidR="00C5103C" w:rsidRDefault="00000000">
      <w:pPr>
        <w:spacing w:line="360" w:lineRule="auto"/>
        <w:ind w:firstLine="708"/>
      </w:pPr>
      <w:r>
        <w:t>Вторая глава посвящена разработке программного комплекса для сравнительного анализа методов обработки аудиоданных. Программная реализация является необходимым этапом исследования, поскольку позволяет провести объективное сравнение различных методов преобразования в контролируемых условиях. При разработке программного обеспечения учитывались требования к функциональности, производительности и расширяемости системы. Архитектура программного комплекса основана на модульном принципе, что обеспечивает возможность простого добавления новых методов преобразования и метрик качества без модификации существующего кода. В качестве основного языка программирования выбран Python, что обусловлено богатой экосистемой библиотек для научных вычислений и обработки аудиосигналов. Для создания графического интерфейса используется фреймворк PySide6, обеспечивающий кроссплатформенность приложения. Глава включает описание требований к программному обеспечению, обоснование архитектурных решений, реализацию каждого из семи методов преобразования и тринадцати метрик качества. Особое внимание уделяется реализации быстрого преобразования Уолша-Адамара, которое является центральным объектом исследования. Приводятся фрагменты программного кода с комментариями, описывающими ключевые алгоритмические решения. Завершается глава описанием процесса тестирования и показателями покрытия кода тестами.</w:t>
      </w:r>
    </w:p>
    <w:p w14:paraId="1B3E8185" w14:textId="77777777" w:rsidR="00F93242" w:rsidRDefault="00000000">
      <w:pPr>
        <w:pStyle w:val="2"/>
        <w:spacing w:line="360" w:lineRule="auto"/>
      </w:pPr>
      <w:bookmarkStart w:id="29" w:name="_Toc225177087"/>
      <w:r>
        <w:t>2.1. Требования к программному обеспечению</w:t>
      </w:r>
      <w:bookmarkEnd w:id="29"/>
    </w:p>
    <w:p w14:paraId="47FB9BB7" w14:textId="77777777" w:rsidR="00F93242" w:rsidRDefault="00000000">
      <w:pPr>
        <w:pStyle w:val="3"/>
        <w:spacing w:line="360" w:lineRule="auto"/>
      </w:pPr>
      <w:bookmarkStart w:id="30" w:name="_Toc225177088"/>
      <w:r>
        <w:t>2.1.1. Функциональные требования</w:t>
      </w:r>
      <w:bookmarkEnd w:id="30"/>
    </w:p>
    <w:p w14:paraId="1A919D01" w14:textId="77777777" w:rsidR="00F93242" w:rsidRDefault="00000000">
      <w:pPr>
        <w:spacing w:line="360" w:lineRule="auto"/>
        <w:ind w:firstLine="567"/>
        <w:jc w:val="both"/>
      </w:pPr>
      <w:r>
        <w:t xml:space="preserve">Программный комплекс должен обеспечивать поддержку семи методов преобразования аудиосигналов: быстрое преобразование Фурье (FFT), быстрое преобразование Уолша-Адамара (FWHT), дискретное косинусное </w:t>
      </w:r>
      <w:r>
        <w:lastRenderedPageBreak/>
        <w:t>преобразование (DCT), дискретное вейвлет-преобразование (DWT с вейвлетом Хаара), компандирование μ-law, нелинейное сглаживание Rosenbrock-like и стандартное MP3-кодирование. Каждый метод должен поддерживать настраиваемые параметры: размер блока преобразования, режим отбора коэффициентов и долю сохраняемой энергии. Требования к метрикам качества включают реализацию тринадцати показателей: SNR, RMSE, SI-SDR, LSD, Spectral Convergence, Spectral Centroid Δ, Cosine Similarity, STOI, PESQ, MOS, Spectral Flatness, Dynamic Range и Crest Factor. Программа должна обеспечивать пакетный расчёт метрик и формирование агрегированной оценки качества. Требования к интерфейсу включают графический пользовательский интерфейс с возможностью выбора метода преобразования и параметров, отображение прогресса обработки в реальном времени и экспорт результатов в форматах CSV, JSON и HTML-отчёт.</w:t>
      </w:r>
    </w:p>
    <w:p w14:paraId="5F40DF2A" w14:textId="77777777" w:rsidR="00F93242" w:rsidRDefault="00000000">
      <w:pPr>
        <w:spacing w:line="360" w:lineRule="auto"/>
        <w:ind w:firstLine="567"/>
        <w:jc w:val="both"/>
      </w:pPr>
      <w:r>
        <w:t>Требования к метрикам качества: реализация тринадцати метрик (SNR, RMSE, SI-SDR, LSD, Spectral Convergence, Spectral Centroid Δ, Cosine Similarity, STOI, PESQ, MOS, Spectral Flatness, Dynamic Range, Crest Factor); возможность пакетного расчёта метрик; формирование агрегированной оценки качества.</w:t>
      </w:r>
    </w:p>
    <w:p w14:paraId="56BE4A1D" w14:textId="77777777" w:rsidR="00AF3BB9" w:rsidRDefault="00000000">
      <w:pPr>
        <w:jc w:val="center"/>
      </w:pPr>
      <w:r>
        <w:rPr>
          <w:noProof/>
        </w:rPr>
        <w:drawing>
          <wp:inline distT="0" distB="0" distL="0" distR="0" wp14:anchorId="7937AACA" wp14:editId="67A00410">
            <wp:extent cx="4572000" cy="3256317"/>
            <wp:effectExtent l="0" t="0" r="0" b="0"/>
            <wp:docPr id="1751545638" name="Picture 1751545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mockup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5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1E0A" w14:textId="77777777" w:rsidR="00AF3BB9" w:rsidRDefault="00000000">
      <w:r>
        <w:t>Макет графического интерфейса пользователя представлен на рисунке.</w:t>
      </w:r>
    </w:p>
    <w:p w14:paraId="4D4347DD" w14:textId="77777777" w:rsidR="00F93242" w:rsidRDefault="00000000">
      <w:pPr>
        <w:spacing w:line="360" w:lineRule="auto"/>
        <w:ind w:firstLine="567"/>
        <w:jc w:val="both"/>
      </w:pPr>
      <w:r>
        <w:lastRenderedPageBreak/>
        <w:t>Требования к интерфейсу: графический пользовательский интерфейс; возможность выбора метода преобразования и параметров; отображение прогресса обработки; экспорт результатов в различных форматах (CSV, JSON, HTML-отчёт).</w:t>
      </w:r>
    </w:p>
    <w:p w14:paraId="2928C825" w14:textId="77777777" w:rsidR="00AF3BB9" w:rsidRDefault="00000000">
      <w:pPr>
        <w:jc w:val="center"/>
      </w:pPr>
      <w:r>
        <w:t>Рисунок 2.0 — Диаграмма вариантов использования системы</w:t>
      </w:r>
    </w:p>
    <w:p w14:paraId="1C930BA2" w14:textId="77777777" w:rsidR="00AF3BB9" w:rsidRDefault="00000000">
      <w:pPr>
        <w:jc w:val="center"/>
      </w:pPr>
      <w:r>
        <w:rPr>
          <w:noProof/>
        </w:rPr>
        <w:drawing>
          <wp:inline distT="0" distB="0" distL="0" distR="0" wp14:anchorId="00C8BD3F" wp14:editId="3010CECA">
            <wp:extent cx="5029200" cy="3581948"/>
            <wp:effectExtent l="0" t="0" r="0" b="0"/>
            <wp:docPr id="1751545630" name="Picture 1751545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8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17AC" w14:textId="77777777" w:rsidR="00AF3BB9" w:rsidRDefault="00000000">
      <w:r>
        <w:t>Функциональные требования представлены на диаграмме вариантов использования (рисунок 2.0) (Рисунок 2.0).</w:t>
      </w:r>
    </w:p>
    <w:p w14:paraId="2CC308D0" w14:textId="77777777" w:rsidR="00F93242" w:rsidRDefault="00000000">
      <w:pPr>
        <w:pStyle w:val="3"/>
        <w:spacing w:line="360" w:lineRule="auto"/>
      </w:pPr>
      <w:bookmarkStart w:id="31" w:name="_Toc225177089"/>
      <w:r>
        <w:t>2.1.2. Нефункциональные требования</w:t>
      </w:r>
      <w:bookmarkEnd w:id="31"/>
    </w:p>
    <w:p w14:paraId="5135D98B" w14:textId="77777777" w:rsidR="00F93242" w:rsidRDefault="00000000">
      <w:pPr>
        <w:spacing w:line="360" w:lineRule="auto"/>
        <w:ind w:firstLine="567"/>
        <w:jc w:val="both"/>
      </w:pPr>
      <w:r>
        <w:t xml:space="preserve">Кроссплатформенность программного комплекса обеспечивается поддержкой операционных систем Windows, Linux и macOS. Использование интерпретируемого языка Python обеспечивает переносимость кода между различными платформами без необходимости перекомпиляции. Требования к производительности включают оптимизацию вычислений с использованием библиотеки NumPy для векторных операций, поддержку многопоточной обработки для распараллеливания вычислений и возможность обработки файлов большого размера без загрузки их целиком в оперативную память. Расширяемость системы обеспечивается модульной архитектурой с чётко определёнными интерфейсами между компонентами, возможностью добавления новых методов преобразования и метрик качества без </w:t>
      </w:r>
      <w:r>
        <w:lastRenderedPageBreak/>
        <w:t>модификации существующего кода, а также документированным API для интеграции с внешними системами. Требования к надёжности включают обработку исключительных ситуаций и некорректных входных данных, а также ведение журнала операций для диагностики проблем.</w:t>
      </w:r>
    </w:p>
    <w:p w14:paraId="19E79C5D" w14:textId="77777777" w:rsidR="00F93242" w:rsidRDefault="00000000">
      <w:pPr>
        <w:spacing w:line="360" w:lineRule="auto"/>
        <w:ind w:firstLine="567"/>
        <w:jc w:val="both"/>
      </w:pPr>
      <w:r>
        <w:t>Производительность: оптимизация вычислений с использованием библиотеки NumPy; поддержка многопоточной обработки; возможность обработки файлов большого размера.</w:t>
      </w:r>
    </w:p>
    <w:p w14:paraId="656660B8" w14:textId="77777777" w:rsidR="00F93242" w:rsidRDefault="00000000">
      <w:pPr>
        <w:spacing w:line="360" w:lineRule="auto"/>
        <w:ind w:firstLine="567"/>
        <w:jc w:val="both"/>
      </w:pPr>
      <w:r>
        <w:t>Расширяемость: модульная архитектура; возможность добавления новых методов преобразования и метрик; документированный API.</w:t>
      </w:r>
    </w:p>
    <w:p w14:paraId="239950E1" w14:textId="77777777" w:rsidR="00F93242" w:rsidRDefault="00000000">
      <w:pPr>
        <w:pStyle w:val="2"/>
        <w:spacing w:line="360" w:lineRule="auto"/>
      </w:pPr>
      <w:bookmarkStart w:id="32" w:name="_Toc225177090"/>
      <w:r>
        <w:t>2.2. Архитектура программного комплекса</w:t>
      </w:r>
      <w:bookmarkEnd w:id="32"/>
    </w:p>
    <w:p w14:paraId="4BC0A001" w14:textId="77777777" w:rsidR="00F93242" w:rsidRDefault="00000000">
      <w:pPr>
        <w:spacing w:line="360" w:lineRule="auto"/>
        <w:ind w:firstLine="567"/>
        <w:jc w:val="both"/>
      </w:pPr>
      <w:r>
        <w:t>Программный комплекс разработан на языке Python 3.10+ с использованием GUI-фреймворка PySide6 (Qt для Python). Выбор Python обусловлен богатой экосистемой библиотек для научных вычислений (NumPy, SciPy) и обработки аудио (librosa, pydub), а также кроссплатформенностью и простотой разработки. Архитектура основана на паттернах проектирования: Mixins для множественного наследования и разделения функциональности между классами, Event Bus для слабосвязанной коммуникации между компонентами, Repository Pattern для абстракции доступа к данным, Pipeline Pattern для последовательной обработки данных и DI Container для внедрения зависимостей. Модульная структура включает модуль processing с подмодулями transforms (реализации преобразований), metrics (расчёт метрик качества), codecs (работа с аудиокодеками) и utils (вспомогательные функции). Модуль ui_new содержит компоненты пользовательского интерфейса: главное окно, виджеты для выбора параметров, таблицы результатов и диалоги экспорта. Такая структура обеспечивает чёткое разделение ответственности между компонентами.</w:t>
      </w:r>
      <w:r w:rsidR="00F65078">
        <w:t xml:space="preserve"> Схематичное представление архитектуры проекта представлено на рисунке 2.1.</w:t>
      </w:r>
    </w:p>
    <w:p w14:paraId="37C71F27" w14:textId="77777777" w:rsidR="00F65078" w:rsidRDefault="00F65078" w:rsidP="00F65078">
      <w:pPr>
        <w:jc w:val="center"/>
      </w:pPr>
      <w:r>
        <w:rPr>
          <w:noProof/>
        </w:rPr>
        <w:lastRenderedPageBreak/>
        <w:drawing>
          <wp:inline distT="0" distB="0" distL="0" distR="0" wp14:anchorId="77EE8C1F" wp14:editId="15826D29">
            <wp:extent cx="4572000" cy="3914158"/>
            <wp:effectExtent l="0" t="0" r="0" b="0"/>
            <wp:docPr id="1751545624" name="Picture 1751545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1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FE5F" w14:textId="77777777" w:rsidR="00F65078" w:rsidRDefault="00F65078" w:rsidP="00F65078">
      <w:pPr>
        <w:jc w:val="center"/>
      </w:pPr>
      <w:r>
        <w:rPr>
          <w:i/>
          <w:sz w:val="20"/>
        </w:rPr>
        <w:t>Рисунок 2.1 — Архитектура программного комплекса</w:t>
      </w:r>
    </w:p>
    <w:p w14:paraId="26E56F3C" w14:textId="77777777" w:rsidR="00F65078" w:rsidRDefault="00F65078">
      <w:pPr>
        <w:spacing w:line="360" w:lineRule="auto"/>
        <w:ind w:firstLine="567"/>
        <w:jc w:val="both"/>
      </w:pPr>
    </w:p>
    <w:p w14:paraId="4AE919DA" w14:textId="77777777" w:rsidR="00F93242" w:rsidRDefault="00000000">
      <w:pPr>
        <w:spacing w:line="360" w:lineRule="auto"/>
        <w:ind w:firstLine="567"/>
        <w:jc w:val="both"/>
      </w:pPr>
      <w:r>
        <w:t>Архитектура основана на паттернах проектирования: Mixins (множественное наследование для разделения функциональности), Event Bus (слабосвязанная коммуникация между компонентами), Repository Pattern (абстракция доступа к данным), Pipeline Pattern (последовательная обработка данных), DI Container (внедрение зависимостей).</w:t>
      </w:r>
    </w:p>
    <w:p w14:paraId="6B919DDA" w14:textId="77777777" w:rsidR="00AF3BB9" w:rsidRDefault="00000000">
      <w:pPr>
        <w:jc w:val="center"/>
      </w:pPr>
      <w:r>
        <w:t>Рисунок 2.1а — Диаграмма последовательности взаимодействия компонентов</w:t>
      </w:r>
    </w:p>
    <w:p w14:paraId="4C61B658" w14:textId="77777777" w:rsidR="00AF3BB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FD9D801" wp14:editId="33405B52">
            <wp:extent cx="5029200" cy="3581948"/>
            <wp:effectExtent l="0" t="0" r="0" b="0"/>
            <wp:docPr id="1751545631" name="Picture 1751545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8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3B70" w14:textId="77777777" w:rsidR="00AF3BB9" w:rsidRDefault="00000000">
      <w:r>
        <w:t>Взаимодействие компонентов системы представлено на диаграмме последовательности (Рисунок 2.1а).</w:t>
      </w:r>
    </w:p>
    <w:p w14:paraId="39FE1FFD" w14:textId="77777777" w:rsidR="00F93242" w:rsidRDefault="00000000">
      <w:pPr>
        <w:pStyle w:val="3"/>
        <w:spacing w:line="360" w:lineRule="auto"/>
      </w:pPr>
      <w:bookmarkStart w:id="33" w:name="_Toc225177091"/>
      <w:r>
        <w:t>2.2.1. Модульная структура</w:t>
      </w:r>
      <w:bookmarkEnd w:id="33"/>
    </w:p>
    <w:p w14:paraId="651E00C1" w14:textId="77777777" w:rsidR="00F93242" w:rsidRDefault="00000000">
      <w:pPr>
        <w:spacing w:line="360" w:lineRule="auto"/>
        <w:ind w:firstLine="567"/>
        <w:jc w:val="both"/>
      </w:pPr>
      <w:r>
        <w:t>Модуль processing содержит подмодули: transforms (реализации преобразований: FFTTransform, DCTTransform, DWTTransform, FWHTTransform, MuLawTransform, RosenbrockLikeTransform); metrics (расчёт метрик качества); codecs (работа с аудиокодеками, преобразование WAV ↔ MP3); utils (вспомогательные функции).</w:t>
      </w:r>
    </w:p>
    <w:p w14:paraId="4B0FCFC4" w14:textId="77777777" w:rsidR="00F93242" w:rsidRDefault="00000000">
      <w:pPr>
        <w:spacing w:line="360" w:lineRule="auto"/>
        <w:ind w:firstLine="567"/>
        <w:jc w:val="both"/>
      </w:pPr>
      <w:r>
        <w:t>Модуль ui_new содержит компоненты пользовательского интерфейса: главное окно приложения, виджеты для выбора параметров, таблицы результатов, диалоги экспорта.</w:t>
      </w:r>
    </w:p>
    <w:p w14:paraId="38A2825F" w14:textId="77777777" w:rsidR="00F93242" w:rsidRDefault="00000000">
      <w:pPr>
        <w:spacing w:line="360" w:lineRule="auto"/>
        <w:ind w:firstLine="567"/>
        <w:jc w:val="both"/>
      </w:pPr>
      <w:r>
        <w:t>Модуль tests содержит unit-тесты для всех компонентов системы.</w:t>
      </w:r>
    </w:p>
    <w:p w14:paraId="4D704D21" w14:textId="77777777" w:rsidR="00F93242" w:rsidRDefault="00000000">
      <w:pPr>
        <w:pStyle w:val="2"/>
        <w:spacing w:line="360" w:lineRule="auto"/>
      </w:pPr>
      <w:bookmarkStart w:id="34" w:name="_Toc225177092"/>
      <w:r>
        <w:t>2.3. Реализация методов обработки</w:t>
      </w:r>
      <w:bookmarkEnd w:id="34"/>
    </w:p>
    <w:p w14:paraId="684BC3ED" w14:textId="77777777" w:rsidR="005157A1" w:rsidRDefault="005157A1" w:rsidP="005157A1">
      <w:pPr>
        <w:spacing w:line="360" w:lineRule="auto"/>
        <w:ind w:firstLine="567"/>
        <w:jc w:val="both"/>
      </w:pPr>
      <w:r>
        <w:t xml:space="preserve">Основной алгоритм работы приложения это </w:t>
      </w:r>
      <w:r w:rsidRPr="005157A1">
        <w:t>OLA</w:t>
      </w:r>
      <w:r>
        <w:t xml:space="preserve"> обработка, схема представлена на рисунке 2.2.</w:t>
      </w:r>
    </w:p>
    <w:p w14:paraId="3DA84C3D" w14:textId="77777777" w:rsidR="005157A1" w:rsidRDefault="005157A1" w:rsidP="005157A1">
      <w:pPr>
        <w:jc w:val="center"/>
      </w:pPr>
      <w:r>
        <w:rPr>
          <w:noProof/>
        </w:rPr>
        <w:lastRenderedPageBreak/>
        <w:drawing>
          <wp:inline distT="0" distB="0" distL="0" distR="0" wp14:anchorId="1FCA8CF4" wp14:editId="388E359F">
            <wp:extent cx="4572000" cy="3803597"/>
            <wp:effectExtent l="0" t="0" r="0" b="0"/>
            <wp:docPr id="1751545626" name="Picture 1751545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a_pro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0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A4A3" w14:textId="77777777" w:rsidR="005157A1" w:rsidRPr="005157A1" w:rsidRDefault="005157A1" w:rsidP="005157A1">
      <w:pPr>
        <w:jc w:val="center"/>
      </w:pPr>
      <w:r>
        <w:rPr>
          <w:i/>
          <w:sz w:val="20"/>
        </w:rPr>
        <w:t>Рисунок 2.2 — Алгоритм OLA обработки</w:t>
      </w:r>
    </w:p>
    <w:p w14:paraId="1495F14F" w14:textId="77777777" w:rsidR="005157A1" w:rsidRDefault="005157A1">
      <w:pPr>
        <w:jc w:val="center"/>
      </w:pPr>
    </w:p>
    <w:p w14:paraId="57573359" w14:textId="77777777" w:rsidR="005157A1" w:rsidRDefault="00394C3F" w:rsidP="005157A1">
      <w:pPr>
        <w:spacing w:line="360" w:lineRule="auto"/>
        <w:ind w:firstLine="567"/>
        <w:jc w:val="both"/>
      </w:pPr>
      <w:r>
        <w:t xml:space="preserve">Каждый метод учувствует в обработке по иерархической структуре представленной на </w:t>
      </w:r>
      <w:r w:rsidR="005157A1">
        <w:t>рисунке 2.3.</w:t>
      </w:r>
    </w:p>
    <w:p w14:paraId="4759BA65" w14:textId="77777777" w:rsidR="005157A1" w:rsidRDefault="005157A1">
      <w:pPr>
        <w:jc w:val="center"/>
      </w:pPr>
    </w:p>
    <w:p w14:paraId="58507F18" w14:textId="77777777" w:rsidR="0025547C" w:rsidRDefault="00000000">
      <w:pPr>
        <w:jc w:val="center"/>
      </w:pPr>
      <w:r>
        <w:rPr>
          <w:noProof/>
        </w:rPr>
        <w:drawing>
          <wp:inline distT="0" distB="0" distL="0" distR="0" wp14:anchorId="47D3E971" wp14:editId="27AF5EC2">
            <wp:extent cx="4572000" cy="3256317"/>
            <wp:effectExtent l="0" t="0" r="0" b="0"/>
            <wp:docPr id="1751545625" name="Picture 1751545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hierarch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5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A3B9" w14:textId="77777777" w:rsidR="0025547C" w:rsidRDefault="00000000">
      <w:pPr>
        <w:jc w:val="center"/>
      </w:pPr>
      <w:r>
        <w:rPr>
          <w:i/>
          <w:sz w:val="20"/>
        </w:rPr>
        <w:t>Рисунок 2.</w:t>
      </w:r>
      <w:r w:rsidR="005157A1">
        <w:rPr>
          <w:i/>
          <w:sz w:val="20"/>
        </w:rPr>
        <w:t>3</w:t>
      </w:r>
      <w:r>
        <w:rPr>
          <w:i/>
          <w:sz w:val="20"/>
        </w:rPr>
        <w:t xml:space="preserve"> — Иерархия классов преобразований</w:t>
      </w:r>
    </w:p>
    <w:p w14:paraId="691DA82D" w14:textId="77777777" w:rsidR="00F93242" w:rsidRDefault="00000000">
      <w:pPr>
        <w:pStyle w:val="3"/>
        <w:spacing w:line="360" w:lineRule="auto"/>
      </w:pPr>
      <w:bookmarkStart w:id="35" w:name="_Toc225177093"/>
      <w:r>
        <w:t>2.3.1. Базовый класс трансформации</w:t>
      </w:r>
      <w:bookmarkEnd w:id="35"/>
    </w:p>
    <w:p w14:paraId="31C9BA7D" w14:textId="77777777" w:rsidR="00F93242" w:rsidRDefault="00000000">
      <w:pPr>
        <w:spacing w:line="360" w:lineRule="auto"/>
        <w:ind w:firstLine="567"/>
        <w:jc w:val="both"/>
      </w:pPr>
      <w:r>
        <w:lastRenderedPageBreak/>
        <w:t>Базовый класс BaseTransform определяет интерфейс для всех преобразований аудиосигналов. Класс содержит основные методы: process() для обработки WAV файла с применением преобразования, forward() для прямого преобразования сигнала в спектральную область, inverse() для обратного преобразования из спектральной области во временную. Параметры класса включают block_size — размер блока для обработки (по умолчанию 2048 отсчётов), select_mode — режим отбора коэффициентов (none, energy, lowpass), keep_energy_ratio — долю сохраняемой энергии для режима energy (по умолчанию 0.8). Класс также содержит утилиты для OLA-обработки (Overlap-Add): разбиение сигнала на блоки с перекрытием, применение оконной функции Хэннинга и сборку обработанных блоков. Абстрактный характер базового класса позволяет добавлять новые методы преобразования путём наследования и реализации методов forward() и inverse(). Конструктор класса принимает параметры конфигурации и инициализирует внутренние структуры данных.</w:t>
      </w:r>
    </w:p>
    <w:p w14:paraId="230415B8" w14:textId="77777777" w:rsidR="00F93242" w:rsidRDefault="00000000">
      <w:pPr>
        <w:pStyle w:val="3"/>
        <w:spacing w:line="360" w:lineRule="auto"/>
      </w:pPr>
      <w:bookmarkStart w:id="36" w:name="_Toc225177094"/>
      <w:r>
        <w:t>2.3.2. Реализация FFT</w:t>
      </w:r>
      <w:bookmarkEnd w:id="36"/>
    </w:p>
    <w:p w14:paraId="6EC1F22E" w14:textId="77777777" w:rsidR="00F93242" w:rsidRDefault="00000000">
      <w:pPr>
        <w:spacing w:line="360" w:lineRule="auto"/>
        <w:ind w:firstLine="567"/>
        <w:jc w:val="both"/>
      </w:pPr>
      <w:r>
        <w:t>Класс FFTTransform наследует BaseTransform и реализует быстрое преобразование Фурье. Прямое преобразование выполняется через функцию numpy.fft.rfft для вещественных сигналов, возвращающую комплексный спектр с N/2+1 коэффициентами для блока размером N. Обратное преобразование выполняется через numpy.fft.irfft, восстанавливающую вещественный сигнал из комплексного спектра. Поддерживаются три режима отбора коэффициентов: none — сохранение всех коэффициентов для идеальной реконструкции, energy — ранжирование коэффициентов по энергии и сохранение заданной доли, lowpass — сохранение только низкочастотных коэффициентов. FFT обеспечивает высокую вычислительную эффективность со сложностью O(N log N) и является одним из наиболее часто используемых методов спектрального анализа. Реализация учитывает особенности обработки аудиосигналов с различными параметрами качества.</w:t>
      </w:r>
    </w:p>
    <w:p w14:paraId="2174D3B6" w14:textId="77777777" w:rsidR="00AF3BB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6FC166B" wp14:editId="4FF4DCDA">
            <wp:extent cx="4114800" cy="1746570"/>
            <wp:effectExtent l="0" t="0" r="0" b="0"/>
            <wp:docPr id="1751545632" name="Picture 1751545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ft_flow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4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B07B" w14:textId="77777777" w:rsidR="00AF3BB9" w:rsidRDefault="00000000">
      <w:r>
        <w:t>Схема обработки методом FFT представлена на рисунке.</w:t>
      </w:r>
    </w:p>
    <w:p w14:paraId="5B811D79" w14:textId="77777777" w:rsidR="00F93242" w:rsidRDefault="00000000">
      <w:pPr>
        <w:pStyle w:val="3"/>
        <w:spacing w:line="360" w:lineRule="auto"/>
      </w:pPr>
      <w:bookmarkStart w:id="37" w:name="_Toc225177095"/>
      <w:r>
        <w:t>2.3.3. Реализация FWHT</w:t>
      </w:r>
      <w:bookmarkEnd w:id="37"/>
    </w:p>
    <w:p w14:paraId="03548D0B" w14:textId="77777777" w:rsidR="00F93242" w:rsidRDefault="00000000">
      <w:pPr>
        <w:spacing w:line="360" w:lineRule="auto"/>
        <w:ind w:firstLine="567"/>
        <w:jc w:val="both"/>
      </w:pPr>
      <w:r>
        <w:t>Класс FWHTTransform реализует быстрое преобразование Уолша-Адамара — центральный объект исследования в данной работе. Алгоритм FWHT выполняется «на месте» с использованием схемы «бабочка», что минимизирует использование дополнительной памяти. Код</w:t>
      </w:r>
      <w:r w:rsidRPr="005B1478">
        <w:rPr>
          <w:lang w:val="en-US"/>
        </w:rPr>
        <w:t xml:space="preserve"> </w:t>
      </w:r>
      <w:r>
        <w:t>алгоритма</w:t>
      </w:r>
      <w:r w:rsidRPr="005B1478">
        <w:rPr>
          <w:lang w:val="en-US"/>
        </w:rPr>
        <w:t xml:space="preserve">: n = len(x); h = 1; while h &lt; n: for i in range(0, n, h*2): for j in range(i, i+h): x[j], x[j+h] = x[j] + x[j+h], x[j] - x[j+h]; h *= 2. </w:t>
      </w:r>
      <w:r>
        <w:t>Преобразование требует только операций сложения и вычитания без умножений, что делает его вычислительно привлекательным для платформ с ограниченными ресурсами. Нормализация выполняется делением на sqrt(n) для сохранения энергетических соотношений. Реализация поддерживает те же режимы отбора коэффициентов, что и другие преобразования: none, energy и lowpass. FWHT особенно эффективен для сигналов с высокой корреляцией соседних отсчётов, где ортогональные матрицы Адамара обеспечивают хорошее декоррелирование.</w:t>
      </w:r>
    </w:p>
    <w:p w14:paraId="5DB3898E" w14:textId="77777777" w:rsidR="00AF3BB9" w:rsidRDefault="00000000">
      <w:pPr>
        <w:jc w:val="center"/>
      </w:pPr>
      <w:r>
        <w:rPr>
          <w:noProof/>
        </w:rPr>
        <w:drawing>
          <wp:inline distT="0" distB="0" distL="0" distR="0" wp14:anchorId="7FC96E69" wp14:editId="6D9D9C77">
            <wp:extent cx="4114800" cy="1746570"/>
            <wp:effectExtent l="0" t="0" r="0" b="0"/>
            <wp:docPr id="1751545633" name="Picture 1751545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wht_flow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4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ED05" w14:textId="77777777" w:rsidR="00AF3BB9" w:rsidRDefault="00000000">
      <w:r>
        <w:t>Схема обработки методом FWHT представлена на рисунке.</w:t>
      </w:r>
    </w:p>
    <w:p w14:paraId="5D81C0E4" w14:textId="77777777" w:rsidR="00F93242" w:rsidRDefault="00000000">
      <w:pPr>
        <w:spacing w:line="360" w:lineRule="auto"/>
        <w:ind w:firstLine="567"/>
        <w:jc w:val="both"/>
      </w:pPr>
      <w:r>
        <w:t>Преобразование требует только операций сложения и вычитания, что делает его вычислительно эффективным.</w:t>
      </w:r>
    </w:p>
    <w:p w14:paraId="55D1D021" w14:textId="77777777" w:rsidR="00F93242" w:rsidRDefault="00000000">
      <w:pPr>
        <w:pStyle w:val="3"/>
        <w:spacing w:line="360" w:lineRule="auto"/>
      </w:pPr>
      <w:bookmarkStart w:id="38" w:name="_Toc225177096"/>
      <w:r>
        <w:lastRenderedPageBreak/>
        <w:t>2.3.4. Реализация DCT</w:t>
      </w:r>
      <w:bookmarkEnd w:id="38"/>
    </w:p>
    <w:p w14:paraId="6D2A7201" w14:textId="77777777" w:rsidR="00F93242" w:rsidRDefault="00000000">
      <w:pPr>
        <w:spacing w:line="360" w:lineRule="auto"/>
        <w:ind w:firstLine="567"/>
        <w:jc w:val="both"/>
      </w:pPr>
      <w:r>
        <w:t>Класс DCTTransform использует функции scipy.fft.dct с параметром type=2 (DCT-II) для прямого преобразования и scipy.fft.idct для обратного. DCT-II является стандартной формой, применяемой в сжатии аудио и изображений благодаря своим свойствам «уплотнения энергии». Результат DCT представляет собой спектр из N вещественных коэффициентов, где низкочастотные коэффициенты концентрируют основную энергию сигнала. Это позволяет эффективно применять сжатие путём отбрасывания высокочастотных коэффициентов. Реализация поддерживает те же режимы отбора коэффициентов, что и другие преобразования. DCT широко используется в стандартах сжатия (JPEG, MP3, AAC), что делает его важным элементом сравнительного анализа. Вычислительная сложность DCT составляет O(N log N), сопоставимую с FFT.</w:t>
      </w:r>
    </w:p>
    <w:p w14:paraId="10647F69" w14:textId="77777777" w:rsidR="00AF3BB9" w:rsidRDefault="00000000">
      <w:pPr>
        <w:jc w:val="center"/>
      </w:pPr>
      <w:r>
        <w:rPr>
          <w:noProof/>
        </w:rPr>
        <w:drawing>
          <wp:inline distT="0" distB="0" distL="0" distR="0" wp14:anchorId="528877D7" wp14:editId="586A61A0">
            <wp:extent cx="4114800" cy="1746570"/>
            <wp:effectExtent l="0" t="0" r="0" b="0"/>
            <wp:docPr id="1751545634" name="Picture 1751545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ct_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4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9A1C" w14:textId="77777777" w:rsidR="00AF3BB9" w:rsidRDefault="00000000">
      <w:r>
        <w:t>Схема обработки методом DCT представлена на рисунке.</w:t>
      </w:r>
    </w:p>
    <w:p w14:paraId="7FBD227F" w14:textId="77777777" w:rsidR="00F93242" w:rsidRDefault="00000000">
      <w:pPr>
        <w:pStyle w:val="3"/>
        <w:spacing w:line="360" w:lineRule="auto"/>
      </w:pPr>
      <w:bookmarkStart w:id="39" w:name="_Toc225177097"/>
      <w:r>
        <w:t>2.3.5. Реализация DWT (вейвлет Хаара)</w:t>
      </w:r>
      <w:bookmarkEnd w:id="39"/>
    </w:p>
    <w:p w14:paraId="15E16BEF" w14:textId="77777777" w:rsidR="00F93242" w:rsidRDefault="00000000">
      <w:pPr>
        <w:spacing w:line="360" w:lineRule="auto"/>
        <w:ind w:firstLine="567"/>
        <w:jc w:val="both"/>
      </w:pPr>
      <w:r>
        <w:t xml:space="preserve">Класс DWTTransform реализует дискретное вейвлет-преобразование Хаара — простейший ортогональный вейвлет. Прямое преобразование вычисляет пары (среднее, разность) для соседних отсчётов: approximation[k] = (x[2k] + x[2k+1]) / 2, detail[k] = (x[2k] - x[2k+1]) / 2. Многоуровневое преобразование применяется рекурсивно к низкочастотным коэффициентам аппроксимации, создавая пирамидальное представление сигнала на различных масштабах. Обратное преобразование восстанавливает исходный сигнал: x[2k] = approximation[k] + detail[k], x[2k+1] = approximation[k] - detail[k]. DWT Хаара требует только операций сложения и вычитания с делением на два, что делает </w:t>
      </w:r>
      <w:r>
        <w:lastRenderedPageBreak/>
        <w:t>его вычислительно эффективным. Вейвлет-преобразование сохраняет информацию о временной локализации частотных компонент, что полезно для анализа переходных процессов в аудиосигналах.</w:t>
      </w:r>
    </w:p>
    <w:p w14:paraId="03F664CD" w14:textId="77777777" w:rsidR="00AF3BB9" w:rsidRDefault="00000000">
      <w:pPr>
        <w:jc w:val="center"/>
      </w:pPr>
      <w:r>
        <w:rPr>
          <w:noProof/>
        </w:rPr>
        <w:drawing>
          <wp:inline distT="0" distB="0" distL="0" distR="0" wp14:anchorId="04300DE5" wp14:editId="4291CAB4">
            <wp:extent cx="4114800" cy="1746570"/>
            <wp:effectExtent l="0" t="0" r="0" b="0"/>
            <wp:docPr id="1751545635" name="Picture 1751545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wt_flow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4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D00F" w14:textId="77777777" w:rsidR="00AF3BB9" w:rsidRDefault="00000000">
      <w:r>
        <w:t>Схема обработки методом DWT представлена на рисунке.</w:t>
      </w:r>
    </w:p>
    <w:p w14:paraId="0E8BA326" w14:textId="77777777" w:rsidR="00F93242" w:rsidRDefault="00000000">
      <w:pPr>
        <w:pStyle w:val="3"/>
        <w:spacing w:line="360" w:lineRule="auto"/>
      </w:pPr>
      <w:bookmarkStart w:id="40" w:name="_Toc225177098"/>
      <w:r>
        <w:t>2.3.6. Реализация μ-law</w:t>
      </w:r>
      <w:bookmarkEnd w:id="40"/>
    </w:p>
    <w:p w14:paraId="1DFE9829" w14:textId="77777777" w:rsidR="00F93242" w:rsidRDefault="00000000">
      <w:pPr>
        <w:spacing w:line="360" w:lineRule="auto"/>
        <w:ind w:firstLine="567"/>
        <w:jc w:val="both"/>
      </w:pPr>
      <w:r>
        <w:t>Класс MuLawTransform реализует компандирование по μ-law — метод нелинейного сжатия динамического диапазона. Функция сжатия имеет вид: y = sign(x) · ln(1 + μ·|x|) / ln(1 + μ), где μ = 255 — стандартный параметр для телефонии. Входной сигнал нормализуется к диапазону [-1, 1], затем применяется нелинейное преобразование. Обратное преобразование расширяет динамический диапазон: x = sign(y) · (exp(|y| · ln(1+μ)) - 1) / μ. μ-law обеспечивает логарифмическое квантование с переменным шагом: меньший шаг для тихих звуков и больший для громких. Это улучшает отношение сигнал/шум для тихих звуков примерно на 24 дБ по сравнению с линейным квантованием при том же количестве бит. Метод широко применяется в цифровой телефонии и голосовой связи.</w:t>
      </w:r>
    </w:p>
    <w:p w14:paraId="4B202EF1" w14:textId="77777777" w:rsidR="00AF3BB9" w:rsidRDefault="00000000">
      <w:pPr>
        <w:jc w:val="center"/>
      </w:pPr>
      <w:r>
        <w:rPr>
          <w:noProof/>
        </w:rPr>
        <w:drawing>
          <wp:inline distT="0" distB="0" distL="0" distR="0" wp14:anchorId="6E1A444A" wp14:editId="00BAB01D">
            <wp:extent cx="4114800" cy="1746570"/>
            <wp:effectExtent l="0" t="0" r="0" b="0"/>
            <wp:docPr id="1751545636" name="Picture 1751545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aw_flow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4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A96C" w14:textId="77777777" w:rsidR="00AF3BB9" w:rsidRDefault="00000000">
      <w:r>
        <w:t>Схема обработки методом μ-law представлена на рисунке.</w:t>
      </w:r>
    </w:p>
    <w:p w14:paraId="50314DDB" w14:textId="77777777" w:rsidR="00F93242" w:rsidRDefault="00000000">
      <w:pPr>
        <w:pStyle w:val="3"/>
        <w:spacing w:line="360" w:lineRule="auto"/>
      </w:pPr>
      <w:bookmarkStart w:id="41" w:name="_Toc225177099"/>
      <w:r>
        <w:t>2.3.7. Реализация Rosenbrock-like</w:t>
      </w:r>
      <w:bookmarkEnd w:id="41"/>
    </w:p>
    <w:p w14:paraId="0E849830" w14:textId="77777777" w:rsidR="00F93242" w:rsidRDefault="00000000">
      <w:pPr>
        <w:spacing w:line="360" w:lineRule="auto"/>
        <w:ind w:firstLine="567"/>
        <w:jc w:val="both"/>
      </w:pPr>
      <w:r>
        <w:lastRenderedPageBreak/>
        <w:t>Класс RosenbrockLikeTransform реализует нелинейное сглаживание на основе модифицированной функции Розенброка. Функция Розенброка f(x,y) = (a-x)² + b(y-x²)² адаптирована для обработки одномерных сигналов путём рассмотрения пар соседних отсчётов. Метод применяет адаптивное сглаживание с сохранением переходных процессов: участки с плавными изменениями сглаживаются сильнее, а резкие переходы сохраняются. Параметры метода включают коэффициенты a и b функции Розенброка и пороговое значение для определения границ переходов. Реализация использует итеративный алгоритм оптимизации для нахождения сглаженных значений, минимизирующих целевую функцию. Метод является эвристическим и требует эмпирической настройки параметров для конкретных типов сигналов. Rosenbrock-like может использоваться как этап постобработки после других преобразований.</w:t>
      </w:r>
    </w:p>
    <w:p w14:paraId="0FCF23CF" w14:textId="77777777" w:rsidR="00AF3BB9" w:rsidRDefault="00000000">
      <w:pPr>
        <w:jc w:val="center"/>
      </w:pPr>
      <w:r>
        <w:rPr>
          <w:noProof/>
        </w:rPr>
        <w:drawing>
          <wp:inline distT="0" distB="0" distL="0" distR="0" wp14:anchorId="15030B4D" wp14:editId="30D53662">
            <wp:extent cx="4114800" cy="1746570"/>
            <wp:effectExtent l="0" t="0" r="0" b="0"/>
            <wp:docPr id="1751545637" name="Picture 1751545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senbrock_flow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4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82C9" w14:textId="77777777" w:rsidR="00AF3BB9" w:rsidRDefault="00000000">
      <w:r>
        <w:t>Схема обработки методом Rosenbrock представлена на рисунке.</w:t>
      </w:r>
    </w:p>
    <w:p w14:paraId="6DAF108A" w14:textId="77777777" w:rsidR="00F93242" w:rsidRDefault="00000000">
      <w:pPr>
        <w:pStyle w:val="2"/>
        <w:spacing w:line="360" w:lineRule="auto"/>
      </w:pPr>
      <w:bookmarkStart w:id="42" w:name="_Toc225177100"/>
      <w:r>
        <w:t>2.4. Реализация метрик качества</w:t>
      </w:r>
      <w:bookmarkEnd w:id="42"/>
    </w:p>
    <w:p w14:paraId="701A6ED3" w14:textId="77777777" w:rsidR="00F93242" w:rsidRDefault="00000000">
      <w:pPr>
        <w:spacing w:line="360" w:lineRule="auto"/>
        <w:ind w:firstLine="567"/>
        <w:jc w:val="both"/>
      </w:pPr>
      <w:r>
        <w:t>Модуль metrics.py содержит функции для расчёта всех тринадцати метрик качества. Каждая функция принимает исходный и обработанный сигналы и возвращает численное значение метрики.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2"/>
        <w:gridCol w:w="4064"/>
        <w:gridCol w:w="3507"/>
      </w:tblGrid>
      <w:tr w:rsidR="00F93242" w14:paraId="66C2516A" w14:textId="77777777"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411A75AF" w14:textId="77777777" w:rsidR="00F93242" w:rsidRDefault="00000000">
            <w:pPr>
              <w:jc w:val="center"/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2F219D1B" w14:textId="77777777" w:rsidR="00F93242" w:rsidRDefault="00000000">
            <w:pPr>
              <w:jc w:val="center"/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3794E92E" w14:textId="77777777" w:rsidR="00F93242" w:rsidRDefault="00000000">
            <w:pPr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F93242" w14:paraId="6729B883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7BA4931" w14:textId="77777777" w:rsidR="00F93242" w:rsidRDefault="00000000">
            <w:pPr>
              <w:jc w:val="center"/>
            </w:pPr>
            <w:r>
              <w:t>SNR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096B60A" w14:textId="77777777" w:rsidR="00F93242" w:rsidRDefault="00000000">
            <w:pPr>
              <w:jc w:val="center"/>
            </w:pPr>
            <w:r>
              <w:t>compute_snr_db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0D28449" w14:textId="77777777" w:rsidR="00F93242" w:rsidRDefault="00000000">
            <w:pPr>
              <w:jc w:val="center"/>
            </w:pPr>
            <w:r>
              <w:t>Отношение сигнал/шум (дБ)</w:t>
            </w:r>
          </w:p>
        </w:tc>
      </w:tr>
      <w:tr w:rsidR="00F93242" w14:paraId="397E1D07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6986B2E" w14:textId="77777777" w:rsidR="00F93242" w:rsidRDefault="00000000">
            <w:pPr>
              <w:jc w:val="center"/>
            </w:pPr>
            <w:r>
              <w:t>RMSE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054ABA3" w14:textId="77777777" w:rsidR="00F93242" w:rsidRDefault="00000000">
            <w:pPr>
              <w:jc w:val="center"/>
            </w:pPr>
            <w:r>
              <w:t>compute_rmse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B496395" w14:textId="77777777" w:rsidR="00F93242" w:rsidRDefault="00000000">
            <w:pPr>
              <w:jc w:val="center"/>
            </w:pPr>
            <w:r>
              <w:t>Среднеквадратичная ошибка</w:t>
            </w:r>
          </w:p>
        </w:tc>
      </w:tr>
      <w:tr w:rsidR="00F93242" w14:paraId="6D97180D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62C5D7A" w14:textId="77777777" w:rsidR="00F93242" w:rsidRDefault="00000000">
            <w:pPr>
              <w:jc w:val="center"/>
            </w:pPr>
            <w:r>
              <w:t>SI-SDR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F0AD32E" w14:textId="77777777" w:rsidR="00F93242" w:rsidRDefault="00000000">
            <w:pPr>
              <w:jc w:val="center"/>
            </w:pPr>
            <w:r>
              <w:t>compute_si_sdr_db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D547EF3" w14:textId="77777777" w:rsidR="00F93242" w:rsidRDefault="00000000">
            <w:pPr>
              <w:jc w:val="center"/>
            </w:pPr>
            <w:r>
              <w:t>Масштабно-инвариантное SDR (дБ)</w:t>
            </w:r>
          </w:p>
        </w:tc>
      </w:tr>
      <w:tr w:rsidR="00F93242" w14:paraId="51521DD3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8829A84" w14:textId="77777777" w:rsidR="00F93242" w:rsidRDefault="00000000">
            <w:pPr>
              <w:jc w:val="center"/>
            </w:pPr>
            <w:r>
              <w:t>LSD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56E9418" w14:textId="77777777" w:rsidR="00F93242" w:rsidRDefault="00000000">
            <w:pPr>
              <w:jc w:val="center"/>
            </w:pPr>
            <w:r>
              <w:t>compute_lsd_db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E3423E7" w14:textId="77777777" w:rsidR="00F93242" w:rsidRDefault="00000000">
            <w:pPr>
              <w:jc w:val="center"/>
            </w:pPr>
            <w:r>
              <w:t>Логарифмическое спектральное расстояние (дБ)</w:t>
            </w:r>
          </w:p>
        </w:tc>
      </w:tr>
      <w:tr w:rsidR="00F93242" w14:paraId="247E67B1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64EF760" w14:textId="77777777" w:rsidR="00F93242" w:rsidRDefault="00000000">
            <w:pPr>
              <w:jc w:val="center"/>
            </w:pPr>
            <w:r>
              <w:lastRenderedPageBreak/>
              <w:t>Spectral Conv.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E7501E8" w14:textId="77777777" w:rsidR="00F93242" w:rsidRDefault="00000000">
            <w:pPr>
              <w:jc w:val="center"/>
            </w:pPr>
            <w:r>
              <w:t>compute_spectral_convergence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9D6E790" w14:textId="77777777" w:rsidR="00F93242" w:rsidRDefault="00000000">
            <w:pPr>
              <w:jc w:val="center"/>
            </w:pPr>
            <w:r>
              <w:t>Спектральная сходимость</w:t>
            </w:r>
          </w:p>
        </w:tc>
      </w:tr>
      <w:tr w:rsidR="00F93242" w14:paraId="279CFE20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05CA5C1" w14:textId="77777777" w:rsidR="00F93242" w:rsidRDefault="00000000">
            <w:pPr>
              <w:jc w:val="center"/>
            </w:pPr>
            <w:r>
              <w:t>Centroid Δ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D4F9649" w14:textId="77777777" w:rsidR="00F93242" w:rsidRPr="009D3C89" w:rsidRDefault="00000000">
            <w:pPr>
              <w:jc w:val="center"/>
              <w:rPr>
                <w:lang w:val="en-US"/>
              </w:rPr>
            </w:pPr>
            <w:r w:rsidRPr="009D3C89">
              <w:rPr>
                <w:lang w:val="en-US"/>
              </w:rPr>
              <w:t>compute_spectral_centroid_diff_hz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14538B4" w14:textId="77777777" w:rsidR="00F93242" w:rsidRDefault="00000000">
            <w:pPr>
              <w:jc w:val="center"/>
            </w:pPr>
            <w:r>
              <w:t>Разница центроидов (Гц)</w:t>
            </w:r>
          </w:p>
        </w:tc>
      </w:tr>
      <w:tr w:rsidR="00F93242" w14:paraId="2AAEE2BB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CCDD5F6" w14:textId="77777777" w:rsidR="00F93242" w:rsidRDefault="00000000">
            <w:pPr>
              <w:jc w:val="center"/>
            </w:pPr>
            <w:r>
              <w:t>Cosine Sim.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F960B06" w14:textId="77777777" w:rsidR="00F93242" w:rsidRDefault="00000000">
            <w:pPr>
              <w:jc w:val="center"/>
            </w:pPr>
            <w:r>
              <w:t>compute_spectral_cosine_similarity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A3191B1" w14:textId="77777777" w:rsidR="00F93242" w:rsidRDefault="00000000">
            <w:pPr>
              <w:jc w:val="center"/>
            </w:pPr>
            <w:r>
              <w:t>Косинусное сходство</w:t>
            </w:r>
          </w:p>
        </w:tc>
      </w:tr>
      <w:tr w:rsidR="00F93242" w14:paraId="566B5A3C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23CF8F4" w14:textId="77777777" w:rsidR="00F93242" w:rsidRDefault="00000000">
            <w:pPr>
              <w:jc w:val="center"/>
            </w:pPr>
            <w:r>
              <w:t>STOI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8275406" w14:textId="77777777" w:rsidR="00F93242" w:rsidRDefault="00000000">
            <w:pPr>
              <w:jc w:val="center"/>
            </w:pPr>
            <w:r>
              <w:t>compute_stoi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7CF4A8A" w14:textId="77777777" w:rsidR="00F93242" w:rsidRDefault="00000000">
            <w:pPr>
              <w:jc w:val="center"/>
            </w:pPr>
            <w:r>
              <w:t>Индекс разборчивости речи</w:t>
            </w:r>
          </w:p>
        </w:tc>
      </w:tr>
      <w:tr w:rsidR="00F93242" w14:paraId="095B3671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F71A249" w14:textId="77777777" w:rsidR="00F93242" w:rsidRDefault="00000000">
            <w:pPr>
              <w:jc w:val="center"/>
            </w:pPr>
            <w:r>
              <w:t>PESQ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56BB956" w14:textId="77777777" w:rsidR="00F93242" w:rsidRDefault="00000000">
            <w:pPr>
              <w:jc w:val="center"/>
            </w:pPr>
            <w:r>
              <w:t>compute_pesq_approx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0B20AF5" w14:textId="77777777" w:rsidR="00F93242" w:rsidRDefault="00000000">
            <w:pPr>
              <w:jc w:val="center"/>
            </w:pPr>
            <w:r>
              <w:t>Оценка качества речи</w:t>
            </w:r>
          </w:p>
        </w:tc>
      </w:tr>
      <w:tr w:rsidR="00F93242" w14:paraId="3A661AC1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B4453F0" w14:textId="77777777" w:rsidR="00F93242" w:rsidRDefault="00000000">
            <w:pPr>
              <w:jc w:val="center"/>
            </w:pPr>
            <w:r>
              <w:t>MOS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754CB38" w14:textId="77777777" w:rsidR="00F93242" w:rsidRDefault="00000000">
            <w:pPr>
              <w:jc w:val="center"/>
            </w:pPr>
            <w:r>
              <w:t>compute_pesq_mos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B05038D" w14:textId="77777777" w:rsidR="00F93242" w:rsidRDefault="00000000">
            <w:pPr>
              <w:jc w:val="center"/>
            </w:pPr>
            <w:r>
              <w:t>Средняя оценка мнений</w:t>
            </w:r>
          </w:p>
        </w:tc>
      </w:tr>
      <w:tr w:rsidR="00F93242" w14:paraId="2D212482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A1D328E" w14:textId="77777777" w:rsidR="00F93242" w:rsidRDefault="00000000">
            <w:pPr>
              <w:jc w:val="center"/>
            </w:pPr>
            <w:r>
              <w:t>Flatness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D2966A0" w14:textId="77777777" w:rsidR="00F93242" w:rsidRDefault="00000000">
            <w:pPr>
              <w:jc w:val="center"/>
            </w:pPr>
            <w:r>
              <w:t>compute_spectral_flatness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852D779" w14:textId="77777777" w:rsidR="00F93242" w:rsidRDefault="00000000">
            <w:pPr>
              <w:jc w:val="center"/>
            </w:pPr>
            <w:r>
              <w:t>Спектральная плоскостность</w:t>
            </w:r>
          </w:p>
        </w:tc>
      </w:tr>
      <w:tr w:rsidR="00F93242" w14:paraId="64FDF3C5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B826A1D" w14:textId="77777777" w:rsidR="00F93242" w:rsidRDefault="00000000">
            <w:pPr>
              <w:jc w:val="center"/>
            </w:pPr>
            <w:r>
              <w:t>Dynamic Range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52DC10A" w14:textId="77777777" w:rsidR="00F93242" w:rsidRDefault="00000000">
            <w:pPr>
              <w:jc w:val="center"/>
            </w:pPr>
            <w:r>
              <w:t>compute_dynamic_range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75362B1" w14:textId="77777777" w:rsidR="00F93242" w:rsidRDefault="00000000">
            <w:pPr>
              <w:jc w:val="center"/>
            </w:pPr>
            <w:r>
              <w:t>Динамический диапазон (дБ)</w:t>
            </w:r>
          </w:p>
        </w:tc>
      </w:tr>
      <w:tr w:rsidR="00F93242" w14:paraId="466A7FB9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D7DB3BD" w14:textId="77777777" w:rsidR="00F93242" w:rsidRDefault="00000000">
            <w:pPr>
              <w:jc w:val="center"/>
            </w:pPr>
            <w:r>
              <w:t>Crest Factor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A655E6F" w14:textId="77777777" w:rsidR="00F93242" w:rsidRDefault="00000000">
            <w:pPr>
              <w:jc w:val="center"/>
            </w:pPr>
            <w:r>
              <w:t>compute_crest_factor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DE49D11" w14:textId="77777777" w:rsidR="00F93242" w:rsidRDefault="00000000">
            <w:pPr>
              <w:jc w:val="center"/>
            </w:pPr>
            <w:r>
              <w:t>Пик-фактор</w:t>
            </w:r>
          </w:p>
        </w:tc>
      </w:tr>
    </w:tbl>
    <w:p w14:paraId="7EB2C16F" w14:textId="77777777" w:rsidR="00F93242" w:rsidRDefault="00F93242">
      <w:pPr>
        <w:spacing w:after="200"/>
      </w:pPr>
    </w:p>
    <w:p w14:paraId="2AB3A860" w14:textId="77777777" w:rsidR="00F93242" w:rsidRDefault="00000000">
      <w:pPr>
        <w:spacing w:line="360" w:lineRule="auto"/>
        <w:ind w:firstLine="567"/>
        <w:jc w:val="both"/>
      </w:pPr>
      <w:r>
        <w:t>Функция compute_metrics_batch выполняет пакетный расчёт всех метрик для набора результатов с формированием агрегированного score.</w:t>
      </w:r>
    </w:p>
    <w:p w14:paraId="494F37D3" w14:textId="77777777" w:rsidR="00F93242" w:rsidRDefault="00000000">
      <w:pPr>
        <w:pStyle w:val="2"/>
        <w:spacing w:line="360" w:lineRule="auto"/>
      </w:pPr>
      <w:bookmarkStart w:id="43" w:name="_Toc225177101"/>
      <w:r>
        <w:t>2.5. Тестирование</w:t>
      </w:r>
      <w:bookmarkEnd w:id="43"/>
    </w:p>
    <w:p w14:paraId="7F1D8865" w14:textId="77777777" w:rsidR="00F93242" w:rsidRDefault="00000000">
      <w:pPr>
        <w:spacing w:line="360" w:lineRule="auto"/>
        <w:ind w:firstLine="567"/>
        <w:jc w:val="both"/>
      </w:pPr>
      <w:r>
        <w:t>Разработано более 278 unit-тестов, покрывающих все модули программного комплекса. Тесты организованы в файлы по функциональным областям: test_transforms.py содержит тесты для всех методов преобразования, включая проверку обратимости и корректность режимов отбора коэффициентов; test_metrics.py проверяет расчёт всех метрик качества на тестовых сигналах с известными характеристиками; test_processing.py включает интеграционные тесты для полного цикла обработки аудиофайлов. Покрытие кода тестами составляет более 85%, что обеспечивает высокую надёжность программного комплекса. Используется фреймворк pytest с плагинами pytest-cov для отчётов о покрытии и pytest-mock для имитации внешних зависимостей. Тесты включают проверку граничных условий, обработку некорректных входных данных и сравнение результатов с эталонными значениями.</w:t>
      </w:r>
    </w:p>
    <w:p w14:paraId="2B06765D" w14:textId="77777777" w:rsidR="00F93242" w:rsidRDefault="00000000">
      <w:pPr>
        <w:spacing w:line="360" w:lineRule="auto"/>
        <w:ind w:firstLine="567"/>
        <w:jc w:val="both"/>
      </w:pPr>
      <w:r>
        <w:t>Покрытие кода тестами составляет более 85%. Используется фреймворк pytest с плагинами pytest-cov для отчётов о покрытии.</w:t>
      </w:r>
    </w:p>
    <w:p w14:paraId="31F7A860" w14:textId="77777777" w:rsidR="00F93242" w:rsidRDefault="00000000">
      <w:pPr>
        <w:pStyle w:val="2"/>
        <w:spacing w:line="360" w:lineRule="auto"/>
      </w:pPr>
      <w:bookmarkStart w:id="44" w:name="_Toc225177102"/>
      <w:r>
        <w:t>2.6. Выводы по главе 2</w:t>
      </w:r>
      <w:bookmarkEnd w:id="44"/>
    </w:p>
    <w:p w14:paraId="05033582" w14:textId="77777777" w:rsidR="00F93242" w:rsidRDefault="00000000">
      <w:pPr>
        <w:spacing w:line="360" w:lineRule="auto"/>
        <w:ind w:firstLine="567"/>
        <w:jc w:val="both"/>
      </w:pPr>
      <w:r>
        <w:lastRenderedPageBreak/>
        <w:t>Во второй главе разработан программный комплекс для сравнительного анализа методов обработки аудиоданных. Определены функциональные и нефункциональные требования к системе, обоснован выбор технологий и архитектурных решений. Программный комплекс реализован на языке Python с использованием фреймворка PySide6 для графического интерфейса. Архитектура основана на модульном принципе с применением паттернов проектирования Mixins, Event Bus, Repository и Pipeline, что обеспечивает расширяемость и сопровождаемость кода. Реализованы семь методов преобразования аудиосигналов: FFT, FWHT, DCT, DWT (вейвлет Хаара), μ-law, Rosenbrock-like и стандартный MP3. Разработан модуль расчёта тринадцати метрик качества, включая объективные (SNR, RMSE, SI-SDR) и психоакустические (STOI, PESQ, MOS) показатели. Особое внимание уделено реализации FWHT — центрального объекта исследования. Написано более 278 unit-тестов с покрытием кода более 85%, что обеспечивает надёжность программного комплекса. Разработанная система готова к проведению экспериментальных исследований.</w:t>
      </w:r>
    </w:p>
    <w:p w14:paraId="67286C67" w14:textId="77777777" w:rsidR="00F93242" w:rsidRDefault="00000000"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E2929" w14:textId="77777777" w:rsidR="001F1248" w:rsidRDefault="001F1248">
      <w:r>
        <w:separator/>
      </w:r>
    </w:p>
  </w:endnote>
  <w:endnote w:type="continuationSeparator" w:id="0">
    <w:p w14:paraId="19E872CA" w14:textId="77777777" w:rsidR="001F1248" w:rsidRDefault="001F1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1E6D7" w14:textId="77777777" w:rsidR="00F9324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D3C89">
      <w:rPr>
        <w:noProof/>
      </w:rPr>
      <w:t>37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B5D18" w14:textId="77777777" w:rsidR="001F1248" w:rsidRDefault="001F1248">
      <w:r>
        <w:separator/>
      </w:r>
    </w:p>
  </w:footnote>
  <w:footnote w:type="continuationSeparator" w:id="0">
    <w:p w14:paraId="5DD920DC" w14:textId="77777777" w:rsidR="001F1248" w:rsidRDefault="001F12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B10BF" w14:textId="77777777" w:rsidR="00F93242" w:rsidRDefault="00000000">
    <w:pPr>
      <w:jc w:val="right"/>
    </w:pPr>
    <w:r>
      <w:rPr>
        <w:i/>
        <w:iCs/>
        <w:sz w:val="20"/>
        <w:szCs w:val="20"/>
      </w:rPr>
      <w:t>Практические аспекты обработки аудиоданных матрицами Адамара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E1E6D"/>
    <w:multiLevelType w:val="hybridMultilevel"/>
    <w:tmpl w:val="F18C2B70"/>
    <w:lvl w:ilvl="0" w:tplc="AF6EAC28">
      <w:start w:val="1"/>
      <w:numFmt w:val="bullet"/>
      <w:lvlText w:val="●"/>
      <w:lvlJc w:val="left"/>
      <w:pPr>
        <w:ind w:left="720" w:hanging="360"/>
      </w:pPr>
    </w:lvl>
    <w:lvl w:ilvl="1" w:tplc="FD0E9AB8">
      <w:start w:val="1"/>
      <w:numFmt w:val="bullet"/>
      <w:lvlText w:val="○"/>
      <w:lvlJc w:val="left"/>
      <w:pPr>
        <w:ind w:left="1440" w:hanging="360"/>
      </w:pPr>
    </w:lvl>
    <w:lvl w:ilvl="2" w:tplc="2AF665F8">
      <w:start w:val="1"/>
      <w:numFmt w:val="bullet"/>
      <w:lvlText w:val="■"/>
      <w:lvlJc w:val="left"/>
      <w:pPr>
        <w:ind w:left="2160" w:hanging="360"/>
      </w:pPr>
    </w:lvl>
    <w:lvl w:ilvl="3" w:tplc="317A81DA">
      <w:start w:val="1"/>
      <w:numFmt w:val="bullet"/>
      <w:lvlText w:val="●"/>
      <w:lvlJc w:val="left"/>
      <w:pPr>
        <w:ind w:left="2880" w:hanging="360"/>
      </w:pPr>
    </w:lvl>
    <w:lvl w:ilvl="4" w:tplc="FDA40380">
      <w:start w:val="1"/>
      <w:numFmt w:val="bullet"/>
      <w:lvlText w:val="○"/>
      <w:lvlJc w:val="left"/>
      <w:pPr>
        <w:ind w:left="3600" w:hanging="360"/>
      </w:pPr>
    </w:lvl>
    <w:lvl w:ilvl="5" w:tplc="9C2E19F8">
      <w:start w:val="1"/>
      <w:numFmt w:val="bullet"/>
      <w:lvlText w:val="■"/>
      <w:lvlJc w:val="left"/>
      <w:pPr>
        <w:ind w:left="4320" w:hanging="360"/>
      </w:pPr>
    </w:lvl>
    <w:lvl w:ilvl="6" w:tplc="B5C499E4">
      <w:start w:val="1"/>
      <w:numFmt w:val="bullet"/>
      <w:lvlText w:val="●"/>
      <w:lvlJc w:val="left"/>
      <w:pPr>
        <w:ind w:left="5040" w:hanging="360"/>
      </w:pPr>
    </w:lvl>
    <w:lvl w:ilvl="7" w:tplc="25326F38">
      <w:start w:val="1"/>
      <w:numFmt w:val="bullet"/>
      <w:lvlText w:val="●"/>
      <w:lvlJc w:val="left"/>
      <w:pPr>
        <w:ind w:left="5760" w:hanging="360"/>
      </w:pPr>
    </w:lvl>
    <w:lvl w:ilvl="8" w:tplc="515EF9F2">
      <w:start w:val="1"/>
      <w:numFmt w:val="bullet"/>
      <w:lvlText w:val="●"/>
      <w:lvlJc w:val="left"/>
      <w:pPr>
        <w:ind w:left="6480" w:hanging="360"/>
      </w:pPr>
    </w:lvl>
  </w:abstractNum>
  <w:num w:numId="1" w16cid:durableId="6883352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242"/>
    <w:rsid w:val="000B3EDE"/>
    <w:rsid w:val="001F1248"/>
    <w:rsid w:val="00214219"/>
    <w:rsid w:val="00215278"/>
    <w:rsid w:val="0025547C"/>
    <w:rsid w:val="002D0A8B"/>
    <w:rsid w:val="002D0B6E"/>
    <w:rsid w:val="002F3142"/>
    <w:rsid w:val="00305117"/>
    <w:rsid w:val="00323A4D"/>
    <w:rsid w:val="00394C3F"/>
    <w:rsid w:val="00496F4E"/>
    <w:rsid w:val="005157A1"/>
    <w:rsid w:val="005352C8"/>
    <w:rsid w:val="005B1478"/>
    <w:rsid w:val="00755942"/>
    <w:rsid w:val="009D3C89"/>
    <w:rsid w:val="00A127D5"/>
    <w:rsid w:val="00AC2288"/>
    <w:rsid w:val="00AF3BB9"/>
    <w:rsid w:val="00B3000E"/>
    <w:rsid w:val="00C5103C"/>
    <w:rsid w:val="00CC7B1A"/>
    <w:rsid w:val="00D67EF3"/>
    <w:rsid w:val="00D713D2"/>
    <w:rsid w:val="00E32D4F"/>
    <w:rsid w:val="00ED6F65"/>
    <w:rsid w:val="00EF10B8"/>
    <w:rsid w:val="00F44988"/>
    <w:rsid w:val="00F63AF8"/>
    <w:rsid w:val="00F65078"/>
    <w:rsid w:val="00F93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77C61"/>
  <w15:docId w15:val="{D87B5C28-79ED-4ECD-909A-A1F4476DF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20">
    <w:name w:val="toc 2"/>
    <w:basedOn w:val="a"/>
    <w:next w:val="a"/>
    <w:autoRedefine/>
    <w:uiPriority w:val="39"/>
    <w:unhideWhenUsed/>
    <w:rsid w:val="009D3C89"/>
    <w:pPr>
      <w:spacing w:after="100"/>
      <w:ind w:left="280"/>
    </w:pPr>
  </w:style>
  <w:style w:type="paragraph" w:styleId="11">
    <w:name w:val="toc 1"/>
    <w:basedOn w:val="a"/>
    <w:next w:val="a"/>
    <w:autoRedefine/>
    <w:uiPriority w:val="39"/>
    <w:unhideWhenUsed/>
    <w:rsid w:val="009D3C89"/>
    <w:pPr>
      <w:spacing w:after="100"/>
    </w:pPr>
  </w:style>
  <w:style w:type="paragraph" w:styleId="30">
    <w:name w:val="toc 3"/>
    <w:basedOn w:val="a"/>
    <w:next w:val="a"/>
    <w:autoRedefine/>
    <w:uiPriority w:val="39"/>
    <w:unhideWhenUsed/>
    <w:rsid w:val="009D3C89"/>
    <w:pPr>
      <w:spacing w:after="100"/>
      <w:ind w:left="560"/>
    </w:pPr>
  </w:style>
  <w:style w:type="paragraph" w:customStyle="1" w:styleId="Style3">
    <w:name w:val="Style3"/>
    <w:basedOn w:val="a"/>
    <w:rsid w:val="009D3C89"/>
    <w:pPr>
      <w:widowControl w:val="0"/>
      <w:spacing w:line="222" w:lineRule="exact"/>
      <w:ind w:firstLine="698"/>
    </w:pPr>
    <w:rPr>
      <w:color w:val="000000"/>
      <w:sz w:val="24"/>
      <w:szCs w:val="20"/>
    </w:rPr>
  </w:style>
  <w:style w:type="paragraph" w:customStyle="1" w:styleId="Style2">
    <w:name w:val="Style2"/>
    <w:basedOn w:val="a"/>
    <w:rsid w:val="009D3C89"/>
    <w:pPr>
      <w:widowControl w:val="0"/>
      <w:spacing w:line="238" w:lineRule="exact"/>
      <w:ind w:hanging="197"/>
    </w:pPr>
    <w:rPr>
      <w:color w:val="000000"/>
      <w:sz w:val="24"/>
      <w:szCs w:val="20"/>
    </w:rPr>
  </w:style>
  <w:style w:type="paragraph" w:customStyle="1" w:styleId="FontStyle36">
    <w:name w:val="Font Style36"/>
    <w:rsid w:val="009D3C89"/>
    <w:rPr>
      <w:color w:val="000000"/>
      <w:sz w:val="18"/>
      <w:szCs w:val="20"/>
    </w:rPr>
  </w:style>
  <w:style w:type="paragraph" w:customStyle="1" w:styleId="FontStyle35">
    <w:name w:val="Font Style35"/>
    <w:rsid w:val="009D3C89"/>
    <w:rPr>
      <w:b/>
      <w:color w:val="000000"/>
      <w:sz w:val="16"/>
      <w:szCs w:val="20"/>
    </w:rPr>
  </w:style>
  <w:style w:type="paragraph" w:customStyle="1" w:styleId="ac">
    <w:name w:val="Нормальный"/>
    <w:rsid w:val="009D3C89"/>
    <w:rPr>
      <w:color w:val="000000"/>
      <w:sz w:val="20"/>
      <w:szCs w:val="20"/>
    </w:rPr>
  </w:style>
  <w:style w:type="paragraph" w:customStyle="1" w:styleId="FontStyle37">
    <w:name w:val="Font Style37"/>
    <w:rsid w:val="009D3C89"/>
    <w:rPr>
      <w:b/>
      <w:color w:val="000000"/>
      <w:sz w:val="18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755942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755942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755942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755942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755942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755942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ad">
    <w:name w:val="Unresolved Mention"/>
    <w:basedOn w:val="a0"/>
    <w:uiPriority w:val="99"/>
    <w:semiHidden/>
    <w:unhideWhenUsed/>
    <w:rsid w:val="007559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
<Relationship Id="rId8" Type="http://schemas.openxmlformats.org/officeDocument/2006/relationships/image" Target="media/image2.png"/>
<Relationship Id="rId13" Type="http://schemas.openxmlformats.org/officeDocument/2006/relationships/image" Target="media/image7.png"/>
<Relationship Id="rId18" Type="http://schemas.openxmlformats.org/officeDocument/2006/relationships/image" Target="media/image12.png"/>
<Relationship Id="rId26" Type="http://schemas.openxmlformats.org/officeDocument/2006/relationships/image" Target="media/image20.png"/>
<Relationship Id="rId3" Type="http://schemas.openxmlformats.org/officeDocument/2006/relationships/settings" Target="settings.xml"/>
<Relationship Id="rId21" Type="http://schemas.openxmlformats.org/officeDocument/2006/relationships/image" Target="media/image15.png"/>
<Relationship Id="rId7" Type="http://schemas.openxmlformats.org/officeDocument/2006/relationships/image" Target="media/image1.png"/>
<Relationship Id="rId12" Type="http://schemas.openxmlformats.org/officeDocument/2006/relationships/image" Target="media/image6.png"/>
<Relationship Id="rId17" Type="http://schemas.openxmlformats.org/officeDocument/2006/relationships/image" Target="media/image11.png"/>
<Relationship Id="rId25" Type="http://schemas.openxmlformats.org/officeDocument/2006/relationships/image" Target="media/image19.png"/>
<Relationship Id="rId2" Type="http://schemas.openxmlformats.org/officeDocument/2006/relationships/styles" Target="styles.xml"/>
<Relationship Id="rId16" Type="http://schemas.openxmlformats.org/officeDocument/2006/relationships/image" Target="media/image10.png"/>
<Relationship Id="rId20" Type="http://schemas.openxmlformats.org/officeDocument/2006/relationships/image" Target="media/image14.png"/>
<Relationship Id="rId29" Type="http://schemas.openxmlformats.org/officeDocument/2006/relationships/header" Target="header1.xml"/>
<Relationship Id="rId1" Type="http://schemas.openxmlformats.org/officeDocument/2006/relationships/numbering" Target="numbering.xml"/>
<Relationship Id="rId6" Type="http://schemas.openxmlformats.org/officeDocument/2006/relationships/endnotes" Target="endnotes.xml"/>
<Relationship Id="rId11" Type="http://schemas.openxmlformats.org/officeDocument/2006/relationships/image" Target="media/image5.png"/>
<Relationship Id="rId24" Type="http://schemas.openxmlformats.org/officeDocument/2006/relationships/image" Target="media/image18.png"/>
<Relationship Id="rId32" Type="http://schemas.openxmlformats.org/officeDocument/2006/relationships/theme" Target="theme/theme1.xml"/>
<Relationship Id="rId5" Type="http://schemas.openxmlformats.org/officeDocument/2006/relationships/footnotes" Target="footnotes.xml"/>
<Relationship Id="rId15" Type="http://schemas.openxmlformats.org/officeDocument/2006/relationships/image" Target="media/image9.png"/>
<Relationship Id="rId23" Type="http://schemas.openxmlformats.org/officeDocument/2006/relationships/image" Target="media/image17.png"/>
<Relationship Id="rId28" Type="http://schemas.openxmlformats.org/officeDocument/2006/relationships/image" Target="media/image22.png"/>
<Relationship Id="rId10" Type="http://schemas.openxmlformats.org/officeDocument/2006/relationships/image" Target="media/image4.png"/>
<Relationship Id="rId19" Type="http://schemas.openxmlformats.org/officeDocument/2006/relationships/image" Target="media/image13.png"/>
<Relationship Id="rId31" Type="http://schemas.openxmlformats.org/officeDocument/2006/relationships/fontTable" Target="fontTable.xml"/>
<Relationship Id="rId4" Type="http://schemas.openxmlformats.org/officeDocument/2006/relationships/webSettings" Target="webSettings.xml"/>
<Relationship Id="rId9" Type="http://schemas.openxmlformats.org/officeDocument/2006/relationships/image" Target="media/image3.png"/>
<Relationship Id="rId14" Type="http://schemas.openxmlformats.org/officeDocument/2006/relationships/image" Target="media/image8.png"/>
<Relationship Id="rId22" Type="http://schemas.openxmlformats.org/officeDocument/2006/relationships/image" Target="media/image16.png"/>
<Relationship Id="rId27" Type="http://schemas.openxmlformats.org/officeDocument/2006/relationships/image" Target="media/image21.png"/>
<Relationship Id="rId30" Type="http://schemas.openxmlformats.org/officeDocument/2006/relationships/footer" Target="footer1.xml"/>
<Relationship Id="rId33" Type="http://schemas.openxmlformats.org/officeDocument/2006/relationships/image" Target="media/image23.png"/>
<Relationship Id="rId34" Type="http://schemas.openxmlformats.org/officeDocument/2006/relationships/image" Target="media/image24.png"/>
<Relationship Id="rId35" Type="http://schemas.openxmlformats.org/officeDocument/2006/relationships/image" Target="media/image25.png"/>
<Relationship Id="rId36" Type="http://schemas.openxmlformats.org/officeDocument/2006/relationships/image" Target="media/image26.png"/>
<Relationship Id="rId37" Type="http://schemas.openxmlformats.org/officeDocument/2006/relationships/image" Target="media/image27.png"/>
<Relationship Id="rId38" Type="http://schemas.openxmlformats.org/officeDocument/2006/relationships/image" Target="media/image28.png"/>
<Relationship Id="rId39" Type="http://schemas.openxmlformats.org/officeDocument/2006/relationships/image" Target="media/image29.png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176</Pages>
  <Words>49193</Words>
  <Characters>280404</Characters>
  <Application>Microsoft Office Word</Application>
  <DocSecurity>0</DocSecurity>
  <Lines>2336</Lines>
  <Paragraphs>657</Paragraphs>
  <ScaleCrop>false</ScaleCrop>
  <Company/>
  <LinksUpToDate>false</LinksUpToDate>
  <CharactersWithSpaces>328940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Иван Медведев</cp:lastModifiedBy>
  <cp:revision>22</cp:revision>
  <dcterms:created xsi:type="dcterms:W3CDTF">2026-03-22T04:52:00Z</dcterms:created>
  <dcterms:modified xsi:type="dcterms:W3CDTF">2026-03-23T19:13:00Z</dcterms:modified>
</cp:coreProperties>
</file>