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Fill in the descriptions below for each operator. You can use this in the future as a reference guide to help you with your labs. </w:t>
      </w:r>
    </w:p>
    <w:p w:rsidR="00000000" w:rsidDel="00000000" w:rsidP="00000000" w:rsidRDefault="00000000" w:rsidRPr="00000000">
      <w:pPr>
        <w:contextualSpacing w:val="0"/>
      </w:pPr>
      <w:r w:rsidDel="00000000" w:rsidR="00000000" w:rsidRPr="00000000">
        <w:rPr>
          <w:rtl w:val="0"/>
        </w:rPr>
      </w:r>
    </w:p>
    <w:tbl>
      <w:tblPr>
        <w:tblStyle w:val="Table1"/>
        <w:bidi w:val="0"/>
        <w:tblW w:w="1117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195"/>
        <w:gridCol w:w="7980"/>
        <w:tblGridChange w:id="0">
          <w:tblGrid>
            <w:gridCol w:w="3195"/>
            <w:gridCol w:w="7980"/>
          </w:tblGrid>
        </w:tblGridChange>
      </w:tblGrid>
      <w:tr>
        <w:tc>
          <w:tcPr>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36"/>
                <w:szCs w:val="36"/>
                <w:shd w:fill="cccccc" w:val="clear"/>
                <w:rtl w:val="0"/>
              </w:rPr>
              <w:t xml:space="preserve">Operator</w:t>
            </w:r>
            <w:r w:rsidDel="00000000" w:rsidR="00000000" w:rsidRPr="00000000">
              <w:rPr>
                <w:rtl w:val="0"/>
              </w:rPr>
            </w:r>
          </w:p>
        </w:tc>
        <w:tc>
          <w:tcPr>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36"/>
                <w:szCs w:val="36"/>
                <w:shd w:fill="cccccc" w:val="clear"/>
                <w:rtl w:val="0"/>
              </w:rPr>
              <w:t xml:space="preserve">Description</w:t>
            </w:r>
            <w:r w:rsidDel="00000000" w:rsidR="00000000" w:rsidRPr="00000000">
              <w:rPr>
                <w:rtl w:val="0"/>
              </w:rPr>
            </w:r>
          </w:p>
        </w:tc>
      </w:tr>
      <w:tr>
        <w:trPr>
          <w:trHeight w:val="1440" w:hRule="atLeast"/>
        </w:trPr>
        <w:tc>
          <w:tcPr>
            <w:tcBorders>
              <w:bottom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Adds intergers (5+7) can concatenate variables </w:t>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Subtracts integers (7-5)</w:t>
            </w:r>
          </w:p>
        </w:tc>
      </w:tr>
      <w:tr>
        <w:trPr>
          <w:trHeight w:val="1440" w:hRule="atLeast"/>
        </w:trPr>
        <w:tc>
          <w:tcPr>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Multiplies variables num1= 5  (num1*num1) 25</w:t>
            </w:r>
          </w:p>
        </w:tc>
      </w:tr>
      <w:tr>
        <w:trPr>
          <w:trHeight w:val="1440" w:hRule="atLeast"/>
        </w:trPr>
        <w:tc>
          <w:tcPr>
            <w:tcBorders>
              <w:bottom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color w:val="313131"/>
                <w:sz w:val="21"/>
                <w:szCs w:val="21"/>
                <w:highlight w:val="white"/>
                <w:rtl w:val="0"/>
              </w:rPr>
              <w:t xml:space="preserve">Divides left hand operand by right hand operand</w:t>
            </w:r>
            <w:r w:rsidDel="00000000" w:rsidR="00000000" w:rsidRPr="00000000">
              <w:rPr>
                <w:rtl w:val="0"/>
              </w:rPr>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color w:val="313131"/>
                <w:sz w:val="21"/>
                <w:szCs w:val="21"/>
                <w:highlight w:val="white"/>
                <w:rtl w:val="0"/>
              </w:rPr>
              <w:t xml:space="preserve">Divides left hand operand by right hand operand and returns remainder</w:t>
            </w:r>
            <w:r w:rsidDel="00000000" w:rsidR="00000000" w:rsidRPr="00000000">
              <w:rPr>
                <w:rtl w:val="0"/>
              </w:rPr>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color w:val="313131"/>
                <w:sz w:val="21"/>
                <w:szCs w:val="21"/>
                <w:highlight w:val="white"/>
                <w:rtl w:val="0"/>
              </w:rPr>
              <w:t xml:space="preserve">Performs exponential (power) calculation on operators</w:t>
            </w:r>
            <w:r w:rsidDel="00000000" w:rsidR="00000000" w:rsidRPr="00000000">
              <w:rPr>
                <w:rtl w:val="0"/>
              </w:rPr>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color w:val="313131"/>
                <w:sz w:val="21"/>
                <w:szCs w:val="21"/>
                <w:highlight w:val="white"/>
                <w:rtl w:val="0"/>
              </w:rPr>
              <w:t xml:space="preserve">Floor Division - The division of operands where the result is the quotient in which the digits after the decimal point are removed. But if one of the operands is negative, the result is floored, i.e., rounded away from zero (towards negative infinity):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360" w:top="360" w:left="360" w:right="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