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Лабораторная работа 2.15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Аутентификация и защита веб-запросов средствами Spring Security</w:t>
      </w:r>
    </w:p>
    <w:p/>
    <w:p>
      <w:pPr>
        <w:pStyle w:val="Heading2"/>
        <w:jc w:val="left"/>
      </w:pPr>
      <w:r>
        <w:rPr>
          <w:rFonts w:ascii="Times New Roman" w:hAnsi="Times New Roman"/>
          <w:color w:val="1A1A2E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Освоить настройку аутентификации и защиты веб-запросов в Spring Boot приложении с использованием Spring Security. Реализовать защиту маршрутов, страницу входа, шифрование паролей через BCryptPasswordEncoder и хранение пользователей в памяти через InMemoryUserDetailsManager.</w:t>
      </w:r>
    </w:p>
    <w:p>
      <w:pPr>
        <w:pStyle w:val="Heading2"/>
        <w:jc w:val="left"/>
      </w:pPr>
      <w:r>
        <w:rPr>
          <w:rFonts w:ascii="Times New Roman" w:hAnsi="Times New Roman"/>
          <w:color w:val="1A1A2E"/>
        </w:rPr>
        <w:t>2. Добавление зависимости Spring Security</w:t>
      </w:r>
    </w:p>
    <w:p>
      <w:pPr>
        <w:jc w:val="both"/>
      </w:pPr>
      <w:r>
        <w:rPr>
          <w:rFonts w:ascii="Times New Roman" w:hAnsi="Times New Roman"/>
          <w:sz w:val="28"/>
        </w:rPr>
        <w:t>В файл pom.xml добавлены зависимости spring-boot-starter-security и thymeleaf-extras-springsecurity6 для интеграции Spring Security с Thymeleaf-шаблонами.</w:t>
      </w:r>
    </w:p>
    <w:p>
      <w:pPr>
        <w:pStyle w:val="Heading2"/>
        <w:jc w:val="left"/>
      </w:pPr>
      <w:r>
        <w:rPr>
          <w:rFonts w:ascii="Times New Roman" w:hAnsi="Times New Roman"/>
          <w:color w:val="1A1A2E"/>
        </w:rPr>
        <w:t>3. Класс SecurityConfig</w:t>
      </w:r>
    </w:p>
    <w:p>
      <w:pPr>
        <w:jc w:val="both"/>
      </w:pPr>
      <w:r>
        <w:rPr>
          <w:rFonts w:ascii="Times New Roman" w:hAnsi="Times New Roman"/>
          <w:sz w:val="28"/>
        </w:rPr>
        <w:t>Создан класс SecurityConfig с аннотациями @Configuration и @EnableWebSecurity. Класс определяет три bean-компонента: PasswordEncoder (BCrypt), UserDetailsService (пользователи Alex, Alice, admin в памяти) и SecurityFilterChain (правила доступа).</w:t>
      </w:r>
    </w:p>
    <w:p>
      <w:r>
        <w:drawing>
          <wp:inline xmlns:a="http://schemas.openxmlformats.org/drawingml/2006/main" xmlns:pic="http://schemas.openxmlformats.org/drawingml/2006/picture">
            <wp:extent cx="5400000" cy="6969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15_06_security_con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69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1 — Класс SecurityConfig с конфигурацией безопасности</w:t>
      </w:r>
    </w:p>
    <w:p>
      <w:pPr>
        <w:pStyle w:val="Heading2"/>
        <w:jc w:val="left"/>
      </w:pPr>
      <w:r>
        <w:rPr>
          <w:rFonts w:ascii="Times New Roman" w:hAnsi="Times New Roman"/>
          <w:color w:val="1A1A2E"/>
        </w:rPr>
        <w:t>4. Страница входа (/login)</w:t>
      </w:r>
    </w:p>
    <w:p>
      <w:pPr>
        <w:jc w:val="both"/>
      </w:pPr>
      <w:r>
        <w:rPr>
          <w:rFonts w:ascii="Times New Roman" w:hAnsi="Times New Roman"/>
          <w:sz w:val="28"/>
        </w:rPr>
        <w:t>Создана кастомная страница аутентификации с полями "Имя пользователя" и "Пароль". Страница доступна без авторизации и отображает подсказки с тестовыми учётными данными.</w:t>
      </w:r>
    </w:p>
    <w:p>
      <w:r>
        <w:drawing>
          <wp:inline xmlns:a="http://schemas.openxmlformats.org/drawingml/2006/main" xmlns:pic="http://schemas.openxmlformats.org/drawingml/2006/picture">
            <wp:extent cx="5400000" cy="40981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15_01_logi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2 — Страница входа в систему</w:t>
      </w:r>
    </w:p>
    <w:p>
      <w:pPr>
        <w:pStyle w:val="Heading2"/>
        <w:jc w:val="left"/>
      </w:pPr>
      <w:r>
        <w:rPr>
          <w:rFonts w:ascii="Times New Roman" w:hAnsi="Times New Roman"/>
          <w:color w:val="1A1A2E"/>
        </w:rPr>
        <w:t>5. Защита от неверного пароля</w:t>
      </w:r>
    </w:p>
    <w:p>
      <w:pPr>
        <w:jc w:val="both"/>
      </w:pPr>
      <w:r>
        <w:rPr>
          <w:rFonts w:ascii="Times New Roman" w:hAnsi="Times New Roman"/>
          <w:sz w:val="28"/>
        </w:rPr>
        <w:t>При вводе неверного пароля Spring Security перенаправляет на /login?error. Страница отображает сообщение об ошибке с красной подсветкой.</w:t>
      </w:r>
    </w:p>
    <w:p>
      <w:r>
        <w:drawing>
          <wp:inline xmlns:a="http://schemas.openxmlformats.org/drawingml/2006/main" xmlns:pic="http://schemas.openxmlformats.org/drawingml/2006/picture">
            <wp:extent cx="5400000" cy="40981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15_02_login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3 — Сообщение об ошибке при неверных учётных данных</w:t>
      </w:r>
    </w:p>
    <w:p>
      <w:pPr>
        <w:pStyle w:val="Heading2"/>
        <w:jc w:val="left"/>
      </w:pPr>
      <w:r>
        <w:rPr>
          <w:rFonts w:ascii="Times New Roman" w:hAnsi="Times New Roman"/>
          <w:color w:val="1A1A2E"/>
        </w:rPr>
        <w:t>6. Авторизованный доступ к приложению</w:t>
      </w:r>
    </w:p>
    <w:p>
      <w:pPr>
        <w:jc w:val="both"/>
      </w:pPr>
      <w:r>
        <w:rPr>
          <w:rFonts w:ascii="Times New Roman" w:hAnsi="Times New Roman"/>
          <w:sz w:val="28"/>
        </w:rPr>
        <w:t>После успешного входа пользователь видит имя в шапке страницы и кнопку "Выйти". Все защищённые маршруты (/games, /developers и другие) доступны.</w:t>
      </w:r>
    </w:p>
    <w:p>
      <w:r>
        <w:drawing>
          <wp:inline xmlns:a="http://schemas.openxmlformats.org/drawingml/2006/main" xmlns:pic="http://schemas.openxmlformats.org/drawingml/2006/picture">
            <wp:extent cx="5400000" cy="40981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15_03_home_authentic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4 — Главная страница для авторизованного пользователя Alex</w:t>
      </w:r>
    </w:p>
    <w:p>
      <w:pPr>
        <w:pStyle w:val="Heading2"/>
        <w:jc w:val="left"/>
      </w:pPr>
      <w:r>
        <w:rPr>
          <w:rFonts w:ascii="Times New Roman" w:hAnsi="Times New Roman"/>
          <w:color w:val="1A1A2E"/>
        </w:rPr>
        <w:t>7. Доступ к защищённым страницам</w:t>
      </w:r>
    </w:p>
    <w:p>
      <w:pPr>
        <w:jc w:val="both"/>
      </w:pPr>
      <w:r>
        <w:rPr>
          <w:rFonts w:ascii="Times New Roman" w:hAnsi="Times New Roman"/>
          <w:sz w:val="28"/>
        </w:rPr>
        <w:t>Страница списка разработчиков /developers доступна только после аутентификации. Неавторизованные запросы автоматически перенаправляются на /login.</w:t>
      </w:r>
    </w:p>
    <w:p>
      <w:r>
        <w:drawing>
          <wp:inline xmlns:a="http://schemas.openxmlformats.org/drawingml/2006/main" xmlns:pic="http://schemas.openxmlformats.org/drawingml/2006/picture">
            <wp:extent cx="5400000" cy="40981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15_04_protected_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5 — Защищённая страница /developers доступна авторизованному пользователю</w:t>
      </w:r>
    </w:p>
    <w:p>
      <w:pPr>
        <w:pStyle w:val="Heading2"/>
        <w:jc w:val="left"/>
      </w:pPr>
      <w:r>
        <w:rPr>
          <w:rFonts w:ascii="Times New Roman" w:hAnsi="Times New Roman"/>
          <w:color w:val="1A1A2E"/>
        </w:rPr>
        <w:t>8. Выход из системы</w:t>
      </w:r>
    </w:p>
    <w:p>
      <w:pPr>
        <w:jc w:val="both"/>
      </w:pPr>
      <w:r>
        <w:rPr>
          <w:rFonts w:ascii="Times New Roman" w:hAnsi="Times New Roman"/>
          <w:sz w:val="28"/>
        </w:rPr>
        <w:t>Кнопка "Выйти" выполняет POST-запрос на /logout. После выхода пользователь перенаправляется на /login?logout с сообщением об успешном выходе.</w:t>
      </w:r>
    </w:p>
    <w:p>
      <w:r>
        <w:drawing>
          <wp:inline xmlns:a="http://schemas.openxmlformats.org/drawingml/2006/main" xmlns:pic="http://schemas.openxmlformats.org/drawingml/2006/picture">
            <wp:extent cx="5400000" cy="40981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15_05_log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6 — Подтверждение успешного выхода из системы</w:t>
      </w:r>
    </w:p>
    <w:p>
      <w:pPr>
        <w:pStyle w:val="Heading2"/>
        <w:jc w:val="left"/>
      </w:pPr>
      <w:r>
        <w:rPr>
          <w:rFonts w:ascii="Times New Roman" w:hAnsi="Times New Roman"/>
          <w:color w:val="1A1A2E"/>
        </w:rPr>
        <w:t>9. Результаты тестирования</w:t>
      </w:r>
    </w:p>
    <w:p>
      <w:pPr>
        <w:jc w:val="both"/>
      </w:pPr>
      <w:r>
        <w:rPr>
          <w:rFonts w:ascii="Times New Roman" w:hAnsi="Times New Roman"/>
          <w:sz w:val="28"/>
        </w:rPr>
        <w:t>Запущены тесты с использованием @SpringBootTest (тест контекста) и @WebMvcTest (тест HomeController с MockMvc и @WithMockUser). Все 4 теста прошли успешно.</w:t>
      </w:r>
    </w:p>
    <w:p>
      <w:r>
        <w:drawing>
          <wp:inline xmlns:a="http://schemas.openxmlformats.org/drawingml/2006/main" xmlns:pic="http://schemas.openxmlformats.org/drawingml/2006/picture">
            <wp:extent cx="5400000" cy="40981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15_07_test_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7 — Результаты выполнения mvn test (4 теста, BUILD SUCCESS)</w:t>
      </w:r>
    </w:p>
    <w:p>
      <w:pPr>
        <w:pStyle w:val="Heading2"/>
        <w:jc w:val="left"/>
      </w:pPr>
      <w:r>
        <w:rPr>
          <w:rFonts w:ascii="Times New Roman" w:hAnsi="Times New Roman"/>
          <w:color w:val="1A1A2E"/>
        </w:rPr>
        <w:t>10. 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лабораторной работы реализована аутентификация в Spring Boot приложении GameHub с использованием Spring Security. Настроены: шифрование паролей через BCryptPasswordEncoder, хранение пользователей в памяти (InMemoryUserDetailsManager), защита маршрутов через SecurityFilterChain, кастомная страница входа и выхода. Все тесты прошли успешно, включая тесты с @WithMockUser для имитации аутентификации.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