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测试文档标题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 xml:space="preserve">这是一个普通段落，包含 </w:t>
      </w:r>
      <w:r>
        <w:rPr>
          <w:b/>
        </w:rPr>
        <w:t>粗体文本</w:t>
      </w:r>
      <w:r>
        <w:t xml:space="preserve"> 和 </w:t>
      </w:r>
      <w:r>
        <w:rPr>
          <w:i/>
        </w:rPr>
        <w:t>斜体文本</w:t>
      </w:r>
      <w:r>
        <w:t>。</w:t>
      </w:r>
    </w:p>
    <w:p>
      <w:r>
        <w:t>这个段落没有特定样式。</w:t>
      </w:r>
    </w:p>
    <w:p>
      <w:r>
        <w:t>这是一个包含</w:t>
      </w:r>
      <w:r>
        <w:t>链接</w:t>
      </w:r>
      <w:r>
        <w:t>的段落。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单元格 0,0</w:t>
            </w:r>
          </w:p>
        </w:tc>
        <w:tc>
          <w:tcPr>
            <w:tcW w:type="dxa" w:w="2880"/>
          </w:tcPr>
          <w:p>
            <w:r>
              <w:t>单元格 0,1</w:t>
            </w:r>
          </w:p>
        </w:tc>
        <w:tc>
          <w:tcPr>
            <w:tcW w:type="dxa" w:w="2880"/>
          </w:tcPr>
          <w:p>
            <w:r>
              <w:t>单元格 0,2</w:t>
            </w:r>
          </w:p>
        </w:tc>
      </w:tr>
      <w:tr>
        <w:tc>
          <w:tcPr>
            <w:tcW w:type="dxa" w:w="2880"/>
          </w:tcPr>
          <w:p>
            <w:r>
              <w:t>单元格 1,0</w:t>
            </w:r>
          </w:p>
        </w:tc>
        <w:tc>
          <w:tcPr>
            <w:tcW w:type="dxa" w:w="2880"/>
          </w:tcPr>
          <w:p>
            <w:r>
              <w:t>单元格 1,1</w:t>
            </w:r>
          </w:p>
        </w:tc>
        <w:tc>
          <w:tcPr>
            <w:tcW w:type="dxa" w:w="2880"/>
          </w:tcPr>
          <w:p>
            <w:r>
              <w:t>单元格 1,2</w:t>
            </w:r>
          </w:p>
        </w:tc>
      </w:tr>
      <w:tr>
        <w:tc>
          <w:tcPr>
            <w:tcW w:type="dxa" w:w="2880"/>
          </w:tcPr>
          <w:p>
            <w:r>
              <w:t>单元格 2,0</w:t>
            </w:r>
          </w:p>
        </w:tc>
        <w:tc>
          <w:tcPr>
            <w:tcW w:type="dxa" w:w="2880"/>
          </w:tcPr>
          <w:p>
            <w:r>
              <w:t>单元格 2,1</w:t>
            </w:r>
          </w:p>
        </w:tc>
        <w:tc>
          <w:tcPr>
            <w:tcW w:type="dxa" w:w="2880"/>
          </w:tcPr>
          <w:p>
            <w:r>
              <w:t>单元格 2,2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