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EDF4" w14:textId="77777777" w:rsidR="001C3236" w:rsidRPr="00983C15" w:rsidRDefault="00000000">
      <w:pPr>
        <w:jc w:val="center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  <w:b/>
        </w:rPr>
        <w:t>Business Requirements Document (BRD) — SAP ERP (Mock) BA Case Study (O2C)</w:t>
      </w:r>
    </w:p>
    <w:p w14:paraId="5D9CB12F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5F46488A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2659C8A0" w14:textId="77777777" w:rsidR="001C3236" w:rsidRPr="00983C15" w:rsidRDefault="00000000">
      <w:pPr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Domain: Sales, Credit, Billing controls (Order-to-Cash)</w:t>
      </w:r>
    </w:p>
    <w:p w14:paraId="5D726A94" w14:textId="77777777" w:rsidR="001C3236" w:rsidRPr="00983C15" w:rsidRDefault="00000000">
      <w:pPr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Target system: Mock SAP ERP (example reference: SAP S/4HANA SD + FI-AR + FSCM Credit Management; terminology only)</w:t>
      </w:r>
    </w:p>
    <w:p w14:paraId="096FA269" w14:textId="77777777" w:rsidR="001C3236" w:rsidRPr="00983C15" w:rsidRDefault="00000000">
      <w:pPr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Version: 0.1 (English-first)</w:t>
      </w:r>
    </w:p>
    <w:p w14:paraId="1AB6462D" w14:textId="77777777" w:rsidR="001C3236" w:rsidRPr="00983C15" w:rsidRDefault="00000000">
      <w:pPr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Date: 2026-01-19</w:t>
      </w:r>
    </w:p>
    <w:p w14:paraId="5DAEF062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1B48B6BF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4F977A61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1) Executive Summary</w:t>
      </w:r>
    </w:p>
    <w:p w14:paraId="013EAF89" w14:textId="77777777" w:rsidR="001C3236" w:rsidRPr="00983C15" w:rsidRDefault="00000000">
      <w:pPr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This BRD defines business requirements for standardizing Order-to-Cash (O2C) execution with stronger governance over pricing overrides, credit control, billing controls, and auditability.</w:t>
      </w:r>
    </w:p>
    <w:p w14:paraId="5CE0DB82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3951E1AB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154B4174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2) Business Objectives</w:t>
      </w:r>
    </w:p>
    <w:p w14:paraId="031ABAF0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Reduce revenue leakage due to uncontrolled pricing overrides.</w:t>
      </w:r>
    </w:p>
    <w:p w14:paraId="33823AB7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Reduce financial risk through consistent credit policy enforcement.</w:t>
      </w:r>
    </w:p>
    <w:p w14:paraId="26135ACC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Improve compliance via auditable approvals and role-based segregation of duties.</w:t>
      </w:r>
    </w:p>
    <w:p w14:paraId="4F8F0632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Improve operational clarity: clear statuses, blocks, and release actions.</w:t>
      </w:r>
    </w:p>
    <w:p w14:paraId="3CED8DF2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006B5855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31285912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3) Business Scope</w:t>
      </w:r>
    </w:p>
    <w:p w14:paraId="73EDD71C" w14:textId="77777777" w:rsidR="001C3236" w:rsidRPr="00983C15" w:rsidRDefault="00000000">
      <w:pPr>
        <w:pStyle w:val="Heading3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3.1 In scope</w:t>
      </w:r>
    </w:p>
    <w:p w14:paraId="06625522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Sales order governance</w:t>
      </w:r>
    </w:p>
    <w:p w14:paraId="0568B047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Pricing override governance</w:t>
      </w:r>
    </w:p>
    <w:p w14:paraId="1C3F4CBE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Credit control enforcement</w:t>
      </w:r>
    </w:p>
    <w:p w14:paraId="436FCA4C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Billing governance (invoice and credit memo)</w:t>
      </w:r>
    </w:p>
    <w:p w14:paraId="32B0A512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Audit evidence and reporting</w:t>
      </w:r>
    </w:p>
    <w:p w14:paraId="3DB966C0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0CA7AAF8" w14:textId="77777777" w:rsidR="001C3236" w:rsidRPr="00983C15" w:rsidRDefault="00000000">
      <w:pPr>
        <w:pStyle w:val="Heading3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lastRenderedPageBreak/>
        <w:t>3.2 Out of scope</w:t>
      </w:r>
    </w:p>
    <w:p w14:paraId="1756B00E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Accounting close processes</w:t>
      </w:r>
    </w:p>
    <w:p w14:paraId="73ACD942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Integration interfaces (IDoc/EDI)</w:t>
      </w:r>
    </w:p>
    <w:p w14:paraId="4917A074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Advanced warehouse processes</w:t>
      </w:r>
    </w:p>
    <w:p w14:paraId="2A735623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25BC47F2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4320D07A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4) Stakeholders (summary)</w:t>
      </w:r>
    </w:p>
    <w:p w14:paraId="5CEAAFAF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Sales Operations</w:t>
      </w:r>
    </w:p>
    <w:p w14:paraId="3262C4D6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Sales Management</w:t>
      </w:r>
    </w:p>
    <w:p w14:paraId="12260DAD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Credit &amp; Risk</w:t>
      </w:r>
    </w:p>
    <w:p w14:paraId="58E767B5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Billing/Finance Operations</w:t>
      </w:r>
    </w:p>
    <w:p w14:paraId="40827DFE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Internal Audit / Compliance</w:t>
      </w:r>
    </w:p>
    <w:p w14:paraId="6928610C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IT / ERP Support</w:t>
      </w:r>
    </w:p>
    <w:p w14:paraId="4D1FF927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5EA6274E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273EC8E2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5) Current State vs Future State (high level)</w:t>
      </w:r>
    </w:p>
    <w:p w14:paraId="2EAD4F02" w14:textId="77777777" w:rsidR="001C3236" w:rsidRPr="00983C15" w:rsidRDefault="00000000">
      <w:pPr>
        <w:pStyle w:val="Heading3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Current state (typical issues)</w:t>
      </w:r>
    </w:p>
    <w:p w14:paraId="49BCCF73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Manual pricing overrides without consistent reasons/approvals.</w:t>
      </w:r>
    </w:p>
    <w:p w14:paraId="6B6F52CE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Credit checks applied inconsistently.</w:t>
      </w:r>
    </w:p>
    <w:p w14:paraId="28C8957C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Billing sometimes proceeds before prerequisites.</w:t>
      </w:r>
    </w:p>
    <w:p w14:paraId="321B7836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Limited audit evidence for overrides and releases.</w:t>
      </w:r>
    </w:p>
    <w:p w14:paraId="62DF7200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312567A8" w14:textId="77777777" w:rsidR="001C3236" w:rsidRPr="00983C15" w:rsidRDefault="00000000">
      <w:pPr>
        <w:pStyle w:val="Heading3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Future state (target)</w:t>
      </w:r>
    </w:p>
    <w:p w14:paraId="030662F7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Controlled override workflow with mandatory reason and approval.</w:t>
      </w:r>
    </w:p>
    <w:p w14:paraId="270F436C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Standardized credit checks with enforced blocks and controlled releases.</w:t>
      </w:r>
    </w:p>
    <w:p w14:paraId="0F9A47BA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Billing gated by prerequisite statuses.</w:t>
      </w:r>
    </w:p>
    <w:p w14:paraId="2CBE6B9C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Full audit trail for critical actions and access controls.</w:t>
      </w:r>
    </w:p>
    <w:p w14:paraId="20330CA0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61781E81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58372689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6) Business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3236" w:rsidRPr="00983C15" w14:paraId="10F88362" w14:textId="77777777">
        <w:tc>
          <w:tcPr>
            <w:tcW w:w="2160" w:type="dxa"/>
          </w:tcPr>
          <w:p w14:paraId="56CE3048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BR ID</w:t>
            </w:r>
          </w:p>
        </w:tc>
        <w:tc>
          <w:tcPr>
            <w:tcW w:w="2160" w:type="dxa"/>
          </w:tcPr>
          <w:p w14:paraId="3F1F242E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28BBD360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48A8DB79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Rationale</w:t>
            </w:r>
          </w:p>
        </w:tc>
      </w:tr>
      <w:tr w:rsidR="001C3236" w:rsidRPr="00983C15" w14:paraId="3C7E6420" w14:textId="77777777">
        <w:tc>
          <w:tcPr>
            <w:tcW w:w="2160" w:type="dxa"/>
          </w:tcPr>
          <w:p w14:paraId="28D4F296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BR-001</w:t>
            </w:r>
          </w:p>
        </w:tc>
        <w:tc>
          <w:tcPr>
            <w:tcW w:w="2160" w:type="dxa"/>
          </w:tcPr>
          <w:p w14:paraId="0C6B2FE0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Enforce pricing override governance (reason + approval)</w:t>
            </w:r>
          </w:p>
        </w:tc>
        <w:tc>
          <w:tcPr>
            <w:tcW w:w="2160" w:type="dxa"/>
          </w:tcPr>
          <w:p w14:paraId="07184D84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4A6269B7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Prevent revenue leakage and disputes</w:t>
            </w:r>
          </w:p>
        </w:tc>
      </w:tr>
      <w:tr w:rsidR="001C3236" w:rsidRPr="00983C15" w14:paraId="529870E6" w14:textId="77777777">
        <w:tc>
          <w:tcPr>
            <w:tcW w:w="2160" w:type="dxa"/>
          </w:tcPr>
          <w:p w14:paraId="57D406E0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BR-002</w:t>
            </w:r>
          </w:p>
        </w:tc>
        <w:tc>
          <w:tcPr>
            <w:tcW w:w="2160" w:type="dxa"/>
          </w:tcPr>
          <w:p w14:paraId="7C18A4C0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 xml:space="preserve">Enforce credit check </w:t>
            </w:r>
            <w:r w:rsidRPr="00983C15">
              <w:rPr>
                <w:rFonts w:ascii="Times New Roman" w:hAnsi="Times New Roman" w:cs="Times New Roman"/>
              </w:rPr>
              <w:lastRenderedPageBreak/>
              <w:t>and credit block when limit exceeded</w:t>
            </w:r>
          </w:p>
        </w:tc>
        <w:tc>
          <w:tcPr>
            <w:tcW w:w="2160" w:type="dxa"/>
          </w:tcPr>
          <w:p w14:paraId="587550BC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lastRenderedPageBreak/>
              <w:t>High</w:t>
            </w:r>
          </w:p>
        </w:tc>
        <w:tc>
          <w:tcPr>
            <w:tcW w:w="2160" w:type="dxa"/>
          </w:tcPr>
          <w:p w14:paraId="27A72739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Reduce financial risk</w:t>
            </w:r>
          </w:p>
        </w:tc>
      </w:tr>
      <w:tr w:rsidR="001C3236" w:rsidRPr="00983C15" w14:paraId="4FCDA4C0" w14:textId="77777777">
        <w:tc>
          <w:tcPr>
            <w:tcW w:w="2160" w:type="dxa"/>
          </w:tcPr>
          <w:p w14:paraId="3D30146D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BR-003</w:t>
            </w:r>
          </w:p>
        </w:tc>
        <w:tc>
          <w:tcPr>
            <w:tcW w:w="2160" w:type="dxa"/>
          </w:tcPr>
          <w:p w14:paraId="788C7083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Enforce SoD for credit release</w:t>
            </w:r>
          </w:p>
        </w:tc>
        <w:tc>
          <w:tcPr>
            <w:tcW w:w="2160" w:type="dxa"/>
          </w:tcPr>
          <w:p w14:paraId="3EC54667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312ABE27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Compliance and control</w:t>
            </w:r>
          </w:p>
        </w:tc>
      </w:tr>
      <w:tr w:rsidR="001C3236" w:rsidRPr="00983C15" w14:paraId="36A67BC6" w14:textId="77777777">
        <w:tc>
          <w:tcPr>
            <w:tcW w:w="2160" w:type="dxa"/>
          </w:tcPr>
          <w:p w14:paraId="1F3637A3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BR-004</w:t>
            </w:r>
          </w:p>
        </w:tc>
        <w:tc>
          <w:tcPr>
            <w:tcW w:w="2160" w:type="dxa"/>
          </w:tcPr>
          <w:p w14:paraId="7E01328A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Gate billing based on prerequisite statuses</w:t>
            </w:r>
          </w:p>
        </w:tc>
        <w:tc>
          <w:tcPr>
            <w:tcW w:w="2160" w:type="dxa"/>
          </w:tcPr>
          <w:p w14:paraId="0EFCDF88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16182094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Reduce billing errors</w:t>
            </w:r>
          </w:p>
        </w:tc>
      </w:tr>
      <w:tr w:rsidR="001C3236" w:rsidRPr="00983C15" w14:paraId="2D660F62" w14:textId="77777777">
        <w:tc>
          <w:tcPr>
            <w:tcW w:w="2160" w:type="dxa"/>
          </w:tcPr>
          <w:p w14:paraId="2BE722A3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BR-005</w:t>
            </w:r>
          </w:p>
        </w:tc>
        <w:tc>
          <w:tcPr>
            <w:tcW w:w="2160" w:type="dxa"/>
          </w:tcPr>
          <w:p w14:paraId="5D289A89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Provide auditability for critical actions</w:t>
            </w:r>
          </w:p>
        </w:tc>
        <w:tc>
          <w:tcPr>
            <w:tcW w:w="2160" w:type="dxa"/>
          </w:tcPr>
          <w:p w14:paraId="79BD5302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6F265A60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Audit readiness</w:t>
            </w:r>
          </w:p>
        </w:tc>
      </w:tr>
      <w:tr w:rsidR="001C3236" w:rsidRPr="00983C15" w14:paraId="4C352300" w14:textId="77777777">
        <w:tc>
          <w:tcPr>
            <w:tcW w:w="2160" w:type="dxa"/>
          </w:tcPr>
          <w:p w14:paraId="3F68FBD7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BR-006</w:t>
            </w:r>
          </w:p>
        </w:tc>
        <w:tc>
          <w:tcPr>
            <w:tcW w:w="2160" w:type="dxa"/>
          </w:tcPr>
          <w:p w14:paraId="39924DC2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Provide clear statuses and user guidance</w:t>
            </w:r>
          </w:p>
        </w:tc>
        <w:tc>
          <w:tcPr>
            <w:tcW w:w="2160" w:type="dxa"/>
          </w:tcPr>
          <w:p w14:paraId="3CBDDF79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5B32F02F" w14:textId="77777777" w:rsidR="001C3236" w:rsidRPr="00983C15" w:rsidRDefault="00000000">
            <w:pPr>
              <w:rPr>
                <w:rFonts w:ascii="Times New Roman" w:hAnsi="Times New Roman" w:cs="Times New Roman"/>
              </w:rPr>
            </w:pPr>
            <w:r w:rsidRPr="00983C15">
              <w:rPr>
                <w:rFonts w:ascii="Times New Roman" w:hAnsi="Times New Roman" w:cs="Times New Roman"/>
              </w:rPr>
              <w:t>Operational efficiency</w:t>
            </w:r>
          </w:p>
        </w:tc>
      </w:tr>
    </w:tbl>
    <w:p w14:paraId="2D8C8E5E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043E7E0D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6C765A4A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1372B11C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7) Business Rules (reference)</w:t>
      </w:r>
    </w:p>
    <w:p w14:paraId="32014C20" w14:textId="77777777" w:rsidR="001C3236" w:rsidRPr="00983C15" w:rsidRDefault="00000000">
      <w:pPr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Business rules are documented in the dedicated Business Rules + Decision Tables deliverable.</w:t>
      </w:r>
    </w:p>
    <w:p w14:paraId="76D23001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78888208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27F16DDC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8) Constraints &amp; Assumptions</w:t>
      </w:r>
    </w:p>
    <w:p w14:paraId="74105B9F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Role model exists and is approved by business and audit.</w:t>
      </w:r>
    </w:p>
    <w:p w14:paraId="3297E6A3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Approval workflow is configured.</w:t>
      </w:r>
    </w:p>
    <w:p w14:paraId="0877C912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Audit log retention meets policy.</w:t>
      </w:r>
    </w:p>
    <w:p w14:paraId="76696072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43A5FC5C" w14:textId="77777777" w:rsidR="001C3236" w:rsidRPr="00983C15" w:rsidRDefault="001C3236">
      <w:pPr>
        <w:rPr>
          <w:rFonts w:ascii="Times New Roman" w:hAnsi="Times New Roman" w:cs="Times New Roman"/>
        </w:rPr>
      </w:pPr>
    </w:p>
    <w:p w14:paraId="51CF3481" w14:textId="77777777" w:rsidR="001C3236" w:rsidRPr="00983C15" w:rsidRDefault="00000000">
      <w:pPr>
        <w:pStyle w:val="Heading2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9) Risks &amp; Mitigations</w:t>
      </w:r>
    </w:p>
    <w:p w14:paraId="151E25F6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Risk: Users bypass process with workarounds → Mitigation: enforce system gating + monitoring.</w:t>
      </w:r>
    </w:p>
    <w:p w14:paraId="40A313D3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Risk: Approval delays → Mitigation: SLA targets + escalation paths.</w:t>
      </w:r>
    </w:p>
    <w:p w14:paraId="4B3C6E1A" w14:textId="77777777" w:rsidR="001C3236" w:rsidRPr="00983C15" w:rsidRDefault="00000000">
      <w:pPr>
        <w:pStyle w:val="ListBullet"/>
        <w:rPr>
          <w:rFonts w:ascii="Times New Roman" w:hAnsi="Times New Roman" w:cs="Times New Roman"/>
        </w:rPr>
      </w:pPr>
      <w:r w:rsidRPr="00983C15">
        <w:rPr>
          <w:rFonts w:ascii="Times New Roman" w:hAnsi="Times New Roman" w:cs="Times New Roman"/>
        </w:rPr>
        <w:t>Risk: Role creep breaks SoD → Mitigation: periodic access review.</w:t>
      </w:r>
    </w:p>
    <w:sectPr w:rsidR="001C3236" w:rsidRPr="00983C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945751">
    <w:abstractNumId w:val="8"/>
  </w:num>
  <w:num w:numId="2" w16cid:durableId="572081468">
    <w:abstractNumId w:val="6"/>
  </w:num>
  <w:num w:numId="3" w16cid:durableId="1369526148">
    <w:abstractNumId w:val="5"/>
  </w:num>
  <w:num w:numId="4" w16cid:durableId="322196213">
    <w:abstractNumId w:val="4"/>
  </w:num>
  <w:num w:numId="5" w16cid:durableId="835804003">
    <w:abstractNumId w:val="7"/>
  </w:num>
  <w:num w:numId="6" w16cid:durableId="312569778">
    <w:abstractNumId w:val="3"/>
  </w:num>
  <w:num w:numId="7" w16cid:durableId="1726030909">
    <w:abstractNumId w:val="2"/>
  </w:num>
  <w:num w:numId="8" w16cid:durableId="626740009">
    <w:abstractNumId w:val="1"/>
  </w:num>
  <w:num w:numId="9" w16cid:durableId="101341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236"/>
    <w:rsid w:val="0029639D"/>
    <w:rsid w:val="00326F90"/>
    <w:rsid w:val="00983C15"/>
    <w:rsid w:val="00AA1D8D"/>
    <w:rsid w:val="00B47730"/>
    <w:rsid w:val="00C778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E0384"/>
  <w14:defaultImageDpi w14:val="300"/>
  <w15:docId w15:val="{8F73FD84-4D69-4720-A611-1EA45346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2026-01-20T02:32:00Z</dcterms:modified>
  <cp:category/>
</cp:coreProperties>
</file>