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2188" w14:textId="77777777" w:rsidR="000D7535" w:rsidRPr="00DF07BA" w:rsidRDefault="00000000">
      <w:pPr>
        <w:jc w:val="center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  <w:b/>
        </w:rPr>
        <w:t>Product Requirements Document (PRD) — SAP ERP (Mock) BA Case Study (O2C)</w:t>
      </w:r>
    </w:p>
    <w:p w14:paraId="25834FED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399DF1B1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7B4DEEC9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Product / Module: Mock SAP ERP — Order-to-Cash (O2C)</w:t>
      </w:r>
    </w:p>
    <w:p w14:paraId="77CE8CE7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Example reference platform: SAP S/4HANA (SD + FI-AR + FSCM Credit Management)</w:t>
      </w:r>
    </w:p>
    <w:p w14:paraId="4A006BBC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Simulation note: Portfolio mock; terminology references S/4HANA to be concrete; no proprietary SAP content</w:t>
      </w:r>
    </w:p>
    <w:p w14:paraId="0D31E1D8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Version: 0.1 (English-first)</w:t>
      </w:r>
    </w:p>
    <w:p w14:paraId="4DB1C714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Date: 2026-01-19</w:t>
      </w:r>
    </w:p>
    <w:p w14:paraId="382F192A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01E5445E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537C7109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1) Problem Statement</w:t>
      </w:r>
    </w:p>
    <w:p w14:paraId="68094A86" w14:textId="77777777" w:rsidR="000D7535" w:rsidRPr="00DF07BA" w:rsidRDefault="00000000">
      <w:pPr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Mid-size companies running O2C often suffer from inconsistent pricing overrides, weak credit control enforcement, and limited auditability. These gaps increase revenue leakage, disputes, and compliance risk.</w:t>
      </w:r>
    </w:p>
    <w:p w14:paraId="477CE8DF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1DFE85F6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4865E4C4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2) Goals &amp; Success Metrics</w:t>
      </w:r>
    </w:p>
    <w:p w14:paraId="0806081A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2.1 Goals</w:t>
      </w:r>
    </w:p>
    <w:p w14:paraId="6A717934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Standardize Sales Order creation and pricing determination.</w:t>
      </w:r>
    </w:p>
    <w:p w14:paraId="1E439CB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Enforce pricing override governance (reason + approval).</w:t>
      </w:r>
    </w:p>
    <w:p w14:paraId="22E0676F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Enforce credit control (block/release) with proper segregation of duties.</w:t>
      </w:r>
    </w:p>
    <w:p w14:paraId="15ECDB54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Ensure auditability for critical business actions.</w:t>
      </w:r>
    </w:p>
    <w:p w14:paraId="3AA6DC5D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2E60B421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2.2 Success metrics (examples)</w:t>
      </w:r>
    </w:p>
    <w:p w14:paraId="4EEB0F62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Reduction in unauthorized pricing overrides.</w:t>
      </w:r>
    </w:p>
    <w:p w14:paraId="2ABA01B0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Reduction in credit-related bad debt incidents.</w:t>
      </w:r>
    </w:p>
    <w:p w14:paraId="3CDF83AC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Audit findings reduced for O2C controls.</w:t>
      </w:r>
    </w:p>
    <w:p w14:paraId="65CB22F1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Faster approval cycle time for overrides.</w:t>
      </w:r>
    </w:p>
    <w:p w14:paraId="3D086000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0557C1C9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12B1F112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lastRenderedPageBreak/>
        <w:t>3) Scope</w:t>
      </w:r>
    </w:p>
    <w:p w14:paraId="4F7A0A18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3.1 In scope</w:t>
      </w:r>
    </w:p>
    <w:p w14:paraId="17E20A4C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Sales Order creation (baseline)</w:t>
      </w:r>
    </w:p>
    <w:p w14:paraId="55B1B556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Pricing override request + approval</w:t>
      </w:r>
    </w:p>
    <w:p w14:paraId="1D869922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Credit check, credit block and release</w:t>
      </w:r>
    </w:p>
    <w:p w14:paraId="4FAD6E9D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Billing: invoice creation and credit memo controls</w:t>
      </w:r>
    </w:p>
    <w:p w14:paraId="4B795EE4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RBAC and SoD controls</w:t>
      </w:r>
    </w:p>
    <w:p w14:paraId="0A3A3336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Audit logging and evidence capture</w:t>
      </w:r>
    </w:p>
    <w:p w14:paraId="75CB650C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16F073AD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3.2 Out of scope</w:t>
      </w:r>
    </w:p>
    <w:p w14:paraId="21926022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Full FI/CO accounting postings and reconciliation</w:t>
      </w:r>
    </w:p>
    <w:p w14:paraId="077EB93E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EDI/IDoc, external tax engines, and downstream integrations</w:t>
      </w:r>
    </w:p>
    <w:p w14:paraId="23953E8A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Warehouse execution details</w:t>
      </w:r>
    </w:p>
    <w:p w14:paraId="2F8D04C2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4FFC4B09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1CD779D4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4) Users &amp; Personas (high-level)</w:t>
      </w:r>
    </w:p>
    <w:p w14:paraId="11698087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**Sales Rep:** creates orders; cannot override price beyond tolerance.</w:t>
      </w:r>
    </w:p>
    <w:p w14:paraId="17746B99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**Sales Manager:** approves pricing overrides.</w:t>
      </w:r>
    </w:p>
    <w:p w14:paraId="68509B08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**Credit Analyst:** reviews and releases credit blocks.</w:t>
      </w:r>
    </w:p>
    <w:p w14:paraId="77586290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**Billing Clerk:** creates invoices and credit memos.</w:t>
      </w:r>
    </w:p>
    <w:p w14:paraId="14CA144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**Auditor:** read-only access to documents and logs.</w:t>
      </w:r>
    </w:p>
    <w:p w14:paraId="27793CF7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7124A0A6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2534071A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5) Key Use Scenarios</w:t>
      </w:r>
    </w:p>
    <w:p w14:paraId="58014197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Create Sales Order with automatic pricing.</w:t>
      </w:r>
    </w:p>
    <w:p w14:paraId="433E3331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Request pricing override with reason; manager approves.</w:t>
      </w:r>
    </w:p>
    <w:p w14:paraId="443EC9E0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Credit check blocks order; credit analyst releases after review.</w:t>
      </w:r>
    </w:p>
    <w:p w14:paraId="37D35F81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Billing creates invoice after prerequisites.</w:t>
      </w:r>
    </w:p>
    <w:p w14:paraId="4303BC7E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Create credit memo with reason (and approval if configured).</w:t>
      </w:r>
    </w:p>
    <w:p w14:paraId="01630572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4ED48775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4A5D7151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lastRenderedPageBreak/>
        <w:t>6) High-level Requirements (PRD view)</w:t>
      </w:r>
    </w:p>
    <w:p w14:paraId="7DD0FF3F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6.1 Functional overview</w:t>
      </w:r>
    </w:p>
    <w:p w14:paraId="55DD1763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System shall support Sales Order creation with pricing conditions.</w:t>
      </w:r>
    </w:p>
    <w:p w14:paraId="1DD7026A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System shall require reason + approval for out-of-tolerance pricing overrides.</w:t>
      </w:r>
    </w:p>
    <w:p w14:paraId="5C8460FE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System shall block processing when customer exposure exceeds credit limit.</w:t>
      </w:r>
    </w:p>
    <w:p w14:paraId="5D89CADC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System shall enforce SoD: Sales cannot release credit block.</w:t>
      </w:r>
    </w:p>
    <w:p w14:paraId="0A384AE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System shall produce an audit trail for critical actions.</w:t>
      </w:r>
    </w:p>
    <w:p w14:paraId="2C9EC98D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62A6F831" w14:textId="77777777" w:rsidR="000D7535" w:rsidRPr="00DF07BA" w:rsidRDefault="00000000">
      <w:pPr>
        <w:pStyle w:val="Heading3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6.2 Non-functional overview</w:t>
      </w:r>
    </w:p>
    <w:p w14:paraId="3A8C6510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Security: RBAC, least privilege, SoD.</w:t>
      </w:r>
    </w:p>
    <w:p w14:paraId="370DFAE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Auditability: immutable logs for critical actions.</w:t>
      </w:r>
    </w:p>
    <w:p w14:paraId="2E5FD6A0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Usability: clear error messages and actionable statuses.</w:t>
      </w:r>
    </w:p>
    <w:p w14:paraId="2DB97604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3EF152A4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4AFC3997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7) Acceptance Criteria (at product level)</w:t>
      </w:r>
    </w:p>
    <w:p w14:paraId="493A31C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Pricing override cannot be completed without reason and approval.</w:t>
      </w:r>
    </w:p>
    <w:p w14:paraId="58950DB7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Credit block triggers correctly when limit exceeded.</w:t>
      </w:r>
    </w:p>
    <w:p w14:paraId="693BFE91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Only authorized role can release credit block.</w:t>
      </w:r>
    </w:p>
    <w:p w14:paraId="3DA1FFC1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Billing is prevented when prerequisites are not met.</w:t>
      </w:r>
    </w:p>
    <w:p w14:paraId="0ADD6B5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Audit log captures who/when/what and approval references.</w:t>
      </w:r>
    </w:p>
    <w:p w14:paraId="6B6C262C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2F0154F4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6124EEED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8) Dependencies &amp; Assumptions</w:t>
      </w:r>
    </w:p>
    <w:p w14:paraId="60EEF594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Roles and authorizations are provisioned for UAT.</w:t>
      </w:r>
    </w:p>
    <w:p w14:paraId="4A5015CB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Test data exists (customers, materials, credit exposures).</w:t>
      </w:r>
    </w:p>
    <w:p w14:paraId="7D60DD37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Approval workflow engine is available (simulated).</w:t>
      </w:r>
    </w:p>
    <w:p w14:paraId="08138A55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70AEA263" w14:textId="77777777" w:rsidR="000D7535" w:rsidRPr="00DF07BA" w:rsidRDefault="000D7535">
      <w:pPr>
        <w:rPr>
          <w:rFonts w:ascii="Times New Roman" w:hAnsi="Times New Roman" w:cs="Times New Roman"/>
        </w:rPr>
      </w:pPr>
    </w:p>
    <w:p w14:paraId="7698A30D" w14:textId="77777777" w:rsidR="000D7535" w:rsidRPr="00DF07BA" w:rsidRDefault="00000000">
      <w:pPr>
        <w:pStyle w:val="Heading2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9) Risks</w:t>
      </w:r>
    </w:p>
    <w:p w14:paraId="58B429EC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Over-customization increases long-term maintenance risk.</w:t>
      </w:r>
    </w:p>
    <w:p w14:paraId="12B93AD9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Poor role design can break SoD controls.</w:t>
      </w:r>
    </w:p>
    <w:p w14:paraId="671350D3" w14:textId="77777777" w:rsidR="000D7535" w:rsidRPr="00DF07BA" w:rsidRDefault="00000000">
      <w:pPr>
        <w:pStyle w:val="ListBullet"/>
        <w:rPr>
          <w:rFonts w:ascii="Times New Roman" w:hAnsi="Times New Roman" w:cs="Times New Roman"/>
        </w:rPr>
      </w:pPr>
      <w:r w:rsidRPr="00DF07BA">
        <w:rPr>
          <w:rFonts w:ascii="Times New Roman" w:hAnsi="Times New Roman" w:cs="Times New Roman"/>
        </w:rPr>
        <w:t>Missing evidence capture weakens audit readiness.</w:t>
      </w:r>
    </w:p>
    <w:sectPr w:rsidR="000D7535" w:rsidRPr="00DF0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072656">
    <w:abstractNumId w:val="8"/>
  </w:num>
  <w:num w:numId="2" w16cid:durableId="1019740881">
    <w:abstractNumId w:val="6"/>
  </w:num>
  <w:num w:numId="3" w16cid:durableId="1324552978">
    <w:abstractNumId w:val="5"/>
  </w:num>
  <w:num w:numId="4" w16cid:durableId="753287396">
    <w:abstractNumId w:val="4"/>
  </w:num>
  <w:num w:numId="5" w16cid:durableId="509762621">
    <w:abstractNumId w:val="7"/>
  </w:num>
  <w:num w:numId="6" w16cid:durableId="115293791">
    <w:abstractNumId w:val="3"/>
  </w:num>
  <w:num w:numId="7" w16cid:durableId="637807389">
    <w:abstractNumId w:val="2"/>
  </w:num>
  <w:num w:numId="8" w16cid:durableId="1130324799">
    <w:abstractNumId w:val="1"/>
  </w:num>
  <w:num w:numId="9" w16cid:durableId="49958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35"/>
    <w:rsid w:val="0015074B"/>
    <w:rsid w:val="0029639D"/>
    <w:rsid w:val="00326F90"/>
    <w:rsid w:val="00AA1D8D"/>
    <w:rsid w:val="00B47730"/>
    <w:rsid w:val="00CB0664"/>
    <w:rsid w:val="00DF07BA"/>
    <w:rsid w:val="00F83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2F360"/>
  <w14:defaultImageDpi w14:val="300"/>
  <w15:docId w15:val="{D3656EE0-1093-4B2F-ACF2-CE4931F2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2026-01-20T02:33:00Z</dcterms:modified>
  <cp:category/>
</cp:coreProperties>
</file>