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Business Requirements Document (BRD) — SAP ERP (Mock) BA Case Study (O2C)</w:t>
      </w:r>
    </w:p>
    <w:p/>
    <w:p/>
    <w:p>
      <w:r>
        <w:t>Domain: Sales, Credit, Billing controls (Order-to-Cash)</w:t>
      </w:r>
    </w:p>
    <w:p>
      <w:r>
        <w:t>Target system: Mock SAP ERP (example reference: SAP S/4HANA SD + FI-AR + FSCM Credit Management; terminology only)</w:t>
      </w:r>
    </w:p>
    <w:p>
      <w:r>
        <w:t>Version: 0.1 (English-first)</w:t>
      </w:r>
    </w:p>
    <w:p>
      <w:r>
        <w:t>Date: 2026-01-19</w:t>
      </w:r>
    </w:p>
    <w:p/>
    <w:p/>
    <w:p>
      <w:pPr>
        <w:pStyle w:val="Heading2"/>
      </w:pPr>
      <w:r>
        <w:t>1) Executive Summary</w:t>
      </w:r>
    </w:p>
    <w:p>
      <w:r>
        <w:t>This BRD defines business requirements for standardizing Order-to-Cash (O2C) execution with stronger governance over pricing overrides, credit control, billing controls, and auditability.</w:t>
      </w:r>
    </w:p>
    <w:p/>
    <w:p/>
    <w:p>
      <w:pPr>
        <w:pStyle w:val="Heading2"/>
      </w:pPr>
      <w:r>
        <w:t>2) Business Objectives</w:t>
      </w:r>
    </w:p>
    <w:p>
      <w:pPr>
        <w:pStyle w:val="ListBullet"/>
      </w:pPr>
      <w:r>
        <w:t>Reduce revenue leakage due to uncontrolled pricing overrides.</w:t>
      </w:r>
    </w:p>
    <w:p>
      <w:pPr>
        <w:pStyle w:val="ListBullet"/>
      </w:pPr>
      <w:r>
        <w:t>Reduce financial risk through consistent credit policy enforcement.</w:t>
      </w:r>
    </w:p>
    <w:p>
      <w:pPr>
        <w:pStyle w:val="ListBullet"/>
      </w:pPr>
      <w:r>
        <w:t>Improve compliance via auditable approvals and role-based segregation of duties.</w:t>
      </w:r>
    </w:p>
    <w:p>
      <w:pPr>
        <w:pStyle w:val="ListBullet"/>
      </w:pPr>
      <w:r>
        <w:t>Improve operational clarity: clear statuses, blocks, and release actions.</w:t>
      </w:r>
    </w:p>
    <w:p/>
    <w:p/>
    <w:p>
      <w:pPr>
        <w:pStyle w:val="Heading2"/>
      </w:pPr>
      <w:r>
        <w:t>3) Business Scope</w:t>
      </w:r>
    </w:p>
    <w:p>
      <w:pPr>
        <w:pStyle w:val="Heading3"/>
      </w:pPr>
      <w:r>
        <w:t>3.1 In scope</w:t>
      </w:r>
    </w:p>
    <w:p>
      <w:pPr>
        <w:pStyle w:val="ListBullet"/>
      </w:pPr>
      <w:r>
        <w:t>Sales order governance</w:t>
      </w:r>
    </w:p>
    <w:p>
      <w:pPr>
        <w:pStyle w:val="ListBullet"/>
      </w:pPr>
      <w:r>
        <w:t>Pricing override governance</w:t>
      </w:r>
    </w:p>
    <w:p>
      <w:pPr>
        <w:pStyle w:val="ListBullet"/>
      </w:pPr>
      <w:r>
        <w:t>Credit control enforcement</w:t>
      </w:r>
    </w:p>
    <w:p>
      <w:pPr>
        <w:pStyle w:val="ListBullet"/>
      </w:pPr>
      <w:r>
        <w:t>Billing governance (invoice and credit memo)</w:t>
      </w:r>
    </w:p>
    <w:p>
      <w:pPr>
        <w:pStyle w:val="ListBullet"/>
      </w:pPr>
      <w:r>
        <w:t>Audit evidence and reporting</w:t>
      </w:r>
    </w:p>
    <w:p/>
    <w:p>
      <w:pPr>
        <w:pStyle w:val="Heading3"/>
      </w:pPr>
      <w:r>
        <w:t>3.2 Out of scope</w:t>
      </w:r>
    </w:p>
    <w:p>
      <w:pPr>
        <w:pStyle w:val="ListBullet"/>
      </w:pPr>
      <w:r>
        <w:t>Accounting close processes</w:t>
      </w:r>
    </w:p>
    <w:p>
      <w:pPr>
        <w:pStyle w:val="ListBullet"/>
      </w:pPr>
      <w:r>
        <w:t>Integration interfaces (IDoc/EDI)</w:t>
      </w:r>
    </w:p>
    <w:p>
      <w:pPr>
        <w:pStyle w:val="ListBullet"/>
      </w:pPr>
      <w:r>
        <w:t>Advanced warehouse processes</w:t>
      </w:r>
    </w:p>
    <w:p/>
    <w:p/>
    <w:p>
      <w:pPr>
        <w:pStyle w:val="Heading2"/>
      </w:pPr>
      <w:r>
        <w:t>4) Stakeholders (summary)</w:t>
      </w:r>
    </w:p>
    <w:p>
      <w:pPr>
        <w:pStyle w:val="ListBullet"/>
      </w:pPr>
      <w:r>
        <w:t>Sales Operations</w:t>
      </w:r>
    </w:p>
    <w:p>
      <w:pPr>
        <w:pStyle w:val="ListBullet"/>
      </w:pPr>
      <w:r>
        <w:t>Sales Management</w:t>
      </w:r>
    </w:p>
    <w:p>
      <w:pPr>
        <w:pStyle w:val="ListBullet"/>
      </w:pPr>
      <w:r>
        <w:t>Credit &amp; Risk</w:t>
      </w:r>
    </w:p>
    <w:p>
      <w:pPr>
        <w:pStyle w:val="ListBullet"/>
      </w:pPr>
      <w:r>
        <w:t>Billing/Finance Operations</w:t>
      </w:r>
    </w:p>
    <w:p>
      <w:pPr>
        <w:pStyle w:val="ListBullet"/>
      </w:pPr>
      <w:r>
        <w:t>Internal Audit / Compliance</w:t>
      </w:r>
    </w:p>
    <w:p>
      <w:pPr>
        <w:pStyle w:val="ListBullet"/>
      </w:pPr>
      <w:r>
        <w:t>IT / ERP Support</w:t>
      </w:r>
    </w:p>
    <w:p/>
    <w:p/>
    <w:p>
      <w:pPr>
        <w:pStyle w:val="Heading2"/>
      </w:pPr>
      <w:r>
        <w:t>5) Current State vs Future State (high level)</w:t>
      </w:r>
    </w:p>
    <w:p>
      <w:pPr>
        <w:pStyle w:val="Heading3"/>
      </w:pPr>
      <w:r>
        <w:t>Current state (typical issues)</w:t>
      </w:r>
    </w:p>
    <w:p>
      <w:pPr>
        <w:pStyle w:val="ListBullet"/>
      </w:pPr>
      <w:r>
        <w:t>Manual pricing overrides without consistent reasons/approvals.</w:t>
      </w:r>
    </w:p>
    <w:p>
      <w:pPr>
        <w:pStyle w:val="ListBullet"/>
      </w:pPr>
      <w:r>
        <w:t>Credit checks applied inconsistently.</w:t>
      </w:r>
    </w:p>
    <w:p>
      <w:pPr>
        <w:pStyle w:val="ListBullet"/>
      </w:pPr>
      <w:r>
        <w:t>Billing sometimes proceeds before prerequisites.</w:t>
      </w:r>
    </w:p>
    <w:p>
      <w:pPr>
        <w:pStyle w:val="ListBullet"/>
      </w:pPr>
      <w:r>
        <w:t>Limited audit evidence for overrides and releases.</w:t>
      </w:r>
    </w:p>
    <w:p/>
    <w:p>
      <w:pPr>
        <w:pStyle w:val="Heading3"/>
      </w:pPr>
      <w:r>
        <w:t>Future state (target)</w:t>
      </w:r>
    </w:p>
    <w:p>
      <w:pPr>
        <w:pStyle w:val="ListBullet"/>
      </w:pPr>
      <w:r>
        <w:t>Controlled override workflow with mandatory reason and approval.</w:t>
      </w:r>
    </w:p>
    <w:p>
      <w:pPr>
        <w:pStyle w:val="ListBullet"/>
      </w:pPr>
      <w:r>
        <w:t>Standardized credit checks with enforced blocks and controlled releases.</w:t>
      </w:r>
    </w:p>
    <w:p>
      <w:pPr>
        <w:pStyle w:val="ListBullet"/>
      </w:pPr>
      <w:r>
        <w:t>Billing gated by prerequisite statuses.</w:t>
      </w:r>
    </w:p>
    <w:p>
      <w:pPr>
        <w:pStyle w:val="ListBullet"/>
      </w:pPr>
      <w:r>
        <w:t>Full audit trail for critical actions and access controls.</w:t>
      </w:r>
    </w:p>
    <w:p/>
    <w:p/>
    <w:p>
      <w:pPr>
        <w:pStyle w:val="Heading2"/>
      </w:pPr>
      <w:r>
        <w:t>6) Business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BR 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BR-001</w:t>
            </w:r>
          </w:p>
        </w:tc>
        <w:tc>
          <w:tcPr>
            <w:tcW w:type="dxa" w:w="2160"/>
          </w:tcPr>
          <w:p>
            <w:r>
              <w:t>Enforce pricing override governance (reason + approval)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Prevent revenue leakage and disputes</w:t>
            </w:r>
          </w:p>
        </w:tc>
      </w:tr>
      <w:tr>
        <w:tc>
          <w:tcPr>
            <w:tcW w:type="dxa" w:w="2160"/>
          </w:tcPr>
          <w:p>
            <w:r>
              <w:t>BR-002</w:t>
            </w:r>
          </w:p>
        </w:tc>
        <w:tc>
          <w:tcPr>
            <w:tcW w:type="dxa" w:w="2160"/>
          </w:tcPr>
          <w:p>
            <w:r>
              <w:t>Enforce credit check and credit block when limit exceeded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Reduce financial risk</w:t>
            </w:r>
          </w:p>
        </w:tc>
      </w:tr>
      <w:tr>
        <w:tc>
          <w:tcPr>
            <w:tcW w:type="dxa" w:w="2160"/>
          </w:tcPr>
          <w:p>
            <w:r>
              <w:t>BR-003</w:t>
            </w:r>
          </w:p>
        </w:tc>
        <w:tc>
          <w:tcPr>
            <w:tcW w:type="dxa" w:w="2160"/>
          </w:tcPr>
          <w:p>
            <w:r>
              <w:t>Enforce SoD for credit release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Compliance and control</w:t>
            </w:r>
          </w:p>
        </w:tc>
      </w:tr>
      <w:tr>
        <w:tc>
          <w:tcPr>
            <w:tcW w:type="dxa" w:w="2160"/>
          </w:tcPr>
          <w:p>
            <w:r>
              <w:t>BR-004</w:t>
            </w:r>
          </w:p>
        </w:tc>
        <w:tc>
          <w:tcPr>
            <w:tcW w:type="dxa" w:w="2160"/>
          </w:tcPr>
          <w:p>
            <w:r>
              <w:t>Gate billing based on prerequisite statuses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Reduce billing errors</w:t>
            </w:r>
          </w:p>
        </w:tc>
      </w:tr>
      <w:tr>
        <w:tc>
          <w:tcPr>
            <w:tcW w:type="dxa" w:w="2160"/>
          </w:tcPr>
          <w:p>
            <w:r>
              <w:t>BR-005</w:t>
            </w:r>
          </w:p>
        </w:tc>
        <w:tc>
          <w:tcPr>
            <w:tcW w:type="dxa" w:w="2160"/>
          </w:tcPr>
          <w:p>
            <w:r>
              <w:t>Provide auditability for critical actions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Audit readiness</w:t>
            </w:r>
          </w:p>
        </w:tc>
      </w:tr>
      <w:tr>
        <w:tc>
          <w:tcPr>
            <w:tcW w:type="dxa" w:w="2160"/>
          </w:tcPr>
          <w:p>
            <w:r>
              <w:t>BR-006</w:t>
            </w:r>
          </w:p>
        </w:tc>
        <w:tc>
          <w:tcPr>
            <w:tcW w:type="dxa" w:w="2160"/>
          </w:tcPr>
          <w:p>
            <w:r>
              <w:t>Provide clear statuses and user guidance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Operational efficiency</w:t>
            </w:r>
          </w:p>
        </w:tc>
      </w:tr>
    </w:tbl>
    <w:p/>
    <w:p/>
    <w:p/>
    <w:p>
      <w:pPr>
        <w:pStyle w:val="Heading2"/>
      </w:pPr>
      <w:r>
        <w:t>7) Business Rules (reference)</w:t>
      </w:r>
    </w:p>
    <w:p>
      <w:r>
        <w:t>Business rules are documented in the dedicated Business Rules + Decision Tables deliverable.</w:t>
      </w:r>
    </w:p>
    <w:p/>
    <w:p/>
    <w:p>
      <w:pPr>
        <w:pStyle w:val="Heading2"/>
      </w:pPr>
      <w:r>
        <w:t>8) Constraints &amp; Assumptions</w:t>
      </w:r>
    </w:p>
    <w:p>
      <w:pPr>
        <w:pStyle w:val="ListBullet"/>
      </w:pPr>
      <w:r>
        <w:t>Role model exists and is approved by business and audit.</w:t>
      </w:r>
    </w:p>
    <w:p>
      <w:pPr>
        <w:pStyle w:val="ListBullet"/>
      </w:pPr>
      <w:r>
        <w:t>Approval workflow is configured.</w:t>
      </w:r>
    </w:p>
    <w:p>
      <w:pPr>
        <w:pStyle w:val="ListBullet"/>
      </w:pPr>
      <w:r>
        <w:t>Audit log retention meets policy.</w:t>
      </w:r>
    </w:p>
    <w:p/>
    <w:p/>
    <w:p>
      <w:pPr>
        <w:pStyle w:val="Heading2"/>
      </w:pPr>
      <w:r>
        <w:t>9) Risks &amp; Mitigations</w:t>
      </w:r>
    </w:p>
    <w:p>
      <w:pPr>
        <w:pStyle w:val="ListBullet"/>
      </w:pPr>
      <w:r>
        <w:t>Risk: Users bypass process with workarounds → Mitigation: enforce system gating + monitoring.</w:t>
      </w:r>
    </w:p>
    <w:p>
      <w:pPr>
        <w:pStyle w:val="ListBullet"/>
      </w:pPr>
      <w:r>
        <w:t>Risk: Approval delays → Mitigation: SLA targets + escalation paths.</w:t>
      </w:r>
    </w:p>
    <w:p>
      <w:pPr>
        <w:pStyle w:val="ListBullet"/>
      </w:pPr>
      <w:r>
        <w:t>Risk: Role creep breaks SoD → Mitigation: periodic access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