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Software Requirements Specification (SRS) — SAP ERP (Mock) BA Case Study (O2C)</w:t>
      </w:r>
    </w:p>
    <w:p/>
    <w:p/>
    <w:p>
      <w:r>
        <w:t>Standard: IEEE 29148-aligned SRS structure (English-first)</w:t>
      </w:r>
    </w:p>
    <w:p>
      <w:r>
        <w:t>Project / Scenario: Mock SAP ERP — Order-to-Cash (O2C) controls</w:t>
      </w:r>
    </w:p>
    <w:p>
      <w:r>
        <w:t>Example reference platform: SAP S/4HANA (SD + FI-AR + FSCM Credit Management)</w:t>
      </w:r>
    </w:p>
    <w:p>
      <w:r>
        <w:t>Simulation note: Portfolio mock; terminology references S/4HANA to be concrete; no proprietary SAP content</w:t>
      </w:r>
    </w:p>
    <w:p>
      <w:r>
        <w:t>Version: 0.2</w:t>
      </w:r>
    </w:p>
    <w:p>
      <w:r>
        <w:t>Date: 2026-01-19</w:t>
      </w:r>
    </w:p>
    <w:p/>
    <w:p/>
    <w:p>
      <w:pPr>
        <w:pStyle w:val="Heading2"/>
      </w:pPr>
      <w:r>
        <w:t>1. Scope</w:t>
      </w:r>
    </w:p>
    <w:p>
      <w:pPr>
        <w:pStyle w:val="Heading3"/>
      </w:pPr>
      <w:r>
        <w:t>1.1 Purpose</w:t>
      </w:r>
    </w:p>
    <w:p>
      <w:r>
        <w:t>This SRS specifies functional and quality requirements for an ERP Order-to-Cash (O2C) scope with pricing override governance, credit control, billing controls, role-based access control (RBAC), segregation of duties (SoD), and audit logging.</w:t>
      </w:r>
    </w:p>
    <w:p/>
    <w:p>
      <w:pPr>
        <w:pStyle w:val="Heading3"/>
      </w:pPr>
      <w:r>
        <w:t>1.2 System / Product Scope</w:t>
      </w:r>
    </w:p>
    <w:p>
      <w:r>
        <w:t>In scope:</w:t>
      </w:r>
    </w:p>
    <w:p>
      <w:pPr>
        <w:pStyle w:val="ListBullet"/>
      </w:pPr>
      <w:r>
        <w:t>Sales Order creation and pricing determination</w:t>
      </w:r>
    </w:p>
    <w:p>
      <w:pPr>
        <w:pStyle w:val="ListBullet"/>
      </w:pPr>
      <w:r>
        <w:t>Pricing override request, approval, and auditability</w:t>
      </w:r>
    </w:p>
    <w:p>
      <w:pPr>
        <w:pStyle w:val="ListBullet"/>
      </w:pPr>
      <w:r>
        <w:t>Credit check, credit block, and controlled release</w:t>
      </w:r>
    </w:p>
    <w:p>
      <w:pPr>
        <w:pStyle w:val="ListBullet"/>
      </w:pPr>
      <w:r>
        <w:t>Billing: invoice creation and credit memo controls</w:t>
      </w:r>
    </w:p>
    <w:p>
      <w:pPr>
        <w:pStyle w:val="ListBullet"/>
      </w:pPr>
      <w:r>
        <w:t>Audit evidence and reporting views</w:t>
      </w:r>
    </w:p>
    <w:p/>
    <w:p>
      <w:r>
        <w:t>Out of scope:</w:t>
      </w:r>
    </w:p>
    <w:p>
      <w:pPr>
        <w:pStyle w:val="ListBullet"/>
      </w:pPr>
      <w:r>
        <w:t>Full FI/CO posting and reconciliation detail</w:t>
      </w:r>
    </w:p>
    <w:p>
      <w:pPr>
        <w:pStyle w:val="ListBullet"/>
      </w:pPr>
      <w:r>
        <w:t>EDI/IDoc integrations and external tax engines</w:t>
      </w:r>
    </w:p>
    <w:p>
      <w:pPr>
        <w:pStyle w:val="ListBullet"/>
      </w:pPr>
      <w:r>
        <w:t>Warehouse execution specifics</w:t>
      </w:r>
    </w:p>
    <w:p/>
    <w:p>
      <w:pPr>
        <w:pStyle w:val="Heading3"/>
      </w:pPr>
      <w:r>
        <w:t>1.3 Intended Audience</w:t>
      </w:r>
    </w:p>
    <w:p>
      <w:pPr>
        <w:pStyle w:val="ListBullet"/>
      </w:pPr>
      <w:r>
        <w:t>Business stakeholders (Sales Ops, Credit/Risk, Billing)</w:t>
      </w:r>
    </w:p>
    <w:p>
      <w:pPr>
        <w:pStyle w:val="ListBullet"/>
      </w:pPr>
      <w:r>
        <w:t>QA/UAT participants</w:t>
      </w:r>
    </w:p>
    <w:p>
      <w:pPr>
        <w:pStyle w:val="ListBullet"/>
      </w:pPr>
      <w:r>
        <w:t>ERP solution owner / implementers</w:t>
      </w:r>
    </w:p>
    <w:p/>
    <w:p/>
    <w:p>
      <w:pPr>
        <w:pStyle w:val="Heading2"/>
      </w:pPr>
      <w:r>
        <w:t>2. Normative and Informative References</w:t>
      </w:r>
    </w:p>
    <w:p>
      <w:pPr>
        <w:pStyle w:val="ListBullet"/>
      </w:pPr>
      <w:r>
        <w:t>PRD: `SAP_ERP_PRD`</w:t>
      </w:r>
    </w:p>
    <w:p>
      <w:pPr>
        <w:pStyle w:val="ListBullet"/>
      </w:pPr>
      <w:r>
        <w:t>BRD: `SAP_ERP_BRD`</w:t>
      </w:r>
    </w:p>
    <w:p>
      <w:pPr>
        <w:pStyle w:val="ListBullet"/>
      </w:pPr>
      <w:r>
        <w:t>Business Rules &amp; Decision Tables: `SAP_ERP_Business_Rules_Decision_Tables`</w:t>
      </w:r>
    </w:p>
    <w:p>
      <w:pPr>
        <w:pStyle w:val="ListBullet"/>
      </w:pPr>
      <w:r>
        <w:t>Roles &amp; Permissions Matrix: `SAP_ERP_Roles_Permissions`</w:t>
      </w:r>
    </w:p>
    <w:p>
      <w:pPr>
        <w:pStyle w:val="ListBullet"/>
      </w:pPr>
      <w:r>
        <w:t>RTM: `SAP_ERP_RTM`</w:t>
      </w:r>
    </w:p>
    <w:p>
      <w:pPr>
        <w:pStyle w:val="ListBullet"/>
      </w:pPr>
      <w:r>
        <w:t>UAT Test Cases: `SAP_ERP_UAT_Test_Cases`</w:t>
      </w:r>
    </w:p>
    <w:p>
      <w:pPr>
        <w:pStyle w:val="ListBullet"/>
      </w:pPr>
      <w:r>
        <w:t>UAT Test Summary + Sign-off (IEEE 829): `SAP_ERP_UAT_Test_Summary_Report_IEEE829`</w:t>
      </w:r>
    </w:p>
    <w:p/>
    <w:p/>
    <w:p>
      <w:pPr>
        <w:pStyle w:val="Heading2"/>
      </w:pPr>
      <w:r>
        <w:t>3. Terms, Definitions,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O2C</w:t>
            </w:r>
          </w:p>
        </w:tc>
        <w:tc>
          <w:tcPr>
            <w:tcW w:type="dxa" w:w="4320"/>
          </w:tcPr>
          <w:p>
            <w:r>
              <w:t>Order-to-Cash process from order entry to billing and payment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SoD</w:t>
            </w:r>
          </w:p>
        </w:tc>
        <w:tc>
          <w:tcPr>
            <w:tcW w:type="dxa" w:w="4320"/>
          </w:tcPr>
          <w:p>
            <w:r>
              <w:t>Segregation of Duties to prevent conflicting permissions</w:t>
            </w:r>
          </w:p>
        </w:tc>
      </w:tr>
      <w:tr>
        <w:tc>
          <w:tcPr>
            <w:tcW w:type="dxa" w:w="4320"/>
          </w:tcPr>
          <w:p>
            <w:r>
              <w:t>Credit block</w:t>
            </w:r>
          </w:p>
        </w:tc>
        <w:tc>
          <w:tcPr>
            <w:tcW w:type="dxa" w:w="4320"/>
          </w:tcPr>
          <w:p>
            <w:r>
              <w:t>System status preventing further processing due to credit policy</w:t>
            </w:r>
          </w:p>
        </w:tc>
      </w:tr>
      <w:tr>
        <w:tc>
          <w:tcPr>
            <w:tcW w:type="dxa" w:w="4320"/>
          </w:tcPr>
          <w:p>
            <w:r>
              <w:t>Pricing override</w:t>
            </w:r>
          </w:p>
        </w:tc>
        <w:tc>
          <w:tcPr>
            <w:tcW w:type="dxa" w:w="4320"/>
          </w:tcPr>
          <w:p>
            <w:r>
              <w:t>Manual change to pricing beyond configured tolerance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Immutable record of critical actions (who/when/what)</w:t>
            </w:r>
          </w:p>
        </w:tc>
      </w:tr>
    </w:tbl>
    <w:p/>
    <w:p/>
    <w:p/>
    <w:p>
      <w:pPr>
        <w:pStyle w:val="Heading2"/>
      </w:pPr>
      <w:r>
        <w:t>4. System Overview</w:t>
      </w:r>
    </w:p>
    <w:p>
      <w:r>
        <w:t>The system supports controlled O2C execution with governance controls to reduce revenue leakage (pricing overrides), reduce financial risk (credit control), and improve compliance (auditability and SoD).</w:t>
      </w:r>
    </w:p>
    <w:p/>
    <w:p/>
    <w:p>
      <w:pPr>
        <w:pStyle w:val="Heading2"/>
      </w:pPr>
      <w:r>
        <w:t>5. System Context and Operating Environment</w:t>
      </w:r>
    </w:p>
    <w:p>
      <w:pPr>
        <w:pStyle w:val="Heading3"/>
      </w:pPr>
      <w:r>
        <w:t>5.1 Users / External Actors</w:t>
      </w:r>
    </w:p>
    <w:p>
      <w:pPr>
        <w:pStyle w:val="ListBullet"/>
      </w:pPr>
      <w:r>
        <w:t>Sales Rep</w:t>
      </w:r>
    </w:p>
    <w:p>
      <w:pPr>
        <w:pStyle w:val="ListBullet"/>
      </w:pPr>
      <w:r>
        <w:t>Sales Manager (approver)</w:t>
      </w:r>
    </w:p>
    <w:p>
      <w:pPr>
        <w:pStyle w:val="ListBullet"/>
      </w:pPr>
      <w:r>
        <w:t>Credit Analyst</w:t>
      </w:r>
    </w:p>
    <w:p>
      <w:pPr>
        <w:pStyle w:val="ListBullet"/>
      </w:pPr>
      <w:r>
        <w:t>Billing Clerk</w:t>
      </w:r>
    </w:p>
    <w:p>
      <w:pPr>
        <w:pStyle w:val="ListBullet"/>
      </w:pPr>
      <w:r>
        <w:t>Auditor</w:t>
      </w:r>
    </w:p>
    <w:p/>
    <w:p>
      <w:pPr>
        <w:pStyle w:val="Heading3"/>
      </w:pPr>
      <w:r>
        <w:t>5.2 Operating Environment (assumptions)</w:t>
      </w:r>
    </w:p>
    <w:p>
      <w:pPr>
        <w:pStyle w:val="ListBullet"/>
      </w:pPr>
      <w:r>
        <w:t>ERP UI (example: SAP Fiori apps and/or SAP GUI screens), simulated for portfolio purposes</w:t>
      </w:r>
    </w:p>
    <w:p>
      <w:pPr>
        <w:pStyle w:val="ListBullet"/>
      </w:pPr>
      <w:r>
        <w:t>Test data available (customers, materials, pricing, credit exposure)</w:t>
      </w:r>
    </w:p>
    <w:p/>
    <w:p/>
    <w:p>
      <w:pPr>
        <w:pStyle w:val="Heading2"/>
      </w:pPr>
      <w:r>
        <w:t>6. Requirements</w:t>
      </w:r>
    </w:p>
    <w:p>
      <w:pPr>
        <w:pStyle w:val="Heading3"/>
      </w:pPr>
      <w:r>
        <w:t>6.1 Requirement statement conventions</w:t>
      </w:r>
    </w:p>
    <w:p>
      <w:pPr>
        <w:pStyle w:val="ListBullet"/>
      </w:pPr>
      <w:r>
        <w:t>Requirements use “shall” statements.</w:t>
      </w:r>
    </w:p>
    <w:p>
      <w:pPr>
        <w:pStyle w:val="ListBullet"/>
      </w:pPr>
      <w:r>
        <w:t>Each requirement has an ID, priority, and verification method.</w:t>
      </w:r>
    </w:p>
    <w:p/>
    <w:p>
      <w:pPr>
        <w:pStyle w:val="Heading3"/>
      </w:pPr>
      <w:r>
        <w:t>6.2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 (shall)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FR-O2C-001</w:t>
            </w:r>
          </w:p>
        </w:tc>
        <w:tc>
          <w:tcPr>
            <w:tcW w:type="dxa" w:w="2160"/>
          </w:tcPr>
          <w:p>
            <w:r>
              <w:t>The system shall allow a Sales Rep to create a Sales Order with automatic pricing determination.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FR-O2C-002</w:t>
            </w:r>
          </w:p>
        </w:tc>
        <w:tc>
          <w:tcPr>
            <w:tcW w:type="dxa" w:w="2160"/>
          </w:tcPr>
          <w:p>
            <w:r>
              <w:t>The system shall require a reason code/text when a pricing override is requested.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FR-O2C-003</w:t>
            </w:r>
          </w:p>
        </w:tc>
        <w:tc>
          <w:tcPr>
            <w:tcW w:type="dxa" w:w="2160"/>
          </w:tcPr>
          <w:p>
            <w:r>
              <w:t>The system shall route pricing overrides to approver(s) and persist the approval decision and approver identity.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FR-O2C-004</w:t>
            </w:r>
          </w:p>
        </w:tc>
        <w:tc>
          <w:tcPr>
            <w:tcW w:type="dxa" w:w="2160"/>
          </w:tcPr>
          <w:p>
            <w:r>
              <w:t>The system shall perform a credit check and apply a credit block when the customer exposure exceeds the credit limit.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FR-O2C-005</w:t>
            </w:r>
          </w:p>
        </w:tc>
        <w:tc>
          <w:tcPr>
            <w:tcW w:type="dxa" w:w="2160"/>
          </w:tcPr>
          <w:p>
            <w:r>
              <w:t>The system shall allow only authorized Credit roles to release a credit block and shall record the release action.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FR-O2C-006</w:t>
            </w:r>
          </w:p>
        </w:tc>
        <w:tc>
          <w:tcPr>
            <w:tcW w:type="dxa" w:w="2160"/>
          </w:tcPr>
          <w:p>
            <w:r>
              <w:t>The system shall allow invoice creation only when prerequisite statuses are satisfied (e.g., approvals complete, no credit block).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FR-O2C-007</w:t>
            </w:r>
          </w:p>
        </w:tc>
        <w:tc>
          <w:tcPr>
            <w:tcW w:type="dxa" w:w="2160"/>
          </w:tcPr>
          <w:p>
            <w:r>
              <w:t>The system shall require a reason code for credit memo creation and enforce approval if configured by policy.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FR-SEC-001</w:t>
            </w:r>
          </w:p>
        </w:tc>
        <w:tc>
          <w:tcPr>
            <w:tcW w:type="dxa" w:w="2160"/>
          </w:tcPr>
          <w:p>
            <w:r>
              <w:t>The system shall enforce RBAC for sensitive actions (billing creation, credit release, override approval).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FR-CTRL-001</w:t>
            </w:r>
          </w:p>
        </w:tc>
        <w:tc>
          <w:tcPr>
            <w:tcW w:type="dxa" w:w="2160"/>
          </w:tcPr>
          <w:p>
            <w:r>
              <w:t>The system shall record audit logs for critical actions including actor, timestamp, object ID, and old/new values where applicable.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/>
    <w:p/>
    <w:p>
      <w:pPr>
        <w:pStyle w:val="Heading3"/>
      </w:pPr>
      <w:r>
        <w:t>6.3 Business rules (normative reference)</w:t>
      </w:r>
    </w:p>
    <w:p>
      <w:r>
        <w:t>Business rules and decision tables are defined in `SAP_ERP_Business_Rules_Decision_Tables` and are treated as normative constraints for this SRS.</w:t>
      </w:r>
    </w:p>
    <w:p/>
    <w:p>
      <w:pPr>
        <w:pStyle w:val="Heading3"/>
      </w:pPr>
      <w:r>
        <w:t>6.4 Data requirements</w:t>
      </w:r>
    </w:p>
    <w:p>
      <w:pPr>
        <w:pStyle w:val="ListBullet"/>
      </w:pPr>
      <w:r>
        <w:t>Customer master data: credit limit, exposure</w:t>
      </w:r>
    </w:p>
    <w:p>
      <w:pPr>
        <w:pStyle w:val="ListBullet"/>
      </w:pPr>
      <w:r>
        <w:t>Material master data: pricing applicability</w:t>
      </w:r>
    </w:p>
    <w:p>
      <w:pPr>
        <w:pStyle w:val="ListBullet"/>
      </w:pPr>
      <w:r>
        <w:t>Documents: Sales Order, Invoice, Credit Memo</w:t>
      </w:r>
    </w:p>
    <w:p>
      <w:pPr>
        <w:pStyle w:val="ListBullet"/>
      </w:pPr>
      <w:r>
        <w:t>Audit log records for critical actions</w:t>
      </w:r>
    </w:p>
    <w:p/>
    <w:p>
      <w:pPr>
        <w:pStyle w:val="Heading3"/>
      </w:pPr>
      <w:r>
        <w:t>6.5 External interface requirements (high level)</w:t>
      </w:r>
    </w:p>
    <w:p>
      <w:pPr>
        <w:pStyle w:val="ListBullet"/>
      </w:pPr>
      <w:r>
        <w:t>User interface shall display statuses (Pending Approval, Credit Blocked) and actionable messages.</w:t>
      </w:r>
    </w:p>
    <w:p>
      <w:pPr>
        <w:pStyle w:val="ListBullet"/>
      </w:pPr>
      <w:r>
        <w:t>Reporting interface shall allow viewing audit log records by document.</w:t>
      </w:r>
    </w:p>
    <w:p/>
    <w:p>
      <w:pPr>
        <w:pStyle w:val="Heading3"/>
      </w:pPr>
      <w:r>
        <w:t>6.6 Quality (non-functional)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 (shall)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  <w:tr>
        <w:tc>
          <w:tcPr>
            <w:tcW w:type="dxa" w:w="2160"/>
          </w:tcPr>
          <w:p>
            <w:r>
              <w:t>NFR-SEC-001</w:t>
            </w:r>
          </w:p>
        </w:tc>
        <w:tc>
          <w:tcPr>
            <w:tcW w:type="dxa" w:w="2160"/>
          </w:tcPr>
          <w:p>
            <w:r>
              <w:t>The system shall enforce least privilege and prevent users from performing actions outside assigned roles.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NFR-AUD-001</w:t>
            </w:r>
          </w:p>
        </w:tc>
        <w:tc>
          <w:tcPr>
            <w:tcW w:type="dxa" w:w="2160"/>
          </w:tcPr>
          <w:p>
            <w:r>
              <w:t>The system shall capture audit evidence for pricing override and credit release actions sufficient for internal audit review.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NFR-USA-001</w:t>
            </w:r>
          </w:p>
        </w:tc>
        <w:tc>
          <w:tcPr>
            <w:tcW w:type="dxa" w:w="2160"/>
          </w:tcPr>
          <w:p>
            <w:r>
              <w:t>The system shall provide clear error messages when actions are blocked (e.g., credit block, missing approval).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NFR-REL-001</w:t>
            </w:r>
          </w:p>
        </w:tc>
        <w:tc>
          <w:tcPr>
            <w:tcW w:type="dxa" w:w="2160"/>
          </w:tcPr>
          <w:p>
            <w:r>
              <w:t>The system shall prevent inconsistent states such as billing while the order is credit-blocked.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/>
    <w:p/>
    <w:p>
      <w:pPr>
        <w:pStyle w:val="Heading3"/>
      </w:pPr>
      <w:r>
        <w:t>6.7 Constraints</w:t>
      </w:r>
    </w:p>
    <w:p>
      <w:pPr>
        <w:pStyle w:val="ListBullet"/>
      </w:pPr>
      <w:r>
        <w:t>Segregation of duties: Sales roles must not release credit blocks.</w:t>
      </w:r>
    </w:p>
    <w:p>
      <w:pPr>
        <w:pStyle w:val="ListBullet"/>
      </w:pPr>
      <w:r>
        <w:t>Audit trail must be available for critical actions.</w:t>
      </w:r>
    </w:p>
    <w:p/>
    <w:p/>
    <w:p>
      <w:pPr>
        <w:pStyle w:val="Heading2"/>
      </w:pPr>
      <w:r>
        <w:t>7. Verification and Validation</w:t>
      </w:r>
    </w:p>
    <w:p>
      <w:r>
        <w:t>Primary verification method for this portfolio case study is UAT / functional testing with evidence capture.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IDs</w:t>
            </w:r>
          </w:p>
        </w:tc>
        <w:tc>
          <w:tcPr>
            <w:tcW w:type="dxa" w:w="4320"/>
          </w:tcPr>
          <w:p>
            <w:r>
              <w:t>Validation approach</w:t>
            </w:r>
          </w:p>
        </w:tc>
      </w:tr>
      <w:tr>
        <w:tc>
          <w:tcPr>
            <w:tcW w:type="dxa" w:w="4320"/>
          </w:tcPr>
          <w:p>
            <w:r>
              <w:t>FR-O2C-001..007</w:t>
            </w:r>
          </w:p>
        </w:tc>
        <w:tc>
          <w:tcPr>
            <w:tcW w:type="dxa" w:w="4320"/>
          </w:tcPr>
          <w:p>
            <w:r>
              <w:t>Execute UAT test cases for O2C flows and capture screenshots/status evidence</w:t>
            </w:r>
          </w:p>
        </w:tc>
      </w:tr>
      <w:tr>
        <w:tc>
          <w:tcPr>
            <w:tcW w:type="dxa" w:w="4320"/>
          </w:tcPr>
          <w:p>
            <w:r>
              <w:t>FR-SEC-001</w:t>
            </w:r>
          </w:p>
        </w:tc>
        <w:tc>
          <w:tcPr>
            <w:tcW w:type="dxa" w:w="4320"/>
          </w:tcPr>
          <w:p>
            <w:r>
              <w:t>Execute negative authorization tests (access denied)</w:t>
            </w:r>
          </w:p>
        </w:tc>
      </w:tr>
      <w:tr>
        <w:tc>
          <w:tcPr>
            <w:tcW w:type="dxa" w:w="4320"/>
          </w:tcPr>
          <w:p>
            <w:r>
              <w:t>FR-CTRL-001</w:t>
            </w:r>
          </w:p>
        </w:tc>
        <w:tc>
          <w:tcPr>
            <w:tcW w:type="dxa" w:w="4320"/>
          </w:tcPr>
          <w:p>
            <w:r>
              <w:t>Review audit log entries for completeness</w:t>
            </w:r>
          </w:p>
        </w:tc>
      </w:tr>
      <w:tr>
        <w:tc>
          <w:tcPr>
            <w:tcW w:type="dxa" w:w="4320"/>
          </w:tcPr>
          <w:p>
            <w:r>
              <w:t>NFR-*</w:t>
            </w:r>
          </w:p>
        </w:tc>
        <w:tc>
          <w:tcPr>
            <w:tcW w:type="dxa" w:w="4320"/>
          </w:tcPr>
          <w:p>
            <w:r>
              <w:t>Validate through UAT evidence and scenario checks</w:t>
            </w:r>
          </w:p>
        </w:tc>
      </w:tr>
    </w:tbl>
    <w:p/>
    <w:p/>
    <w:p/>
    <w:p>
      <w:pPr>
        <w:pStyle w:val="Heading2"/>
      </w:pPr>
      <w:r>
        <w:t>8. Traceability</w:t>
      </w:r>
    </w:p>
    <w:p>
      <w:r>
        <w:t>Traceability to business rules and UAT tests is maintained in the RTM: `SAP_ERP_RTM`.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