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矿山微震系统B/S前端汇报文档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一.页面总体布局：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6690" cy="2466340"/>
            <wp:effectExtent l="0" t="0" r="5715" b="1905"/>
            <wp:docPr id="5" name="图片 5" descr="w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d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 flexible.js 与 BootStrap框架，在屏幕缩放时自适应大小。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二．页面各部分区域详细介绍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2439670"/>
            <wp:effectExtent l="0" t="0" r="13970" b="13970"/>
            <wp:docPr id="10" name="图片 10" descr="w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图1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（1）header部分：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图1编号1区域为系统页面header头部，在右上角可显示当前时间。核心代码如图2。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8595" cy="3389630"/>
            <wp:effectExtent l="0" t="0" r="3810" b="13335"/>
            <wp:docPr id="7" name="图片 7" descr="w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d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图2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navigation部分：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图1编号2区域为系统导航栏部分，使用BootStrap 前端框架的栅格系统，通过onClick() 方法在触发后进行不同矿区数据分析页面的切换，具体变化的部分是图1 编号3区域，变换逻辑代码如图3.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230" cy="986790"/>
            <wp:effectExtent l="0" t="0" r="3175" b="6350"/>
            <wp:docPr id="8" name="图片 8" descr="w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d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图3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（3）主体部分：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图1 编号3区域为系统主体内容显示部分。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7960" cy="2501265"/>
            <wp:effectExtent l="0" t="0" r="4445" b="10795"/>
            <wp:docPr id="9" name="图片 9" descr="w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d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图4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（4）</w:t>
      </w:r>
      <w:r>
        <w:rPr>
          <w:rFonts w:hint="eastAsia"/>
          <w:b/>
          <w:bCs/>
          <w:sz w:val="21"/>
          <w:szCs w:val="21"/>
          <w:lang w:val="en-US" w:eastAsia="zh-CN"/>
        </w:rPr>
        <w:t>图表部分：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图4中各个图表使用了 echarts框架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4785" cy="1825625"/>
            <wp:effectExtent l="0" t="0" r="7620" b="0"/>
            <wp:docPr id="3" name="图片 3" descr="w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d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目前的工作进度 ：将图表样例运用在了系统前端界面上面，尚未与后端接口进行对接。后续将会进行前后端连通测试。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（5）</w:t>
      </w:r>
      <w:r>
        <w:rPr>
          <w:rFonts w:hint="eastAsia"/>
          <w:b/>
          <w:bCs/>
          <w:sz w:val="21"/>
          <w:szCs w:val="21"/>
          <w:lang w:val="en-US" w:eastAsia="zh-CN"/>
        </w:rPr>
        <w:t>CAD部分：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图4编号6区域，使用MxCAD网页版控件来显示 .dwg文件。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632960" cy="2035810"/>
            <wp:effectExtent l="0" t="0" r="11430" b="8890"/>
            <wp:docPr id="4" name="图片 4" descr="w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d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后续将会使用 MxWeb3D 控件，记录两个控件加载 .dwg 文件的速度，最后选择效率最优的。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5B65A"/>
    <w:multiLevelType w:val="singleLevel"/>
    <w:tmpl w:val="69A5B65A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80A99"/>
    <w:rsid w:val="0D9771F0"/>
    <w:rsid w:val="113C265C"/>
    <w:rsid w:val="1F787A13"/>
    <w:rsid w:val="33A80A99"/>
    <w:rsid w:val="3563414A"/>
    <w:rsid w:val="36B26769"/>
    <w:rsid w:val="371E4F95"/>
    <w:rsid w:val="39A21A44"/>
    <w:rsid w:val="3FA21777"/>
    <w:rsid w:val="44A625EE"/>
    <w:rsid w:val="459B5A39"/>
    <w:rsid w:val="469D25A6"/>
    <w:rsid w:val="48CD2EC9"/>
    <w:rsid w:val="4A957424"/>
    <w:rsid w:val="4BE73B5B"/>
    <w:rsid w:val="4DCE00F5"/>
    <w:rsid w:val="50F61291"/>
    <w:rsid w:val="513325FA"/>
    <w:rsid w:val="57361FE0"/>
    <w:rsid w:val="5A0A29AD"/>
    <w:rsid w:val="5CDA0407"/>
    <w:rsid w:val="700952E5"/>
    <w:rsid w:val="70E02715"/>
    <w:rsid w:val="70FD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2020-07-30T09:50:00Z</dcterms:created>
  <dc:creator>UY</dc:creator>
  <cp:lastModifiedBy>！智涵</cp:lastModifiedBy>
  <dcterms:modified xsi:type="dcterms:W3CDTF">2020-07-31T05:47:30Z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