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80"/>
      </w:pPr>
      <w:r>
        <w:rPr>
          <w:rFonts w:ascii="Calibri" w:hAnsi="Calibri"/>
          <w:b/>
          <w:i w:val="0"/>
          <w:color w:val="2563EB"/>
          <w:sz w:val="20"/>
        </w:rPr>
        <w:t>BETA RELEASE REPORT</w:t>
      </w:r>
    </w:p>
    <w:p>
      <w:pPr>
        <w:spacing w:after="80"/>
      </w:pPr>
      <w:r>
        <w:rPr>
          <w:rFonts w:ascii="Calibri" w:hAnsi="Calibri"/>
          <w:b/>
          <w:i w:val="0"/>
          <w:color w:val="172033"/>
          <w:sz w:val="56"/>
        </w:rPr>
        <w:t>ScholarPath</w:t>
      </w:r>
    </w:p>
    <w:p>
      <w:pPr>
        <w:spacing w:after="360"/>
      </w:pPr>
      <w:r>
        <w:rPr>
          <w:rFonts w:ascii="Calibri" w:hAnsi="Calibri"/>
          <w:b w:val="0"/>
          <w:i w:val="0"/>
          <w:color w:val="5F6B7A"/>
          <w:sz w:val="30"/>
        </w:rPr>
        <w:t>Full module status, blockers and eight-day launch plan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172033"/>
            <w:vAlign w:val="center"/>
            <w:tcMar>
              <w:top w:w="80" w:type="dxa"/>
              <w:start w:w="120" w:type="dxa"/>
              <w:bottom w:w="80" w:type="dxa"/>
              <w:end w:w="120" w:type="dxa"/>
            </w:tcMar>
          </w:tcPr>
          <w:p>
            <w:pPr>
              <w:spacing w:after="0"/>
            </w:pPr>
            <w:r/>
            <w:r>
              <w:rPr>
                <w:rFonts w:ascii="Calibri" w:hAnsi="Calibri"/>
                <w:b/>
                <w:i w:val="0"/>
                <w:color w:val="FFFFFF"/>
                <w:sz w:val="19"/>
              </w:rPr>
              <w:t>Report field</w:t>
            </w:r>
          </w:p>
        </w:tc>
        <w:tc>
          <w:tcPr>
            <w:tcW w:type="dxa" w:w="6660"/>
            <w:shd w:fill="172033"/>
            <w:vAlign w:val="center"/>
            <w:tcMar>
              <w:top w:w="80" w:type="dxa"/>
              <w:start w:w="120" w:type="dxa"/>
              <w:bottom w:w="80" w:type="dxa"/>
              <w:end w:w="120" w:type="dxa"/>
            </w:tcMar>
          </w:tcPr>
          <w:p>
            <w:pPr>
              <w:spacing w:after="0"/>
            </w:pPr>
            <w:r/>
            <w:r>
              <w:rPr>
                <w:rFonts w:ascii="Calibri" w:hAnsi="Calibri"/>
                <w:b/>
                <w:i w:val="0"/>
                <w:color w:val="FFFFFF"/>
                <w:sz w:val="19"/>
              </w:rPr>
              <w:t>Current position</w:t>
            </w:r>
          </w:p>
        </w:tc>
      </w:tr>
      <w:tr>
        <w:tc>
          <w:tcPr>
            <w:tcW w:type="dxa" w:w="2700"/>
            <w:vAlign w:val="top"/>
            <w:tcMar>
              <w:top w:w="80" w:type="dxa"/>
              <w:start w:w="120" w:type="dxa"/>
              <w:bottom w:w="80" w:type="dxa"/>
              <w:end w:w="120" w:type="dxa"/>
            </w:tcMar>
          </w:tcPr>
          <w:p>
            <w:pPr>
              <w:spacing w:after="0" w:line="252" w:lineRule="auto"/>
            </w:pPr>
            <w:r/>
            <w:r>
              <w:rPr>
                <w:rFonts w:ascii="Calibri" w:hAnsi="Calibri"/>
                <w:b w:val="0"/>
                <w:i w:val="0"/>
                <w:color w:val="172033"/>
                <w:sz w:val="20"/>
              </w:rPr>
              <w:t>Prepared</w:t>
            </w:r>
          </w:p>
        </w:tc>
        <w:tc>
          <w:tcPr>
            <w:tcW w:type="dxa" w:w="6660"/>
            <w:vAlign w:val="top"/>
            <w:tcMar>
              <w:top w:w="80" w:type="dxa"/>
              <w:start w:w="120" w:type="dxa"/>
              <w:bottom w:w="80" w:type="dxa"/>
              <w:end w:w="120" w:type="dxa"/>
            </w:tcMar>
          </w:tcPr>
          <w:p>
            <w:pPr>
              <w:spacing w:after="0" w:line="252" w:lineRule="auto"/>
            </w:pPr>
            <w:r/>
            <w:r>
              <w:rPr>
                <w:rFonts w:ascii="Calibri" w:hAnsi="Calibri"/>
                <w:b w:val="0"/>
                <w:i w:val="0"/>
                <w:color w:val="172033"/>
                <w:sz w:val="20"/>
              </w:rPr>
              <w:t>6 August 2026</w:t>
            </w:r>
          </w:p>
        </w:tc>
      </w:tr>
      <w:tr>
        <w:tc>
          <w:tcPr>
            <w:tcW w:type="dxa" w:w="27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Beta date</w:t>
            </w:r>
          </w:p>
        </w:tc>
        <w:tc>
          <w:tcPr>
            <w:tcW w:type="dxa" w:w="66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14 August 2026</w:t>
            </w:r>
          </w:p>
        </w:tc>
      </w:tr>
      <w:tr>
        <w:tc>
          <w:tcPr>
            <w:tcW w:type="dxa" w:w="2700"/>
            <w:vAlign w:val="top"/>
            <w:tcMar>
              <w:top w:w="80" w:type="dxa"/>
              <w:start w:w="120" w:type="dxa"/>
              <w:bottom w:w="80" w:type="dxa"/>
              <w:end w:w="120" w:type="dxa"/>
            </w:tcMar>
          </w:tcPr>
          <w:p>
            <w:pPr>
              <w:spacing w:after="0" w:line="252" w:lineRule="auto"/>
            </w:pPr>
            <w:r/>
            <w:r>
              <w:rPr>
                <w:rFonts w:ascii="Calibri" w:hAnsi="Calibri"/>
                <w:b w:val="0"/>
                <w:i w:val="0"/>
                <w:color w:val="172033"/>
                <w:sz w:val="20"/>
              </w:rPr>
              <w:t>Launch type</w:t>
            </w:r>
          </w:p>
        </w:tc>
        <w:tc>
          <w:tcPr>
            <w:tcW w:type="dxa" w:w="6660"/>
            <w:vAlign w:val="top"/>
            <w:tcMar>
              <w:top w:w="80" w:type="dxa"/>
              <w:start w:w="120" w:type="dxa"/>
              <w:bottom w:w="80" w:type="dxa"/>
              <w:end w:w="120" w:type="dxa"/>
            </w:tcMar>
          </w:tcPr>
          <w:p>
            <w:pPr>
              <w:spacing w:after="0" w:line="252" w:lineRule="auto"/>
            </w:pPr>
            <w:r/>
            <w:r>
              <w:rPr>
                <w:rFonts w:ascii="Calibri" w:hAnsi="Calibri"/>
                <w:b w:val="0"/>
                <w:i w:val="0"/>
                <w:color w:val="172033"/>
                <w:sz w:val="20"/>
              </w:rPr>
              <w:t>Controlled invite-only beta</w:t>
            </w:r>
          </w:p>
        </w:tc>
      </w:tr>
      <w:tr>
        <w:tc>
          <w:tcPr>
            <w:tcW w:type="dxa" w:w="27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Audience</w:t>
            </w:r>
          </w:p>
        </w:tc>
        <w:tc>
          <w:tcPr>
            <w:tcW w:type="dxa" w:w="66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5-10 postgraduate applicants from Pakistan, India and Bangladesh</w:t>
            </w:r>
          </w:p>
        </w:tc>
      </w:tr>
      <w:tr>
        <w:tc>
          <w:tcPr>
            <w:tcW w:type="dxa" w:w="2700"/>
            <w:vAlign w:val="top"/>
            <w:tcMar>
              <w:top w:w="80" w:type="dxa"/>
              <w:start w:w="120" w:type="dxa"/>
              <w:bottom w:w="80" w:type="dxa"/>
              <w:end w:w="120" w:type="dxa"/>
            </w:tcMar>
          </w:tcPr>
          <w:p>
            <w:pPr>
              <w:spacing w:after="0" w:line="252" w:lineRule="auto"/>
            </w:pPr>
            <w:r/>
            <w:r>
              <w:rPr>
                <w:rFonts w:ascii="Calibri" w:hAnsi="Calibri"/>
                <w:b w:val="0"/>
                <w:i w:val="0"/>
                <w:color w:val="172033"/>
                <w:sz w:val="20"/>
              </w:rPr>
              <w:t>Overall state</w:t>
            </w:r>
          </w:p>
        </w:tc>
        <w:tc>
          <w:tcPr>
            <w:tcW w:type="dxa" w:w="6660"/>
            <w:vAlign w:val="top"/>
            <w:tcMar>
              <w:top w:w="80" w:type="dxa"/>
              <w:start w:w="120" w:type="dxa"/>
              <w:bottom w:w="80" w:type="dxa"/>
              <w:end w:w="120" w:type="dxa"/>
            </w:tcMar>
          </w:tcPr>
          <w:p>
            <w:pPr>
              <w:spacing w:after="0" w:line="252" w:lineRule="auto"/>
            </w:pPr>
            <w:r/>
            <w:r>
              <w:rPr>
                <w:rFonts w:ascii="Calibri" w:hAnsi="Calibri"/>
                <w:b w:val="0"/>
                <w:i w:val="0"/>
                <w:color w:val="172033"/>
                <w:sz w:val="20"/>
              </w:rPr>
              <w:t>Beta-shaped codebase; production connection and proof remain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tcPr>
          <w:p>
            <w:pPr>
              <w:spacing w:after="0"/>
            </w:pPr>
            <w:r/>
            <w:r>
              <w:rPr>
                <w:rFonts w:ascii="Calibri" w:hAnsi="Calibri"/>
                <w:b/>
                <w:i w:val="0"/>
                <w:color w:val="A15C00"/>
                <w:sz w:val="22"/>
              </w:rPr>
              <w:t xml:space="preserve">Decision: </w:t>
            </w:r>
            <w:r>
              <w:rPr>
                <w:rFonts w:ascii="Calibri" w:hAnsi="Calibri"/>
                <w:b w:val="0"/>
                <w:i w:val="0"/>
                <w:color w:val="172033"/>
                <w:sz w:val="22"/>
              </w:rPr>
              <w:t>The August 14 beta remains achievable only if scope is frozen now. Production Auth, live recommendations, reviewed data, security and feedback are mandatory. Writing, recommenders, offers, iOS and advanced automation are deferred.</w:t>
            </w:r>
          </w:p>
        </w:tc>
      </w:tr>
    </w:tbl>
    <w:p>
      <w:pPr>
        <w:spacing w:after="40"/>
      </w:pPr>
    </w:p>
    <w:p>
      <w:pPr>
        <w:pStyle w:val="Heading1"/>
        <w:keepNext/>
      </w:pPr>
      <w:r>
        <w:rPr>
          <w:rFonts w:ascii="Calibri" w:hAnsi="Calibri"/>
          <w:b/>
          <w:i w:val="0"/>
          <w:color w:val="2563EB"/>
          <w:sz w:val="32"/>
        </w:rPr>
        <w:t>1. Executive summary</w:t>
      </w:r>
    </w:p>
    <w:p>
      <w:pPr>
        <w:spacing w:after="120" w:line="264" w:lineRule="auto"/>
      </w:pPr>
      <w:r>
        <w:rPr>
          <w:rFonts w:ascii="Calibri" w:hAnsi="Calibri"/>
          <w:b w:val="0"/>
          <w:i w:val="0"/>
          <w:color w:val="172033"/>
          <w:sz w:val="22"/>
        </w:rPr>
        <w:t>ScholarPath is not missing its core architecture. The student interface, database schema, deterministic eligibility and recommendation logic, application workspace, task engine, country intelligence and operations surfaces exist. The remaining launch risk is that major journeys still fall back to demonstration data because production Supabase and Vercel are not configured in the current environment.</w:t>
      </w:r>
    </w:p>
    <w:p>
      <w:pPr>
        <w:spacing w:after="120" w:line="264" w:lineRule="auto"/>
      </w:pPr>
      <w:r>
        <w:rPr>
          <w:rFonts w:ascii="Calibri" w:hAnsi="Calibri"/>
          <w:b w:val="0"/>
          <w:i w:val="0"/>
          <w:color w:val="172033"/>
          <w:sz w:val="22"/>
        </w:rPr>
        <w:t>A controlled beta can open on 14 August if the next eight days are spent on connection, evidence and acceptance rather than new feature development. The release must remain invite-only and should initially serve 5-10 closely monitored testers.</w:t>
      </w:r>
    </w:p>
    <w:p>
      <w:pPr>
        <w:pStyle w:val="Heading1"/>
        <w:keepNext/>
      </w:pPr>
      <w:r>
        <w:rPr>
          <w:rFonts w:ascii="Calibri" w:hAnsi="Calibri"/>
          <w:b/>
          <w:i w:val="0"/>
          <w:color w:val="2563EB"/>
          <w:sz w:val="32"/>
        </w:rPr>
        <w:t>2. Evidence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172033"/>
            <w:vAlign w:val="center"/>
            <w:tcMar>
              <w:top w:w="80" w:type="dxa"/>
              <w:start w:w="120" w:type="dxa"/>
              <w:bottom w:w="80" w:type="dxa"/>
              <w:end w:w="120" w:type="dxa"/>
            </w:tcMar>
          </w:tcPr>
          <w:p>
            <w:pPr>
              <w:spacing w:after="0"/>
            </w:pPr>
            <w:r/>
            <w:r>
              <w:rPr>
                <w:rFonts w:ascii="Calibri" w:hAnsi="Calibri"/>
                <w:b/>
                <w:i w:val="0"/>
                <w:color w:val="FFFFFF"/>
                <w:sz w:val="19"/>
              </w:rPr>
              <w:t>Area</w:t>
            </w:r>
          </w:p>
        </w:tc>
        <w:tc>
          <w:tcPr>
            <w:tcW w:type="dxa" w:w="7260"/>
            <w:shd w:fill="172033"/>
            <w:vAlign w:val="center"/>
            <w:tcMar>
              <w:top w:w="80" w:type="dxa"/>
              <w:start w:w="120" w:type="dxa"/>
              <w:bottom w:w="80" w:type="dxa"/>
              <w:end w:w="120" w:type="dxa"/>
            </w:tcMar>
          </w:tcPr>
          <w:p>
            <w:pPr>
              <w:spacing w:after="0"/>
            </w:pPr>
            <w:r/>
            <w:r>
              <w:rPr>
                <w:rFonts w:ascii="Calibri" w:hAnsi="Calibri"/>
                <w:b/>
                <w:i w:val="0"/>
                <w:color w:val="FFFFFF"/>
                <w:sz w:val="19"/>
              </w:rPr>
              <w:t>Verified position</w:t>
            </w:r>
          </w:p>
        </w:tc>
      </w:tr>
      <w:tr>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20"/>
              </w:rPr>
              <w:t>Repository</w:t>
            </w:r>
          </w:p>
        </w:tc>
        <w:tc>
          <w:tcPr>
            <w:tcW w:type="dxa" w:w="7260"/>
            <w:vAlign w:val="top"/>
            <w:tcMar>
              <w:top w:w="80" w:type="dxa"/>
              <w:start w:w="120" w:type="dxa"/>
              <w:bottom w:w="80" w:type="dxa"/>
              <w:end w:w="120" w:type="dxa"/>
            </w:tcMar>
          </w:tcPr>
          <w:p>
            <w:pPr>
              <w:spacing w:after="0" w:line="252" w:lineRule="auto"/>
            </w:pPr>
            <w:r/>
            <w:r>
              <w:rPr>
                <w:rFonts w:ascii="Calibri" w:hAnsi="Calibri"/>
                <w:b w:val="0"/>
                <w:i w:val="0"/>
                <w:color w:val="172033"/>
                <w:sz w:val="20"/>
              </w:rPr>
              <w:t>main at 57513e3 when this report was prepared; working status should be rechecked before release</w:t>
            </w:r>
          </w:p>
        </w:tc>
      </w:tr>
      <w:tr>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Quality</w:t>
            </w:r>
          </w:p>
        </w:tc>
        <w:tc>
          <w:tcPr>
            <w:tcW w:type="dxa" w:w="72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21 unit tests and 9 pgTAP security/isolation assertions pass</w:t>
            </w:r>
          </w:p>
        </w:tc>
      </w:tr>
      <w:tr>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20"/>
              </w:rPr>
              <w:t>Surface</w:t>
            </w:r>
          </w:p>
        </w:tc>
        <w:tc>
          <w:tcPr>
            <w:tcW w:type="dxa" w:w="7260"/>
            <w:vAlign w:val="top"/>
            <w:tcMar>
              <w:top w:w="80" w:type="dxa"/>
              <w:start w:w="120" w:type="dxa"/>
              <w:bottom w:w="80" w:type="dxa"/>
              <w:end w:w="120" w:type="dxa"/>
            </w:tcMar>
          </w:tcPr>
          <w:p>
            <w:pPr>
              <w:spacing w:after="0" w:line="252" w:lineRule="auto"/>
            </w:pPr>
            <w:r/>
            <w:r>
              <w:rPr>
                <w:rFonts w:ascii="Calibri" w:hAnsi="Calibri"/>
                <w:b w:val="0"/>
                <w:i w:val="0"/>
                <w:color w:val="172033"/>
                <w:sz w:val="20"/>
              </w:rPr>
              <w:t>21 API routes and 10 reviewed Supabase migrations exist</w:t>
            </w:r>
          </w:p>
        </w:tc>
      </w:tr>
      <w:tr>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Catalogue</w:t>
            </w:r>
          </w:p>
        </w:tc>
        <w:tc>
          <w:tcPr>
            <w:tcW w:type="dxa" w:w="72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2 published programmes and 3 published scholarships; target is 10 current reviewed opportunities</w:t>
            </w:r>
          </w:p>
        </w:tc>
      </w:tr>
      <w:tr>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20"/>
              </w:rPr>
              <w:t>Directory</w:t>
            </w:r>
          </w:p>
        </w:tc>
        <w:tc>
          <w:tcPr>
            <w:tcW w:type="dxa" w:w="7260"/>
            <w:vAlign w:val="top"/>
            <w:tcMar>
              <w:top w:w="80" w:type="dxa"/>
              <w:start w:w="120" w:type="dxa"/>
              <w:bottom w:w="80" w:type="dxa"/>
              <w:end w:w="120" w:type="dxa"/>
            </w:tcMar>
          </w:tcPr>
          <w:p>
            <w:pPr>
              <w:spacing w:after="0" w:line="252" w:lineRule="auto"/>
            </w:pPr>
            <w:r/>
            <w:r>
              <w:rPr>
                <w:rFonts w:ascii="Calibri" w:hAnsi="Calibri"/>
                <w:b w:val="0"/>
                <w:i w:val="0"/>
                <w:color w:val="172033"/>
                <w:sz w:val="20"/>
              </w:rPr>
              <w:t>4 countries, 9 cities, 12 institutions and 4 ranking facts</w:t>
            </w:r>
          </w:p>
        </w:tc>
      </w:tr>
      <w:tr>
        <w:tc>
          <w:tcPr>
            <w:tcW w:type="dxa" w:w="2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Production</w:t>
            </w:r>
          </w:p>
        </w:tc>
        <w:tc>
          <w:tcPr>
            <w:tcW w:type="dxa" w:w="72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Migrations after 008 are unverified; no local environment file, Vercel link or GitHub deployment is present</w:t>
            </w:r>
          </w:p>
        </w:tc>
      </w:tr>
      <w:tr>
        <w:tc>
          <w:tcPr>
            <w:tcW w:type="dxa" w:w="2100"/>
            <w:vAlign w:val="top"/>
            <w:tcMar>
              <w:top w:w="80" w:type="dxa"/>
              <w:start w:w="120" w:type="dxa"/>
              <w:bottom w:w="80" w:type="dxa"/>
              <w:end w:w="120" w:type="dxa"/>
            </w:tcMar>
          </w:tcPr>
          <w:p>
            <w:pPr>
              <w:spacing w:after="0" w:line="252" w:lineRule="auto"/>
            </w:pPr>
            <w:r/>
            <w:r>
              <w:rPr>
                <w:rFonts w:ascii="Calibri" w:hAnsi="Calibri"/>
                <w:b w:val="0"/>
                <w:i w:val="0"/>
                <w:color w:val="172033"/>
                <w:sz w:val="20"/>
              </w:rPr>
              <w:t>Runtime</w:t>
            </w:r>
          </w:p>
        </w:tc>
        <w:tc>
          <w:tcPr>
            <w:tcW w:type="dxa" w:w="7260"/>
            <w:vAlign w:val="top"/>
            <w:tcMar>
              <w:top w:w="80" w:type="dxa"/>
              <w:start w:w="120" w:type="dxa"/>
              <w:bottom w:w="80" w:type="dxa"/>
              <w:end w:w="120" w:type="dxa"/>
            </w:tcMar>
          </w:tcPr>
          <w:p>
            <w:pPr>
              <w:spacing w:after="0" w:line="252" w:lineRule="auto"/>
            </w:pPr>
            <w:r/>
            <w:r>
              <w:rPr>
                <w:rFonts w:ascii="Calibri" w:hAnsi="Calibri"/>
                <w:b w:val="0"/>
                <w:i w:val="0"/>
                <w:color w:val="172033"/>
                <w:sz w:val="20"/>
              </w:rPr>
              <w:t>Important flows intentionally use demo or curated-fallback behavior without environment keys</w:t>
            </w:r>
          </w:p>
        </w:tc>
      </w:tr>
    </w:tbl>
    <w:p>
      <w:pPr>
        <w:spacing w:after="0"/>
      </w:pPr>
    </w:p>
    <w:p>
      <w:pPr>
        <w:pStyle w:val="Heading1"/>
        <w:keepNext/>
      </w:pPr>
      <w:r>
        <w:rPr>
          <w:rFonts w:ascii="Calibri" w:hAnsi="Calibri"/>
          <w:b/>
          <w:i w:val="0"/>
          <w:color w:val="2563EB"/>
          <w:sz w:val="32"/>
        </w:rPr>
        <w:t>3. Module readiness</w:t>
      </w:r>
    </w:p>
    <w:p>
      <w:pPr>
        <w:spacing w:after="120" w:line="264" w:lineRule="auto"/>
      </w:pPr>
      <w:r>
        <w:rPr>
          <w:rFonts w:ascii="Calibri" w:hAnsi="Calibri"/>
          <w:b w:val="0"/>
          <w:i w:val="0"/>
          <w:color w:val="172033"/>
          <w:sz w:val="22"/>
        </w:rPr>
        <w:t>The strict status standard is used throughout: a module is Done only when it is implemented, connected, tested and accepted in the target environment.</w:t>
      </w:r>
    </w:p>
    <w:tbl>
      <w:tblPr>
        <w:tblStyle w:val="TableGrid"/>
        <w:tblW w:type="dxa" w:w="9360"/>
        <w:jc w:val="left"/>
        <w:tblLayout w:type="fixed"/>
        <w:tblLook w:firstColumn="1" w:firstRow="1" w:lastColumn="0" w:lastRow="0" w:noHBand="0" w:noVBand="1" w:val="04A0"/>
        <w:tblInd w:w="120" w:type="dxa"/>
      </w:tblPr>
      <w:tblGrid>
        <w:gridCol w:w="720"/>
        <w:gridCol w:w="2280"/>
        <w:gridCol w:w="1080"/>
        <w:gridCol w:w="5280"/>
      </w:tblGrid>
      <w:tr>
        <w:trPr>
          <w:trHeight w:hRule="atLeast"/>
          <w:tblHeader w:val="true"/>
        </w:trPr>
        <w:tc>
          <w:tcPr>
            <w:tcW w:type="dxa" w:w="720"/>
            <w:shd w:fill="172033"/>
            <w:vAlign w:val="center"/>
            <w:tcMar>
              <w:top w:w="80" w:type="dxa"/>
              <w:start w:w="120" w:type="dxa"/>
              <w:bottom w:w="80" w:type="dxa"/>
              <w:end w:w="120" w:type="dxa"/>
            </w:tcMar>
          </w:tcPr>
          <w:p>
            <w:pPr>
              <w:spacing w:after="0"/>
            </w:pPr>
            <w:r/>
            <w:r>
              <w:rPr>
                <w:rFonts w:ascii="Calibri" w:hAnsi="Calibri"/>
                <w:b/>
                <w:i w:val="0"/>
                <w:color w:val="FFFFFF"/>
                <w:sz w:val="19"/>
              </w:rPr>
              <w:t>ID</w:t>
            </w:r>
          </w:p>
        </w:tc>
        <w:tc>
          <w:tcPr>
            <w:tcW w:type="dxa" w:w="2280"/>
            <w:shd w:fill="172033"/>
            <w:vAlign w:val="center"/>
            <w:tcMar>
              <w:top w:w="80" w:type="dxa"/>
              <w:start w:w="120" w:type="dxa"/>
              <w:bottom w:w="80" w:type="dxa"/>
              <w:end w:w="120" w:type="dxa"/>
            </w:tcMar>
          </w:tcPr>
          <w:p>
            <w:pPr>
              <w:spacing w:after="0"/>
            </w:pPr>
            <w:r/>
            <w:r>
              <w:rPr>
                <w:rFonts w:ascii="Calibri" w:hAnsi="Calibri"/>
                <w:b/>
                <w:i w:val="0"/>
                <w:color w:val="FFFFFF"/>
                <w:sz w:val="19"/>
              </w:rPr>
              <w:t>Module</w:t>
            </w:r>
          </w:p>
        </w:tc>
        <w:tc>
          <w:tcPr>
            <w:tcW w:type="dxa" w:w="1080"/>
            <w:shd w:fill="172033"/>
            <w:vAlign w:val="center"/>
            <w:tcMar>
              <w:top w:w="80" w:type="dxa"/>
              <w:start w:w="120" w:type="dxa"/>
              <w:bottom w:w="80" w:type="dxa"/>
              <w:end w:w="120" w:type="dxa"/>
            </w:tcMar>
          </w:tcPr>
          <w:p>
            <w:pPr>
              <w:spacing w:after="0"/>
            </w:pPr>
            <w:r/>
            <w:r>
              <w:rPr>
                <w:rFonts w:ascii="Calibri" w:hAnsi="Calibri"/>
                <w:b/>
                <w:i w:val="0"/>
                <w:color w:val="FFFFFF"/>
                <w:sz w:val="19"/>
              </w:rPr>
              <w:t>State</w:t>
            </w:r>
          </w:p>
        </w:tc>
        <w:tc>
          <w:tcPr>
            <w:tcW w:type="dxa" w:w="5280"/>
            <w:shd w:fill="172033"/>
            <w:vAlign w:val="center"/>
            <w:tcMar>
              <w:top w:w="80" w:type="dxa"/>
              <w:start w:w="120" w:type="dxa"/>
              <w:bottom w:w="80" w:type="dxa"/>
              <w:end w:w="120" w:type="dxa"/>
            </w:tcMar>
          </w:tcPr>
          <w:p>
            <w:pPr>
              <w:spacing w:after="0"/>
            </w:pPr>
            <w:r/>
            <w:r>
              <w:rPr>
                <w:rFonts w:ascii="Calibri" w:hAnsi="Calibri"/>
                <w:b/>
                <w:i w:val="0"/>
                <w:color w:val="FFFFFF"/>
                <w:sz w:val="19"/>
              </w:rPr>
              <w:t>What exists and what remains</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M00</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Design system and shell</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Urbanist, responsive shell and accessibility foundations exist. Founder sign-off and live desktop/mobile acceptance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M01</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Account, consent and security</w:t>
            </w:r>
          </w:p>
        </w:tc>
        <w:tc>
          <w:tcPr>
            <w:tcW w:type="dxa" w:w="1080"/>
            <w:vAlign w:val="top"/>
            <w:shd w:fill="FDECEA"/>
            <w:tcMar>
              <w:top w:w="80" w:type="dxa"/>
              <w:start w:w="120" w:type="dxa"/>
              <w:bottom w:w="80" w:type="dxa"/>
              <w:end w:w="120" w:type="dxa"/>
            </w:tcMar>
          </w:tcPr>
          <w:p>
            <w:pPr>
              <w:spacing w:after="0" w:line="252" w:lineRule="auto"/>
            </w:pPr>
            <w:r/>
            <w:r>
              <w:rPr>
                <w:rFonts w:ascii="Calibri" w:hAnsi="Calibri"/>
                <w:b w:val="0"/>
                <w:i w:val="0"/>
                <w:color w:val="172033"/>
                <w:sz w:val="18"/>
              </w:rPr>
              <w:t>Blocked</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Auth UI, roles, consent schema and RLS exist. Supabase keys, redirect URLs, first admin, recovery and live two-user isolation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M02</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Profile and evidence</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Guided profile, validation, normalization and snapshots exist. Live persistence and signed-in completion are unverified.</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M03</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Education truth system</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Versioned facts/rules and directory data exist. Migrations 009-010 and five more independently reviewed opportunities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M04</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Eligibility engine</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Deterministic hard gates and reason codes exist. Golden-profile and production-catalogue regression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M05</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Recommendation engine</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Versioned scoring, balance and explanations exist. Thirty golden profiles, subgroup review and live stored runs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M06</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Discovery and details</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Search, filters, citations and freshness exist. Ten live opportunities and production acceptance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M07</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Portfolio and compare</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Save, grouping and comparison UX exist. Live persistence against recommendation versions is unverified.</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M08</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Application tracker</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Application states, requirements and readiness exist. One complete live application journey is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M09</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Tasks and deadlines</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Kanban, impact, dependencies, evidence and tests exist. Live task generation and deadline acceptance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M10</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Document vault</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Private-storage schema and upload/download routes exist. Live storage and signed-access tests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M11</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Notifications and support</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Preference, correction and outbox models exist. A working feedback channel and monitoring are missing.</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M12</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Operations and administration</w:t>
            </w:r>
          </w:p>
        </w:tc>
        <w:tc>
          <w:tcPr>
            <w:tcW w:type="dxa" w:w="1080"/>
            <w:vAlign w:val="top"/>
            <w:tcMar>
              <w:top w:w="80" w:type="dxa"/>
              <w:start w:w="120" w:type="dxa"/>
              <w:bottom w:w="80" w:type="dxa"/>
              <w:end w:w="120" w:type="dxa"/>
            </w:tcMar>
            <w:shd w:fill="FDECEA"/>
          </w:tcPr>
          <w:p>
            <w:pPr>
              <w:spacing w:after="0" w:line="252" w:lineRule="auto"/>
            </w:pPr>
            <w:r/>
            <w:r>
              <w:rPr>
                <w:rFonts w:ascii="Calibri" w:hAnsi="Calibri"/>
                <w:b w:val="0"/>
                <w:i w:val="0"/>
                <w:color w:val="172033"/>
                <w:sz w:val="18"/>
              </w:rPr>
              <w:t>Blocked</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Protected API, UI, audit and research roles exist. Production admin, source-review exercise and advisors are missing.</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M13</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Writing and recommenders</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Foundation exists. Defer email, reminders and confidential submission acceptance until after beta.</w:t>
            </w:r>
          </w:p>
        </w:tc>
      </w:tr>
      <w:tr>
        <w:tc>
          <w:tcPr>
            <w:tcW w:type="dxa" w:w="720"/>
            <w:vAlign w:val="top"/>
            <w:tcMar>
              <w:top w:w="80" w:type="dxa"/>
              <w:start w:w="120" w:type="dxa"/>
              <w:bottom w:w="80" w:type="dxa"/>
              <w:end w:w="120" w:type="dxa"/>
            </w:tcMar>
          </w:tcPr>
          <w:p>
            <w:pPr>
              <w:spacing w:after="0" w:line="252" w:lineRule="auto"/>
            </w:pPr>
            <w:r/>
            <w:r>
              <w:rPr>
                <w:rFonts w:ascii="Calibri" w:hAnsi="Calibri"/>
                <w:b w:val="0"/>
                <w:i w:val="0"/>
                <w:color w:val="172033"/>
                <w:sz w:val="18"/>
              </w:rPr>
              <w:t>M14</w:t>
            </w:r>
          </w:p>
        </w:tc>
        <w:tc>
          <w:tcPr>
            <w:tcW w:type="dxa" w:w="2280"/>
            <w:vAlign w:val="top"/>
            <w:tcMar>
              <w:top w:w="80" w:type="dxa"/>
              <w:start w:w="120" w:type="dxa"/>
              <w:bottom w:w="80" w:type="dxa"/>
              <w:end w:w="120" w:type="dxa"/>
            </w:tcMar>
          </w:tcPr>
          <w:p>
            <w:pPr>
              <w:spacing w:after="0" w:line="252" w:lineRule="auto"/>
            </w:pPr>
            <w:r/>
            <w:r>
              <w:rPr>
                <w:rFonts w:ascii="Calibri" w:hAnsi="Calibri"/>
                <w:b w:val="0"/>
                <w:i w:val="0"/>
                <w:color w:val="172033"/>
                <w:sz w:val="18"/>
              </w:rPr>
              <w:t>Funding and offers</w:t>
            </w:r>
          </w:p>
        </w:tc>
        <w:tc>
          <w:tcPr>
            <w:tcW w:type="dxa" w:w="1080"/>
            <w:vAlign w:val="top"/>
            <w:tcMar>
              <w:top w:w="80" w:type="dxa"/>
              <w:start w:w="120" w:type="dxa"/>
              <w:bottom w:w="80" w:type="dxa"/>
              <w:end w:w="120" w:type="dxa"/>
            </w:tcMar>
            <w:shd w:fill="FFF4D6"/>
          </w:tcPr>
          <w:p>
            <w:pPr>
              <w:spacing w:after="0" w:line="252" w:lineRule="auto"/>
            </w:pPr>
            <w:r/>
            <w:r>
              <w:rPr>
                <w:rFonts w:ascii="Calibri" w:hAnsi="Calibri"/>
                <w:b w:val="0"/>
                <w:i w:val="0"/>
                <w:color w:val="172033"/>
                <w:sz w:val="18"/>
              </w:rPr>
              <w:t>Partial</w:t>
            </w:r>
          </w:p>
        </w:tc>
        <w:tc>
          <w:tcPr>
            <w:tcW w:type="dxa" w:w="5280"/>
            <w:vAlign w:val="top"/>
            <w:tcMar>
              <w:top w:w="80" w:type="dxa"/>
              <w:start w:w="120" w:type="dxa"/>
              <w:bottom w:w="80" w:type="dxa"/>
              <w:end w:w="120" w:type="dxa"/>
            </w:tcMar>
          </w:tcPr>
          <w:p>
            <w:pPr>
              <w:spacing w:after="0" w:line="252" w:lineRule="auto"/>
            </w:pPr>
            <w:r/>
            <w:r>
              <w:rPr>
                <w:rFonts w:ascii="Calibri" w:hAnsi="Calibri"/>
                <w:b w:val="0"/>
                <w:i w:val="0"/>
                <w:color w:val="172033"/>
                <w:sz w:val="18"/>
              </w:rPr>
              <w:t>Planning UX and schema exist. Defer live offer workflow until after beta.</w:t>
            </w:r>
          </w:p>
        </w:tc>
      </w:tr>
      <w:tr>
        <w:tc>
          <w:tcPr>
            <w:tcW w:type="dxa" w:w="72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M15</w:t>
            </w:r>
          </w:p>
        </w:tc>
        <w:tc>
          <w:tcPr>
            <w:tcW w:type="dxa" w:w="2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Shared API and iOS</w:t>
            </w:r>
          </w:p>
        </w:tc>
        <w:tc>
          <w:tcPr>
            <w:tcW w:type="dxa" w:w="1080"/>
            <w:vAlign w:val="top"/>
            <w:shd w:fill="FFF4D6"/>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528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Reusable server routes exist. Defer versioned v1/OpenAPI and iOS work until after beta.</w:t>
            </w:r>
          </w:p>
        </w:tc>
      </w:tr>
    </w:tbl>
    <w:p>
      <w:pPr>
        <w:spacing w:after="0"/>
      </w:pPr>
    </w:p>
    <w:p>
      <w:pPr>
        <w:pStyle w:val="Heading1"/>
        <w:keepNext/>
      </w:pPr>
      <w:r>
        <w:rPr>
          <w:rFonts w:ascii="Calibri" w:hAnsi="Calibri"/>
          <w:b/>
          <w:i w:val="0"/>
          <w:color w:val="2563EB"/>
          <w:sz w:val="32"/>
        </w:rPr>
        <w:t>4. Launch blocker register</w:t>
      </w:r>
    </w:p>
    <w:tbl>
      <w:tblPr>
        <w:tblStyle w:val="TableGrid"/>
        <w:tblW w:type="dxa" w:w="9360"/>
        <w:jc w:val="left"/>
        <w:tblLayout w:type="fixed"/>
        <w:tblLook w:firstColumn="1" w:firstRow="1" w:lastColumn="0" w:lastRow="0" w:noHBand="0" w:noVBand="1" w:val="04A0"/>
        <w:tblInd w:w="120" w:type="dxa"/>
      </w:tblPr>
      <w:tblGrid>
        <w:gridCol w:w="650"/>
        <w:gridCol w:w="3940"/>
        <w:gridCol w:w="850"/>
        <w:gridCol w:w="1350"/>
        <w:gridCol w:w="900"/>
        <w:gridCol w:w="1670"/>
      </w:tblGrid>
      <w:tr>
        <w:trPr>
          <w:trHeight w:hRule="atLeast"/>
          <w:tblHeader w:val="true"/>
        </w:trPr>
        <w:tc>
          <w:tcPr>
            <w:tcW w:type="dxa" w:w="650"/>
            <w:shd w:fill="172033"/>
            <w:vAlign w:val="center"/>
            <w:tcMar>
              <w:top w:w="80" w:type="dxa"/>
              <w:start w:w="120" w:type="dxa"/>
              <w:bottom w:w="80" w:type="dxa"/>
              <w:end w:w="120" w:type="dxa"/>
            </w:tcMar>
          </w:tcPr>
          <w:p>
            <w:pPr>
              <w:spacing w:after="0"/>
            </w:pPr>
            <w:r/>
            <w:r>
              <w:rPr>
                <w:rFonts w:ascii="Calibri" w:hAnsi="Calibri"/>
                <w:b/>
                <w:i w:val="0"/>
                <w:color w:val="FFFFFF"/>
                <w:sz w:val="19"/>
              </w:rPr>
              <w:t>ID</w:t>
            </w:r>
          </w:p>
        </w:tc>
        <w:tc>
          <w:tcPr>
            <w:tcW w:type="dxa" w:w="3940"/>
            <w:shd w:fill="172033"/>
            <w:vAlign w:val="center"/>
            <w:tcMar>
              <w:top w:w="80" w:type="dxa"/>
              <w:start w:w="120" w:type="dxa"/>
              <w:bottom w:w="80" w:type="dxa"/>
              <w:end w:w="120" w:type="dxa"/>
            </w:tcMar>
          </w:tcPr>
          <w:p>
            <w:pPr>
              <w:spacing w:after="0"/>
            </w:pPr>
            <w:r/>
            <w:r>
              <w:rPr>
                <w:rFonts w:ascii="Calibri" w:hAnsi="Calibri"/>
                <w:b/>
                <w:i w:val="0"/>
                <w:color w:val="FFFFFF"/>
                <w:sz w:val="19"/>
              </w:rPr>
              <w:t>Blocker</w:t>
            </w:r>
          </w:p>
        </w:tc>
        <w:tc>
          <w:tcPr>
            <w:tcW w:type="dxa" w:w="850"/>
            <w:shd w:fill="172033"/>
            <w:vAlign w:val="center"/>
            <w:tcMar>
              <w:top w:w="80" w:type="dxa"/>
              <w:start w:w="120" w:type="dxa"/>
              <w:bottom w:w="80" w:type="dxa"/>
              <w:end w:w="120" w:type="dxa"/>
            </w:tcMar>
          </w:tcPr>
          <w:p>
            <w:pPr>
              <w:spacing w:after="0"/>
            </w:pPr>
            <w:r/>
            <w:r>
              <w:rPr>
                <w:rFonts w:ascii="Calibri" w:hAnsi="Calibri"/>
                <w:b/>
                <w:i w:val="0"/>
                <w:color w:val="FFFFFF"/>
                <w:sz w:val="19"/>
              </w:rPr>
              <w:t>Priority</w:t>
            </w:r>
          </w:p>
        </w:tc>
        <w:tc>
          <w:tcPr>
            <w:tcW w:type="dxa" w:w="1350"/>
            <w:shd w:fill="172033"/>
            <w:vAlign w:val="center"/>
            <w:tcMar>
              <w:top w:w="80" w:type="dxa"/>
              <w:start w:w="120" w:type="dxa"/>
              <w:bottom w:w="80" w:type="dxa"/>
              <w:end w:w="120" w:type="dxa"/>
            </w:tcMar>
          </w:tcPr>
          <w:p>
            <w:pPr>
              <w:spacing w:after="0"/>
            </w:pPr>
            <w:r/>
            <w:r>
              <w:rPr>
                <w:rFonts w:ascii="Calibri" w:hAnsi="Calibri"/>
                <w:b/>
                <w:i w:val="0"/>
                <w:color w:val="FFFFFF"/>
                <w:sz w:val="19"/>
              </w:rPr>
              <w:t>Owner</w:t>
            </w:r>
          </w:p>
        </w:tc>
        <w:tc>
          <w:tcPr>
            <w:tcW w:type="dxa" w:w="900"/>
            <w:shd w:fill="172033"/>
            <w:vAlign w:val="center"/>
            <w:tcMar>
              <w:top w:w="80" w:type="dxa"/>
              <w:start w:w="120" w:type="dxa"/>
              <w:bottom w:w="80" w:type="dxa"/>
              <w:end w:w="120" w:type="dxa"/>
            </w:tcMar>
          </w:tcPr>
          <w:p>
            <w:pPr>
              <w:spacing w:after="0"/>
            </w:pPr>
            <w:r/>
            <w:r>
              <w:rPr>
                <w:rFonts w:ascii="Calibri" w:hAnsi="Calibri"/>
                <w:b/>
                <w:i w:val="0"/>
                <w:color w:val="FFFFFF"/>
                <w:sz w:val="19"/>
              </w:rPr>
              <w:t>Due</w:t>
            </w:r>
          </w:p>
        </w:tc>
        <w:tc>
          <w:tcPr>
            <w:tcW w:type="dxa" w:w="1670"/>
            <w:shd w:fill="172033"/>
            <w:vAlign w:val="center"/>
            <w:tcMar>
              <w:top w:w="80" w:type="dxa"/>
              <w:start w:w="120" w:type="dxa"/>
              <w:bottom w:w="80" w:type="dxa"/>
              <w:end w:w="120" w:type="dxa"/>
            </w:tcMar>
          </w:tcPr>
          <w:p>
            <w:pPr>
              <w:spacing w:after="0"/>
            </w:pPr>
            <w:r/>
            <w:r>
              <w:rPr>
                <w:rFonts w:ascii="Calibri" w:hAnsi="Calibri"/>
                <w:b/>
                <w:i w:val="0"/>
                <w:color w:val="FFFFFF"/>
                <w:sz w:val="19"/>
              </w:rPr>
              <w:t>State</w:t>
            </w:r>
          </w:p>
        </w:tc>
      </w:tr>
      <w:tr>
        <w:tc>
          <w:tcPr>
            <w:tcW w:type="dxa" w:w="650"/>
            <w:vAlign w:val="top"/>
            <w:tcMar>
              <w:top w:w="80" w:type="dxa"/>
              <w:start w:w="120" w:type="dxa"/>
              <w:bottom w:w="80" w:type="dxa"/>
              <w:end w:w="120" w:type="dxa"/>
            </w:tcMar>
          </w:tcPr>
          <w:p>
            <w:pPr>
              <w:spacing w:after="0" w:line="252" w:lineRule="auto"/>
            </w:pPr>
            <w:r/>
            <w:r>
              <w:rPr>
                <w:rFonts w:ascii="Calibri" w:hAnsi="Calibri"/>
                <w:b w:val="0"/>
                <w:i w:val="0"/>
                <w:color w:val="172033"/>
                <w:sz w:val="17"/>
              </w:rPr>
              <w:t>B01</w:t>
            </w:r>
          </w:p>
        </w:tc>
        <w:tc>
          <w:tcPr>
            <w:tcW w:type="dxa" w:w="3940"/>
            <w:vAlign w:val="top"/>
            <w:tcMar>
              <w:top w:w="80" w:type="dxa"/>
              <w:start w:w="120" w:type="dxa"/>
              <w:bottom w:w="80" w:type="dxa"/>
              <w:end w:w="120" w:type="dxa"/>
            </w:tcMar>
          </w:tcPr>
          <w:p>
            <w:pPr>
              <w:spacing w:after="0" w:line="252" w:lineRule="auto"/>
            </w:pPr>
            <w:r/>
            <w:r>
              <w:rPr>
                <w:rFonts w:ascii="Calibri" w:hAnsi="Calibri"/>
                <w:b w:val="0"/>
                <w:i w:val="0"/>
                <w:color w:val="172033"/>
                <w:sz w:val="17"/>
              </w:rPr>
              <w:t>Supabase authentication and project access</w:t>
            </w:r>
          </w:p>
        </w:tc>
        <w:tc>
          <w:tcPr>
            <w:tcW w:type="dxa" w:w="850"/>
            <w:vAlign w:val="top"/>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tcMar>
              <w:top w:w="80" w:type="dxa"/>
              <w:start w:w="120" w:type="dxa"/>
              <w:bottom w:w="80" w:type="dxa"/>
              <w:end w:w="120" w:type="dxa"/>
            </w:tcMar>
          </w:tcPr>
          <w:p>
            <w:pPr>
              <w:spacing w:after="0" w:line="252" w:lineRule="auto"/>
            </w:pPr>
            <w:r/>
            <w:r>
              <w:rPr>
                <w:rFonts w:ascii="Calibri" w:hAnsi="Calibri"/>
                <w:b w:val="0"/>
                <w:i w:val="0"/>
                <w:color w:val="172033"/>
                <w:sz w:val="17"/>
              </w:rPr>
              <w:t>Haidar</w:t>
            </w:r>
          </w:p>
        </w:tc>
        <w:tc>
          <w:tcPr>
            <w:tcW w:type="dxa" w:w="900"/>
            <w:vAlign w:val="top"/>
            <w:tcMar>
              <w:top w:w="80" w:type="dxa"/>
              <w:start w:w="120" w:type="dxa"/>
              <w:bottom w:w="80" w:type="dxa"/>
              <w:end w:w="120" w:type="dxa"/>
            </w:tcMar>
          </w:tcPr>
          <w:p>
            <w:pPr>
              <w:spacing w:after="0" w:line="252" w:lineRule="auto"/>
            </w:pPr>
            <w:r/>
            <w:r>
              <w:rPr>
                <w:rFonts w:ascii="Calibri" w:hAnsi="Calibri"/>
                <w:b w:val="0"/>
                <w:i w:val="0"/>
                <w:color w:val="172033"/>
                <w:sz w:val="17"/>
              </w:rPr>
              <w:t>6 Aug</w:t>
            </w:r>
          </w:p>
        </w:tc>
        <w:tc>
          <w:tcPr>
            <w:tcW w:type="dxa" w:w="1670"/>
            <w:vAlign w:val="top"/>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r>
        <w:tc>
          <w:tcPr>
            <w:tcW w:type="dxa" w:w="6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B02</w:t>
            </w:r>
          </w:p>
        </w:tc>
        <w:tc>
          <w:tcPr>
            <w:tcW w:type="dxa" w:w="394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Apply migrations 009-010 and configure secure environment values</w:t>
            </w:r>
          </w:p>
        </w:tc>
        <w:tc>
          <w:tcPr>
            <w:tcW w:type="dxa" w:w="8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Codex after access</w:t>
            </w:r>
          </w:p>
        </w:tc>
        <w:tc>
          <w:tcPr>
            <w:tcW w:type="dxa" w:w="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6 Aug</w:t>
            </w:r>
          </w:p>
        </w:tc>
        <w:tc>
          <w:tcPr>
            <w:tcW w:type="dxa" w:w="167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Blocked by B01</w:t>
            </w:r>
          </w:p>
        </w:tc>
      </w:tr>
      <w:tr>
        <w:tc>
          <w:tcPr>
            <w:tcW w:type="dxa" w:w="650"/>
            <w:vAlign w:val="top"/>
            <w:tcMar>
              <w:top w:w="80" w:type="dxa"/>
              <w:start w:w="120" w:type="dxa"/>
              <w:bottom w:w="80" w:type="dxa"/>
              <w:end w:w="120" w:type="dxa"/>
            </w:tcMar>
          </w:tcPr>
          <w:p>
            <w:pPr>
              <w:spacing w:after="0" w:line="252" w:lineRule="auto"/>
            </w:pPr>
            <w:r/>
            <w:r>
              <w:rPr>
                <w:rFonts w:ascii="Calibri" w:hAnsi="Calibri"/>
                <w:b w:val="0"/>
                <w:i w:val="0"/>
                <w:color w:val="172033"/>
                <w:sz w:val="17"/>
              </w:rPr>
              <w:t>B03</w:t>
            </w:r>
          </w:p>
        </w:tc>
        <w:tc>
          <w:tcPr>
            <w:tcW w:type="dxa" w:w="3940"/>
            <w:vAlign w:val="top"/>
            <w:tcMar>
              <w:top w:w="80" w:type="dxa"/>
              <w:start w:w="120" w:type="dxa"/>
              <w:bottom w:w="80" w:type="dxa"/>
              <w:end w:w="120" w:type="dxa"/>
            </w:tcMar>
          </w:tcPr>
          <w:p>
            <w:pPr>
              <w:spacing w:after="0" w:line="252" w:lineRule="auto"/>
            </w:pPr>
            <w:r/>
            <w:r>
              <w:rPr>
                <w:rFonts w:ascii="Calibri" w:hAnsi="Calibri"/>
                <w:b w:val="0"/>
                <w:i w:val="0"/>
                <w:color w:val="172033"/>
                <w:sz w:val="17"/>
              </w:rPr>
              <w:t>Configure Auth redirects, first admin and two-user isolation</w:t>
            </w:r>
          </w:p>
        </w:tc>
        <w:tc>
          <w:tcPr>
            <w:tcW w:type="dxa" w:w="850"/>
            <w:vAlign w:val="top"/>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tcMar>
              <w:top w:w="80" w:type="dxa"/>
              <w:start w:w="120" w:type="dxa"/>
              <w:bottom w:w="80" w:type="dxa"/>
              <w:end w:w="120" w:type="dxa"/>
            </w:tcMar>
          </w:tcPr>
          <w:p>
            <w:pPr>
              <w:spacing w:after="0" w:line="252" w:lineRule="auto"/>
            </w:pPr>
            <w:r/>
            <w:r>
              <w:rPr>
                <w:rFonts w:ascii="Calibri" w:hAnsi="Calibri"/>
                <w:b w:val="0"/>
                <w:i w:val="0"/>
                <w:color w:val="172033"/>
                <w:sz w:val="17"/>
              </w:rPr>
              <w:t>Haidar + Codex</w:t>
            </w:r>
          </w:p>
        </w:tc>
        <w:tc>
          <w:tcPr>
            <w:tcW w:type="dxa" w:w="900"/>
            <w:vAlign w:val="top"/>
            <w:tcMar>
              <w:top w:w="80" w:type="dxa"/>
              <w:start w:w="120" w:type="dxa"/>
              <w:bottom w:w="80" w:type="dxa"/>
              <w:end w:w="120" w:type="dxa"/>
            </w:tcMar>
          </w:tcPr>
          <w:p>
            <w:pPr>
              <w:spacing w:after="0" w:line="252" w:lineRule="auto"/>
            </w:pPr>
            <w:r/>
            <w:r>
              <w:rPr>
                <w:rFonts w:ascii="Calibri" w:hAnsi="Calibri"/>
                <w:b w:val="0"/>
                <w:i w:val="0"/>
                <w:color w:val="172033"/>
                <w:sz w:val="17"/>
              </w:rPr>
              <w:t>7 Aug</w:t>
            </w:r>
          </w:p>
        </w:tc>
        <w:tc>
          <w:tcPr>
            <w:tcW w:type="dxa" w:w="1670"/>
            <w:vAlign w:val="top"/>
            <w:tcMar>
              <w:top w:w="80" w:type="dxa"/>
              <w:start w:w="120" w:type="dxa"/>
              <w:bottom w:w="80" w:type="dxa"/>
              <w:end w:w="120" w:type="dxa"/>
            </w:tcMar>
          </w:tcPr>
          <w:p>
            <w:pPr>
              <w:spacing w:after="0" w:line="252" w:lineRule="auto"/>
            </w:pPr>
            <w:r/>
            <w:r>
              <w:rPr>
                <w:rFonts w:ascii="Calibri" w:hAnsi="Calibri"/>
                <w:b w:val="0"/>
                <w:i w:val="0"/>
                <w:color w:val="172033"/>
                <w:sz w:val="17"/>
              </w:rPr>
              <w:t>Blocked by B01</w:t>
            </w:r>
          </w:p>
        </w:tc>
      </w:tr>
      <w:tr>
        <w:tc>
          <w:tcPr>
            <w:tcW w:type="dxa" w:w="6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B04</w:t>
            </w:r>
          </w:p>
        </w:tc>
        <w:tc>
          <w:tcPr>
            <w:tcW w:type="dxa" w:w="394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Add and independently review five current opportunities</w:t>
            </w:r>
          </w:p>
        </w:tc>
        <w:tc>
          <w:tcPr>
            <w:tcW w:type="dxa" w:w="8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Codex + reviewer</w:t>
            </w:r>
          </w:p>
        </w:tc>
        <w:tc>
          <w:tcPr>
            <w:tcW w:type="dxa" w:w="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10 Aug</w:t>
            </w:r>
          </w:p>
        </w:tc>
        <w:tc>
          <w:tcPr>
            <w:tcW w:type="dxa" w:w="167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r>
        <w:tc>
          <w:tcPr>
            <w:tcW w:type="dxa" w:w="650"/>
            <w:vAlign w:val="top"/>
            <w:tcMar>
              <w:top w:w="80" w:type="dxa"/>
              <w:start w:w="120" w:type="dxa"/>
              <w:bottom w:w="80" w:type="dxa"/>
              <w:end w:w="120" w:type="dxa"/>
            </w:tcMar>
          </w:tcPr>
          <w:p>
            <w:pPr>
              <w:spacing w:after="0" w:line="252" w:lineRule="auto"/>
            </w:pPr>
            <w:r/>
            <w:r>
              <w:rPr>
                <w:rFonts w:ascii="Calibri" w:hAnsi="Calibri"/>
                <w:b w:val="0"/>
                <w:i w:val="0"/>
                <w:color w:val="172033"/>
                <w:sz w:val="17"/>
              </w:rPr>
              <w:t>B05</w:t>
            </w:r>
          </w:p>
        </w:tc>
        <w:tc>
          <w:tcPr>
            <w:tcW w:type="dxa" w:w="3940"/>
            <w:vAlign w:val="top"/>
            <w:tcMar>
              <w:top w:w="80" w:type="dxa"/>
              <w:start w:w="120" w:type="dxa"/>
              <w:bottom w:w="80" w:type="dxa"/>
              <w:end w:w="120" w:type="dxa"/>
            </w:tcMar>
          </w:tcPr>
          <w:p>
            <w:pPr>
              <w:spacing w:after="0" w:line="252" w:lineRule="auto"/>
            </w:pPr>
            <w:r/>
            <w:r>
              <w:rPr>
                <w:rFonts w:ascii="Calibri" w:hAnsi="Calibri"/>
                <w:b w:val="0"/>
                <w:i w:val="0"/>
                <w:color w:val="172033"/>
                <w:sz w:val="17"/>
              </w:rPr>
              <w:t>Create 30 golden profiles and signed-in end-to-end test</w:t>
            </w:r>
          </w:p>
        </w:tc>
        <w:tc>
          <w:tcPr>
            <w:tcW w:type="dxa" w:w="850"/>
            <w:vAlign w:val="top"/>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tcMar>
              <w:top w:w="80" w:type="dxa"/>
              <w:start w:w="120" w:type="dxa"/>
              <w:bottom w:w="80" w:type="dxa"/>
              <w:end w:w="120" w:type="dxa"/>
            </w:tcMar>
          </w:tcPr>
          <w:p>
            <w:pPr>
              <w:spacing w:after="0" w:line="252" w:lineRule="auto"/>
            </w:pPr>
            <w:r/>
            <w:r>
              <w:rPr>
                <w:rFonts w:ascii="Calibri" w:hAnsi="Calibri"/>
                <w:b w:val="0"/>
                <w:i w:val="0"/>
                <w:color w:val="172033"/>
                <w:sz w:val="17"/>
              </w:rPr>
              <w:t>Codex</w:t>
            </w:r>
          </w:p>
        </w:tc>
        <w:tc>
          <w:tcPr>
            <w:tcW w:type="dxa" w:w="900"/>
            <w:vAlign w:val="top"/>
            <w:tcMar>
              <w:top w:w="80" w:type="dxa"/>
              <w:start w:w="120" w:type="dxa"/>
              <w:bottom w:w="80" w:type="dxa"/>
              <w:end w:w="120" w:type="dxa"/>
            </w:tcMar>
          </w:tcPr>
          <w:p>
            <w:pPr>
              <w:spacing w:after="0" w:line="252" w:lineRule="auto"/>
            </w:pPr>
            <w:r/>
            <w:r>
              <w:rPr>
                <w:rFonts w:ascii="Calibri" w:hAnsi="Calibri"/>
                <w:b w:val="0"/>
                <w:i w:val="0"/>
                <w:color w:val="172033"/>
                <w:sz w:val="17"/>
              </w:rPr>
              <w:t>11 Aug</w:t>
            </w:r>
          </w:p>
        </w:tc>
        <w:tc>
          <w:tcPr>
            <w:tcW w:type="dxa" w:w="1670"/>
            <w:vAlign w:val="top"/>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r>
        <w:tc>
          <w:tcPr>
            <w:tcW w:type="dxa" w:w="6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B06</w:t>
            </w:r>
          </w:p>
        </w:tc>
        <w:tc>
          <w:tcPr>
            <w:tcW w:type="dxa" w:w="394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Activate feedback, monitoring and release alerts</w:t>
            </w:r>
          </w:p>
        </w:tc>
        <w:tc>
          <w:tcPr>
            <w:tcW w:type="dxa" w:w="8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Haidar + Codex</w:t>
            </w:r>
          </w:p>
        </w:tc>
        <w:tc>
          <w:tcPr>
            <w:tcW w:type="dxa" w:w="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12 Aug</w:t>
            </w:r>
          </w:p>
        </w:tc>
        <w:tc>
          <w:tcPr>
            <w:tcW w:type="dxa" w:w="167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r>
        <w:tc>
          <w:tcPr>
            <w:tcW w:type="dxa" w:w="650"/>
            <w:vAlign w:val="top"/>
            <w:tcMar>
              <w:top w:w="80" w:type="dxa"/>
              <w:start w:w="120" w:type="dxa"/>
              <w:bottom w:w="80" w:type="dxa"/>
              <w:end w:w="120" w:type="dxa"/>
            </w:tcMar>
          </w:tcPr>
          <w:p>
            <w:pPr>
              <w:spacing w:after="0" w:line="252" w:lineRule="auto"/>
            </w:pPr>
            <w:r/>
            <w:r>
              <w:rPr>
                <w:rFonts w:ascii="Calibri" w:hAnsi="Calibri"/>
                <w:b w:val="0"/>
                <w:i w:val="0"/>
                <w:color w:val="172033"/>
                <w:sz w:val="17"/>
              </w:rPr>
              <w:t>B07</w:t>
            </w:r>
          </w:p>
        </w:tc>
        <w:tc>
          <w:tcPr>
            <w:tcW w:type="dxa" w:w="3940"/>
            <w:vAlign w:val="top"/>
            <w:tcMar>
              <w:top w:w="80" w:type="dxa"/>
              <w:start w:w="120" w:type="dxa"/>
              <w:bottom w:w="80" w:type="dxa"/>
              <w:end w:w="120" w:type="dxa"/>
            </w:tcMar>
          </w:tcPr>
          <w:p>
            <w:pPr>
              <w:spacing w:after="0" w:line="252" w:lineRule="auto"/>
            </w:pPr>
            <w:r/>
            <w:r>
              <w:rPr>
                <w:rFonts w:ascii="Calibri" w:hAnsi="Calibri"/>
                <w:b w:val="0"/>
                <w:i w:val="0"/>
                <w:color w:val="172033"/>
                <w:sz w:val="17"/>
              </w:rPr>
              <w:t>Founder desktop/mobile UX approval and release sign-off</w:t>
            </w:r>
          </w:p>
        </w:tc>
        <w:tc>
          <w:tcPr>
            <w:tcW w:type="dxa" w:w="850"/>
            <w:vAlign w:val="top"/>
            <w:tcMar>
              <w:top w:w="80" w:type="dxa"/>
              <w:start w:w="120" w:type="dxa"/>
              <w:bottom w:w="80" w:type="dxa"/>
              <w:end w:w="120" w:type="dxa"/>
            </w:tcMar>
          </w:tcPr>
          <w:p>
            <w:pPr>
              <w:spacing w:after="0" w:line="252" w:lineRule="auto"/>
            </w:pPr>
            <w:r/>
            <w:r>
              <w:rPr>
                <w:rFonts w:ascii="Calibri" w:hAnsi="Calibri"/>
                <w:b w:val="0"/>
                <w:i w:val="0"/>
                <w:color w:val="172033"/>
                <w:sz w:val="17"/>
              </w:rPr>
              <w:t>P0</w:t>
            </w:r>
          </w:p>
        </w:tc>
        <w:tc>
          <w:tcPr>
            <w:tcW w:type="dxa" w:w="1350"/>
            <w:vAlign w:val="top"/>
            <w:tcMar>
              <w:top w:w="80" w:type="dxa"/>
              <w:start w:w="120" w:type="dxa"/>
              <w:bottom w:w="80" w:type="dxa"/>
              <w:end w:w="120" w:type="dxa"/>
            </w:tcMar>
          </w:tcPr>
          <w:p>
            <w:pPr>
              <w:spacing w:after="0" w:line="252" w:lineRule="auto"/>
            </w:pPr>
            <w:r/>
            <w:r>
              <w:rPr>
                <w:rFonts w:ascii="Calibri" w:hAnsi="Calibri"/>
                <w:b w:val="0"/>
                <w:i w:val="0"/>
                <w:color w:val="172033"/>
                <w:sz w:val="17"/>
              </w:rPr>
              <w:t>Haidar</w:t>
            </w:r>
          </w:p>
        </w:tc>
        <w:tc>
          <w:tcPr>
            <w:tcW w:type="dxa" w:w="900"/>
            <w:vAlign w:val="top"/>
            <w:tcMar>
              <w:top w:w="80" w:type="dxa"/>
              <w:start w:w="120" w:type="dxa"/>
              <w:bottom w:w="80" w:type="dxa"/>
              <w:end w:w="120" w:type="dxa"/>
            </w:tcMar>
          </w:tcPr>
          <w:p>
            <w:pPr>
              <w:spacing w:after="0" w:line="252" w:lineRule="auto"/>
            </w:pPr>
            <w:r/>
            <w:r>
              <w:rPr>
                <w:rFonts w:ascii="Calibri" w:hAnsi="Calibri"/>
                <w:b w:val="0"/>
                <w:i w:val="0"/>
                <w:color w:val="172033"/>
                <w:sz w:val="17"/>
              </w:rPr>
              <w:t>13 Aug</w:t>
            </w:r>
          </w:p>
        </w:tc>
        <w:tc>
          <w:tcPr>
            <w:tcW w:type="dxa" w:w="1670"/>
            <w:vAlign w:val="top"/>
            <w:tcMar>
              <w:top w:w="80" w:type="dxa"/>
              <w:start w:w="120" w:type="dxa"/>
              <w:bottom w:w="80" w:type="dxa"/>
              <w:end w:w="120" w:type="dxa"/>
            </w:tcMar>
          </w:tcPr>
          <w:p>
            <w:pPr>
              <w:spacing w:after="0" w:line="252" w:lineRule="auto"/>
            </w:pPr>
            <w:r/>
            <w:r>
              <w:rPr>
                <w:rFonts w:ascii="Calibri" w:hAnsi="Calibri"/>
                <w:b w:val="0"/>
                <w:i w:val="0"/>
                <w:color w:val="172033"/>
                <w:sz w:val="17"/>
              </w:rPr>
              <w:t>Open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A"/>
            <w:tcMar>
              <w:top w:w="80" w:type="dxa"/>
              <w:start w:w="120" w:type="dxa"/>
              <w:bottom w:w="80" w:type="dxa"/>
              <w:end w:w="120" w:type="dxa"/>
            </w:tcMar>
          </w:tcPr>
          <w:p>
            <w:pPr>
              <w:spacing w:after="0"/>
            </w:pPr>
            <w:r/>
            <w:r>
              <w:rPr>
                <w:rFonts w:ascii="Calibri" w:hAnsi="Calibri"/>
                <w:b/>
                <w:i w:val="0"/>
                <w:color w:val="B42318"/>
                <w:sz w:val="22"/>
              </w:rPr>
              <w:t xml:space="preserve">Critical dependency: </w:t>
            </w:r>
            <w:r>
              <w:rPr>
                <w:rFonts w:ascii="Calibri" w:hAnsi="Calibri"/>
                <w:b w:val="0"/>
                <w:i w:val="0"/>
                <w:color w:val="172033"/>
                <w:sz w:val="22"/>
              </w:rPr>
              <w:t>B01 must close first. Without Supabase access, the database, Auth, live recommendations and protected operations journey cannot be verified.</w:t>
            </w:r>
          </w:p>
        </w:tc>
      </w:tr>
    </w:tbl>
    <w:p>
      <w:pPr>
        <w:spacing w:after="40"/>
      </w:pPr>
    </w:p>
    <w:p>
      <w:pPr>
        <w:pStyle w:val="Heading1"/>
        <w:keepNext/>
      </w:pPr>
      <w:r>
        <w:rPr>
          <w:rFonts w:ascii="Calibri" w:hAnsi="Calibri"/>
          <w:b/>
          <w:i w:val="0"/>
          <w:color w:val="2563EB"/>
          <w:sz w:val="32"/>
        </w:rPr>
        <w:t>5. Eight-day execution plan</w:t>
      </w:r>
    </w:p>
    <w:tbl>
      <w:tblPr>
        <w:tblStyle w:val="TableGrid"/>
        <w:tblW w:type="dxa" w:w="9360"/>
        <w:jc w:val="left"/>
        <w:tblLayout w:type="fixed"/>
        <w:tblLook w:firstColumn="1" w:firstRow="1" w:lastColumn="0" w:lastRow="0" w:noHBand="0" w:noVBand="1" w:val="04A0"/>
        <w:tblInd w:w="120" w:type="dxa"/>
      </w:tblPr>
      <w:tblGrid>
        <w:gridCol w:w="1100"/>
        <w:gridCol w:w="4360"/>
        <w:gridCol w:w="3900"/>
      </w:tblGrid>
      <w:tr>
        <w:trPr>
          <w:trHeight w:hRule="atLeast"/>
          <w:tblHeader w:val="true"/>
        </w:trPr>
        <w:tc>
          <w:tcPr>
            <w:tcW w:type="dxa" w:w="1100"/>
            <w:shd w:fill="172033"/>
            <w:vAlign w:val="center"/>
            <w:tcMar>
              <w:top w:w="80" w:type="dxa"/>
              <w:start w:w="120" w:type="dxa"/>
              <w:bottom w:w="80" w:type="dxa"/>
              <w:end w:w="120" w:type="dxa"/>
            </w:tcMar>
          </w:tcPr>
          <w:p>
            <w:pPr>
              <w:spacing w:after="0"/>
            </w:pPr>
            <w:r/>
            <w:r>
              <w:rPr>
                <w:rFonts w:ascii="Calibri" w:hAnsi="Calibri"/>
                <w:b/>
                <w:i w:val="0"/>
                <w:color w:val="FFFFFF"/>
                <w:sz w:val="19"/>
              </w:rPr>
              <w:t>Date</w:t>
            </w:r>
          </w:p>
        </w:tc>
        <w:tc>
          <w:tcPr>
            <w:tcW w:type="dxa" w:w="4360"/>
            <w:shd w:fill="172033"/>
            <w:vAlign w:val="center"/>
            <w:tcMar>
              <w:top w:w="80" w:type="dxa"/>
              <w:start w:w="120" w:type="dxa"/>
              <w:bottom w:w="80" w:type="dxa"/>
              <w:end w:w="120" w:type="dxa"/>
            </w:tcMar>
          </w:tcPr>
          <w:p>
            <w:pPr>
              <w:spacing w:after="0"/>
            </w:pPr>
            <w:r/>
            <w:r>
              <w:rPr>
                <w:rFonts w:ascii="Calibri" w:hAnsi="Calibri"/>
                <w:b/>
                <w:i w:val="0"/>
                <w:color w:val="FFFFFF"/>
                <w:sz w:val="19"/>
              </w:rPr>
              <w:t>Delivery</w:t>
            </w:r>
          </w:p>
        </w:tc>
        <w:tc>
          <w:tcPr>
            <w:tcW w:type="dxa" w:w="3900"/>
            <w:shd w:fill="172033"/>
            <w:vAlign w:val="center"/>
            <w:tcMar>
              <w:top w:w="80" w:type="dxa"/>
              <w:start w:w="120" w:type="dxa"/>
              <w:bottom w:w="80" w:type="dxa"/>
              <w:end w:w="120" w:type="dxa"/>
            </w:tcMar>
          </w:tcPr>
          <w:p>
            <w:pPr>
              <w:spacing w:after="0"/>
            </w:pPr>
            <w:r/>
            <w:r>
              <w:rPr>
                <w:rFonts w:ascii="Calibri" w:hAnsi="Calibri"/>
                <w:b/>
                <w:i w:val="0"/>
                <w:color w:val="FFFFFF"/>
                <w:sz w:val="19"/>
              </w:rPr>
              <w:t>Exit test</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6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Restore Supabase access; verify production; apply 009-010; configure secrets</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Live database and protected preview start</w:t>
            </w:r>
          </w:p>
        </w:tc>
      </w:tr>
      <w:tr>
        <w:tc>
          <w:tcPr>
            <w:tcW w:type="dxa" w:w="1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7 Aug</w:t>
            </w:r>
          </w:p>
        </w:tc>
        <w:tc>
          <w:tcPr>
            <w:tcW w:type="dxa" w:w="43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Configure Auth redirects, first admin and roles</w:t>
            </w:r>
          </w:p>
        </w:tc>
        <w:tc>
          <w:tcPr>
            <w:tcW w:type="dxa" w:w="3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Two unrelated students pass isolation checks</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8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Connect profile to eligibility and recommendations</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One student receives stored explainable results</w:t>
            </w:r>
          </w:p>
        </w:tc>
      </w:tr>
      <w:tr>
        <w:tc>
          <w:tcPr>
            <w:tcW w:type="dxa" w:w="1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9 Aug</w:t>
            </w:r>
          </w:p>
        </w:tc>
        <w:tc>
          <w:tcPr>
            <w:tcW w:type="dxa" w:w="43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Add and review opportunities 6-8</w:t>
            </w:r>
          </w:p>
        </w:tc>
        <w:tc>
          <w:tcPr>
            <w:tcW w:type="dxa" w:w="3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Every fact has current official evidence</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10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Add opportunities 9-10; create 30 golden profiles</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Regression and subgroup review pass</w:t>
            </w:r>
          </w:p>
        </w:tc>
      </w:tr>
      <w:tr>
        <w:tc>
          <w:tcPr>
            <w:tcW w:type="dxa" w:w="1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11 Aug</w:t>
            </w:r>
          </w:p>
        </w:tc>
        <w:tc>
          <w:tcPr>
            <w:tcW w:type="dxa" w:w="43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Verify portfolio to application to tasks</w:t>
            </w:r>
          </w:p>
        </w:tc>
        <w:tc>
          <w:tcPr>
            <w:tcW w:type="dxa" w:w="3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One recommendation becomes a persistent plan</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12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Mobile, accessibility and error QA; feedback and monitoring</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No P0 defect and failures are observable</w:t>
            </w:r>
          </w:p>
        </w:tc>
      </w:tr>
      <w:tr>
        <w:tc>
          <w:tcPr>
            <w:tcW w:type="dxa" w:w="11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13 Aug</w:t>
            </w:r>
          </w:p>
        </w:tc>
        <w:tc>
          <w:tcPr>
            <w:tcW w:type="dxa" w:w="43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Freeze, smoke test, backup/rollback and invitations</w:t>
            </w:r>
          </w:p>
        </w:tc>
        <w:tc>
          <w:tcPr>
            <w:tcW w:type="dxa" w:w="39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Release candidate approved</w:t>
            </w:r>
          </w:p>
        </w:tc>
      </w:tr>
      <w:tr>
        <w:tc>
          <w:tcPr>
            <w:tcW w:type="dxa" w:w="1100"/>
            <w:vAlign w:val="top"/>
            <w:tcMar>
              <w:top w:w="80" w:type="dxa"/>
              <w:start w:w="120" w:type="dxa"/>
              <w:bottom w:w="80" w:type="dxa"/>
              <w:end w:w="120" w:type="dxa"/>
            </w:tcMar>
          </w:tcPr>
          <w:p>
            <w:pPr>
              <w:spacing w:after="0" w:line="252" w:lineRule="auto"/>
            </w:pPr>
            <w:r/>
            <w:r>
              <w:rPr>
                <w:rFonts w:ascii="Calibri" w:hAnsi="Calibri"/>
                <w:b w:val="0"/>
                <w:i w:val="0"/>
                <w:color w:val="172033"/>
                <w:sz w:val="18"/>
              </w:rPr>
              <w:t>14 Aug</w:t>
            </w:r>
          </w:p>
        </w:tc>
        <w:tc>
          <w:tcPr>
            <w:tcW w:type="dxa" w:w="4360"/>
            <w:vAlign w:val="top"/>
            <w:tcMar>
              <w:top w:w="80" w:type="dxa"/>
              <w:start w:w="120" w:type="dxa"/>
              <w:bottom w:w="80" w:type="dxa"/>
              <w:end w:w="120" w:type="dxa"/>
            </w:tcMar>
          </w:tcPr>
          <w:p>
            <w:pPr>
              <w:spacing w:after="0" w:line="252" w:lineRule="auto"/>
            </w:pPr>
            <w:r/>
            <w:r>
              <w:rPr>
                <w:rFonts w:ascii="Calibri" w:hAnsi="Calibri"/>
                <w:b w:val="0"/>
                <w:i w:val="0"/>
                <w:color w:val="172033"/>
                <w:sz w:val="18"/>
              </w:rPr>
              <w:t>Invite 5-10 controlled testers</w:t>
            </w:r>
          </w:p>
        </w:tc>
        <w:tc>
          <w:tcPr>
            <w:tcW w:type="dxa" w:w="3900"/>
            <w:vAlign w:val="top"/>
            <w:tcMar>
              <w:top w:w="80" w:type="dxa"/>
              <w:start w:w="120" w:type="dxa"/>
              <w:bottom w:w="80" w:type="dxa"/>
              <w:end w:w="120" w:type="dxa"/>
            </w:tcMar>
          </w:tcPr>
          <w:p>
            <w:pPr>
              <w:spacing w:after="0" w:line="252" w:lineRule="auto"/>
            </w:pPr>
            <w:r/>
            <w:r>
              <w:rPr>
                <w:rFonts w:ascii="Calibri" w:hAnsi="Calibri"/>
                <w:b w:val="0"/>
                <w:i w:val="0"/>
                <w:color w:val="172033"/>
                <w:sz w:val="18"/>
              </w:rPr>
              <w:t>Monitor onboarding, errors and corrections</w:t>
            </w:r>
          </w:p>
        </w:tc>
      </w:tr>
    </w:tbl>
    <w:p>
      <w:pPr>
        <w:spacing w:after="0"/>
      </w:pPr>
    </w:p>
    <w:p>
      <w:pPr>
        <w:pStyle w:val="Heading1"/>
        <w:keepNext/>
      </w:pPr>
      <w:r>
        <w:rPr>
          <w:rFonts w:ascii="Calibri" w:hAnsi="Calibri"/>
          <w:b/>
          <w:i w:val="0"/>
          <w:color w:val="2563EB"/>
          <w:sz w:val="32"/>
        </w:rPr>
        <w:t>6. Beta release gates</w:t>
      </w:r>
    </w:p>
    <w:tbl>
      <w:tblPr>
        <w:tblStyle w:val="TableGrid"/>
        <w:tblW w:type="dxa" w:w="9360"/>
        <w:jc w:val="left"/>
        <w:tblLayout w:type="fixed"/>
        <w:tblLook w:firstColumn="1" w:firstRow="1" w:lastColumn="0" w:lastRow="0" w:noHBand="0" w:noVBand="1" w:val="04A0"/>
        <w:tblInd w:w="120" w:type="dxa"/>
      </w:tblPr>
      <w:tblGrid>
        <w:gridCol w:w="750"/>
        <w:gridCol w:w="2960"/>
        <w:gridCol w:w="1050"/>
        <w:gridCol w:w="4600"/>
      </w:tblGrid>
      <w:tr>
        <w:trPr>
          <w:trHeight w:hRule="atLeast"/>
          <w:tblHeader w:val="true"/>
        </w:trPr>
        <w:tc>
          <w:tcPr>
            <w:tcW w:type="dxa" w:w="750"/>
            <w:shd w:fill="172033"/>
            <w:vAlign w:val="center"/>
            <w:tcMar>
              <w:top w:w="80" w:type="dxa"/>
              <w:start w:w="120" w:type="dxa"/>
              <w:bottom w:w="80" w:type="dxa"/>
              <w:end w:w="120" w:type="dxa"/>
            </w:tcMar>
          </w:tcPr>
          <w:p>
            <w:pPr>
              <w:spacing w:after="0"/>
            </w:pPr>
            <w:r/>
            <w:r>
              <w:rPr>
                <w:rFonts w:ascii="Calibri" w:hAnsi="Calibri"/>
                <w:b/>
                <w:i w:val="0"/>
                <w:color w:val="FFFFFF"/>
                <w:sz w:val="19"/>
              </w:rPr>
              <w:t>Gate</w:t>
            </w:r>
          </w:p>
        </w:tc>
        <w:tc>
          <w:tcPr>
            <w:tcW w:type="dxa" w:w="2960"/>
            <w:shd w:fill="172033"/>
            <w:vAlign w:val="center"/>
            <w:tcMar>
              <w:top w:w="80" w:type="dxa"/>
              <w:start w:w="120" w:type="dxa"/>
              <w:bottom w:w="80" w:type="dxa"/>
              <w:end w:w="120" w:type="dxa"/>
            </w:tcMar>
          </w:tcPr>
          <w:p>
            <w:pPr>
              <w:spacing w:after="0"/>
            </w:pPr>
            <w:r/>
            <w:r>
              <w:rPr>
                <w:rFonts w:ascii="Calibri" w:hAnsi="Calibri"/>
                <w:b/>
                <w:i w:val="0"/>
                <w:color w:val="FFFFFF"/>
                <w:sz w:val="19"/>
              </w:rPr>
              <w:t>Condition</w:t>
            </w:r>
          </w:p>
        </w:tc>
        <w:tc>
          <w:tcPr>
            <w:tcW w:type="dxa" w:w="1050"/>
            <w:shd w:fill="172033"/>
            <w:vAlign w:val="center"/>
            <w:tcMar>
              <w:top w:w="80" w:type="dxa"/>
              <w:start w:w="120" w:type="dxa"/>
              <w:bottom w:w="80" w:type="dxa"/>
              <w:end w:w="120" w:type="dxa"/>
            </w:tcMar>
          </w:tcPr>
          <w:p>
            <w:pPr>
              <w:spacing w:after="0"/>
            </w:pPr>
            <w:r/>
            <w:r>
              <w:rPr>
                <w:rFonts w:ascii="Calibri" w:hAnsi="Calibri"/>
                <w:b/>
                <w:i w:val="0"/>
                <w:color w:val="FFFFFF"/>
                <w:sz w:val="19"/>
              </w:rPr>
              <w:t>State</w:t>
            </w:r>
          </w:p>
        </w:tc>
        <w:tc>
          <w:tcPr>
            <w:tcW w:type="dxa" w:w="4600"/>
            <w:shd w:fill="172033"/>
            <w:vAlign w:val="center"/>
            <w:tcMar>
              <w:top w:w="80" w:type="dxa"/>
              <w:start w:w="120" w:type="dxa"/>
              <w:bottom w:w="80" w:type="dxa"/>
              <w:end w:w="120" w:type="dxa"/>
            </w:tcMar>
          </w:tcPr>
          <w:p>
            <w:pPr>
              <w:spacing w:after="0"/>
            </w:pPr>
            <w:r/>
            <w:r>
              <w:rPr>
                <w:rFonts w:ascii="Calibri" w:hAnsi="Calibri"/>
                <w:b/>
                <w:i w:val="0"/>
                <w:color w:val="FFFFFF"/>
                <w:sz w:val="19"/>
              </w:rPr>
              <w:t>Acceptance evidence</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G01</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Production Supabase and Vercel connected</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Live environment shows no demo mode</w:t>
            </w:r>
          </w:p>
        </w:tc>
      </w:tr>
      <w:tr>
        <w:tc>
          <w:tcPr>
            <w:tcW w:type="dxa" w:w="7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G02</w:t>
            </w:r>
          </w:p>
        </w:tc>
        <w:tc>
          <w:tcPr>
            <w:tcW w:type="dxa" w:w="29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Auth and tenant isolation</w:t>
            </w:r>
          </w:p>
        </w:tc>
        <w:tc>
          <w:tcPr>
            <w:tcW w:type="dxa" w:w="10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Two unrelated students and staff roles pass</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G03</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Ten reviewed opportunities</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Current official evidence and independent review</w:t>
            </w:r>
          </w:p>
        </w:tc>
      </w:tr>
      <w:tr>
        <w:tc>
          <w:tcPr>
            <w:tcW w:type="dxa" w:w="7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G04</w:t>
            </w:r>
          </w:p>
        </w:tc>
        <w:tc>
          <w:tcPr>
            <w:tcW w:type="dxa" w:w="29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Thirty golden profiles</w:t>
            </w:r>
          </w:p>
        </w:tc>
        <w:tc>
          <w:tcPr>
            <w:tcW w:type="dxa" w:w="10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Eligibility/ranking regression and subgroup review pass</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G05</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Critical student journey</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Auth-profile-recommendations-portfolio-application-tasks works</w:t>
            </w:r>
          </w:p>
        </w:tc>
      </w:tr>
      <w:tr>
        <w:tc>
          <w:tcPr>
            <w:tcW w:type="dxa" w:w="7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G06</w:t>
            </w:r>
          </w:p>
        </w:tc>
        <w:tc>
          <w:tcPr>
            <w:tcW w:type="dxa" w:w="29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Trust and explanations</w:t>
            </w:r>
          </w:p>
        </w:tc>
        <w:tc>
          <w:tcPr>
            <w:tcW w:type="dxa" w:w="10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Partial</w:t>
            </w:r>
          </w:p>
        </w:tc>
        <w:tc>
          <w:tcPr>
            <w:tcW w:type="dxa" w:w="46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Every recommendation cites evidence, uncertainty and next action</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G07</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UX and accessibility</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Founder desktop/mobile approval and no P0 accessibility issue</w:t>
            </w:r>
          </w:p>
        </w:tc>
      </w:tr>
      <w:tr>
        <w:tc>
          <w:tcPr>
            <w:tcW w:type="dxa" w:w="7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G08</w:t>
            </w:r>
          </w:p>
        </w:tc>
        <w:tc>
          <w:tcPr>
            <w:tcW w:type="dxa" w:w="29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Support and monitoring</w:t>
            </w:r>
          </w:p>
        </w:tc>
        <w:tc>
          <w:tcPr>
            <w:tcW w:type="dxa" w:w="105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18"/>
              </w:rPr>
              <w:t>Tester feedback and errors reach the operating team</w:t>
            </w:r>
          </w:p>
        </w:tc>
      </w:tr>
      <w:tr>
        <w:tc>
          <w:tcPr>
            <w:tcW w:type="dxa" w:w="750"/>
            <w:vAlign w:val="top"/>
            <w:tcMar>
              <w:top w:w="80" w:type="dxa"/>
              <w:start w:w="120" w:type="dxa"/>
              <w:bottom w:w="80" w:type="dxa"/>
              <w:end w:w="120" w:type="dxa"/>
            </w:tcMar>
          </w:tcPr>
          <w:p>
            <w:pPr>
              <w:spacing w:after="0" w:line="252" w:lineRule="auto"/>
            </w:pPr>
            <w:r/>
            <w:r>
              <w:rPr>
                <w:rFonts w:ascii="Calibri" w:hAnsi="Calibri"/>
                <w:b w:val="0"/>
                <w:i w:val="0"/>
                <w:color w:val="172033"/>
                <w:sz w:val="18"/>
              </w:rPr>
              <w:t>G09</w:t>
            </w:r>
          </w:p>
        </w:tc>
        <w:tc>
          <w:tcPr>
            <w:tcW w:type="dxa" w:w="2960"/>
            <w:vAlign w:val="top"/>
            <w:tcMar>
              <w:top w:w="80" w:type="dxa"/>
              <w:start w:w="120" w:type="dxa"/>
              <w:bottom w:w="80" w:type="dxa"/>
              <w:end w:w="120" w:type="dxa"/>
            </w:tcMar>
          </w:tcPr>
          <w:p>
            <w:pPr>
              <w:spacing w:after="0" w:line="252" w:lineRule="auto"/>
            </w:pPr>
            <w:r/>
            <w:r>
              <w:rPr>
                <w:rFonts w:ascii="Calibri" w:hAnsi="Calibri"/>
                <w:b w:val="0"/>
                <w:i w:val="0"/>
                <w:color w:val="172033"/>
                <w:sz w:val="18"/>
              </w:rPr>
              <w:t>Release safety</w:t>
            </w:r>
          </w:p>
        </w:tc>
        <w:tc>
          <w:tcPr>
            <w:tcW w:type="dxa" w:w="1050"/>
            <w:vAlign w:val="top"/>
            <w:tcMar>
              <w:top w:w="80" w:type="dxa"/>
              <w:start w:w="120" w:type="dxa"/>
              <w:bottom w:w="80" w:type="dxa"/>
              <w:end w:w="120" w:type="dxa"/>
            </w:tcMar>
          </w:tcPr>
          <w:p>
            <w:pPr>
              <w:spacing w:after="0" w:line="252" w:lineRule="auto"/>
            </w:pPr>
            <w:r/>
            <w:r>
              <w:rPr>
                <w:rFonts w:ascii="Calibri" w:hAnsi="Calibri"/>
                <w:b w:val="0"/>
                <w:i w:val="0"/>
                <w:color w:val="172033"/>
                <w:sz w:val="18"/>
              </w:rPr>
              <w:t>Open</w:t>
            </w:r>
          </w:p>
        </w:tc>
        <w:tc>
          <w:tcPr>
            <w:tcW w:type="dxa" w:w="4600"/>
            <w:vAlign w:val="top"/>
            <w:tcMar>
              <w:top w:w="80" w:type="dxa"/>
              <w:start w:w="120" w:type="dxa"/>
              <w:bottom w:w="80" w:type="dxa"/>
              <w:end w:w="120" w:type="dxa"/>
            </w:tcMar>
          </w:tcPr>
          <w:p>
            <w:pPr>
              <w:spacing w:after="0" w:line="252" w:lineRule="auto"/>
            </w:pPr>
            <w:r/>
            <w:r>
              <w:rPr>
                <w:rFonts w:ascii="Calibri" w:hAnsi="Calibri"/>
                <w:b w:val="0"/>
                <w:i w:val="0"/>
                <w:color w:val="172033"/>
                <w:sz w:val="18"/>
              </w:rPr>
              <w:t>No critical defect; backup and rollback checked</w:t>
            </w:r>
          </w:p>
        </w:tc>
      </w:tr>
    </w:tbl>
    <w:p>
      <w:pPr>
        <w:spacing w:after="0"/>
      </w:pPr>
    </w:p>
    <w:p>
      <w:pPr>
        <w:pStyle w:val="Heading1"/>
        <w:keepNext/>
      </w:pPr>
      <w:r>
        <w:rPr>
          <w:rFonts w:ascii="Calibri" w:hAnsi="Calibri"/>
          <w:b/>
          <w:i w:val="0"/>
          <w:color w:val="2563EB"/>
          <w:sz w:val="32"/>
        </w:rPr>
        <w:t>7. Recommendation and data quality</w:t>
      </w:r>
    </w:p>
    <w:p>
      <w:pPr>
        <w:spacing w:after="120" w:line="264" w:lineRule="auto"/>
      </w:pPr>
      <w:r>
        <w:rPr>
          <w:rFonts w:ascii="Calibri" w:hAnsi="Calibri"/>
          <w:b w:val="0"/>
          <w:i w:val="0"/>
          <w:color w:val="172033"/>
          <w:sz w:val="22"/>
        </w:rPr>
        <w:t>The recommendation engine is deterministic: hard eligibility rules remove failed options before scoring. Remaining routes are evaluated for academic fit, funding, deadline feasibility, source freshness, evidence readiness, affordability, visa feasibility, career alignment and preference. The system must not predict admission, scholarship or visa probability.</w:t>
      </w:r>
    </w:p>
    <w:p>
      <w:pPr>
        <w:pStyle w:val="Heading2"/>
        <w:keepNext/>
      </w:pPr>
      <w:r>
        <w:rPr>
          <w:rFonts w:ascii="Calibri" w:hAnsi="Calibri"/>
          <w:b/>
          <w:i w:val="0"/>
          <w:color w:val="2563EB"/>
          <w:sz w:val="26"/>
        </w:rPr>
        <w:t>Required proof before invitations</w:t>
      </w:r>
    </w:p>
    <w:p>
      <w:pPr>
        <w:pStyle w:val="ListBullet"/>
        <w:spacing w:after="100" w:line="280" w:lineRule="auto"/>
        <w:ind w:left="720" w:hanging="360"/>
      </w:pPr>
      <w:r>
        <w:rPr>
          <w:rFonts w:ascii="Calibri" w:hAnsi="Calibri"/>
          <w:b w:val="0"/>
          <w:i w:val="0"/>
          <w:color w:val="172033"/>
          <w:sz w:val="22"/>
        </w:rPr>
        <w:t>Ten current opportunities must be official-source-linked, reviewed and published; stale records must never enter recommendations.</w:t>
      </w:r>
    </w:p>
    <w:p>
      <w:pPr>
        <w:pStyle w:val="ListBullet"/>
        <w:spacing w:after="100" w:line="280" w:lineRule="auto"/>
        <w:ind w:left="720" w:hanging="360"/>
      </w:pPr>
      <w:r>
        <w:rPr>
          <w:rFonts w:ascii="Calibri" w:hAnsi="Calibri"/>
          <w:b w:val="0"/>
          <w:i w:val="0"/>
          <w:color w:val="172033"/>
          <w:sz w:val="22"/>
        </w:rPr>
        <w:t>Thirty golden student profiles must cover Pakistan, India and Bangladesh, different funding levels, English evidence, academic results and missing information.</w:t>
      </w:r>
    </w:p>
    <w:p>
      <w:pPr>
        <w:pStyle w:val="ListBullet"/>
        <w:spacing w:after="100" w:line="280" w:lineRule="auto"/>
        <w:ind w:left="720" w:hanging="360"/>
      </w:pPr>
      <w:r>
        <w:rPr>
          <w:rFonts w:ascii="Calibri" w:hAnsi="Calibri"/>
          <w:b w:val="0"/>
          <w:i w:val="0"/>
          <w:color w:val="172033"/>
          <w:sz w:val="22"/>
        </w:rPr>
        <w:t>Each result must expose passed, failed and unresolved rules, source freshness and the next evidence task.</w:t>
      </w:r>
    </w:p>
    <w:p>
      <w:pPr>
        <w:pStyle w:val="ListBullet"/>
        <w:spacing w:after="100" w:line="280" w:lineRule="auto"/>
        <w:ind w:left="720" w:hanging="360"/>
      </w:pPr>
      <w:r>
        <w:rPr>
          <w:rFonts w:ascii="Calibri" w:hAnsi="Calibri"/>
          <w:b w:val="0"/>
          <w:i w:val="0"/>
          <w:color w:val="172033"/>
          <w:sz w:val="22"/>
        </w:rPr>
        <w:t>Today, Discover and Profile must consume the same stored recommendation run.</w:t>
      </w:r>
    </w:p>
    <w:p>
      <w:pPr>
        <w:pStyle w:val="ListBullet"/>
        <w:spacing w:after="100" w:line="280" w:lineRule="auto"/>
        <w:ind w:left="720" w:hanging="360"/>
      </w:pPr>
      <w:r>
        <w:rPr>
          <w:rFonts w:ascii="Calibri" w:hAnsi="Calibri"/>
          <w:b w:val="0"/>
          <w:i w:val="0"/>
          <w:color w:val="172033"/>
          <w:sz w:val="22"/>
        </w:rPr>
        <w:t>No service-role secret may reach the browser or a future mobile client.</w:t>
      </w:r>
    </w:p>
    <w:p>
      <w:pPr>
        <w:pStyle w:val="Heading1"/>
        <w:keepNext/>
      </w:pPr>
      <w:r>
        <w:rPr>
          <w:rFonts w:ascii="Calibri" w:hAnsi="Calibri"/>
          <w:b/>
          <w:i w:val="0"/>
          <w:color w:val="2563EB"/>
          <w:sz w:val="32"/>
        </w:rPr>
        <w:t>8. Scope boundary and risk controls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shd w:fill="172033"/>
            <w:vAlign w:val="center"/>
            <w:tcMar>
              <w:top w:w="80" w:type="dxa"/>
              <w:start w:w="120" w:type="dxa"/>
              <w:bottom w:w="80" w:type="dxa"/>
              <w:end w:w="120" w:type="dxa"/>
            </w:tcMar>
          </w:tcPr>
          <w:p>
            <w:pPr>
              <w:spacing w:after="0"/>
            </w:pPr>
            <w:r/>
            <w:r>
              <w:rPr>
                <w:rFonts w:ascii="Calibri" w:hAnsi="Calibri"/>
                <w:b/>
                <w:i w:val="0"/>
                <w:color w:val="FFFFFF"/>
                <w:sz w:val="19"/>
              </w:rPr>
              <w:t>Boundary</w:t>
            </w:r>
          </w:p>
        </w:tc>
        <w:tc>
          <w:tcPr>
            <w:tcW w:type="dxa" w:w="7560"/>
            <w:shd w:fill="172033"/>
            <w:vAlign w:val="center"/>
            <w:tcMar>
              <w:top w:w="80" w:type="dxa"/>
              <w:start w:w="120" w:type="dxa"/>
              <w:bottom w:w="80" w:type="dxa"/>
              <w:end w:w="120" w:type="dxa"/>
            </w:tcMar>
          </w:tcPr>
          <w:p>
            <w:pPr>
              <w:spacing w:after="0"/>
            </w:pPr>
            <w:r/>
            <w:r>
              <w:rPr>
                <w:rFonts w:ascii="Calibri" w:hAnsi="Calibri"/>
                <w:b/>
                <w:i w:val="0"/>
                <w:color w:val="FFFFFF"/>
                <w:sz w:val="19"/>
              </w:rPr>
              <w:t>Decision</w:t>
            </w:r>
          </w:p>
        </w:tc>
      </w:tr>
      <w:tr>
        <w:tc>
          <w:tcPr>
            <w:tcW w:type="dxa" w:w="1800"/>
            <w:vAlign w:val="top"/>
            <w:tcMar>
              <w:top w:w="80" w:type="dxa"/>
              <w:start w:w="120" w:type="dxa"/>
              <w:bottom w:w="80" w:type="dxa"/>
              <w:end w:w="120" w:type="dxa"/>
            </w:tcMar>
          </w:tcPr>
          <w:p>
            <w:pPr>
              <w:spacing w:after="0" w:line="252" w:lineRule="auto"/>
            </w:pPr>
            <w:r/>
            <w:r>
              <w:rPr>
                <w:rFonts w:ascii="Calibri" w:hAnsi="Calibri"/>
                <w:b w:val="0"/>
                <w:i w:val="0"/>
                <w:color w:val="172033"/>
                <w:sz w:val="20"/>
              </w:rPr>
              <w:t>Ship</w:t>
            </w:r>
          </w:p>
        </w:tc>
        <w:tc>
          <w:tcPr>
            <w:tcW w:type="dxa" w:w="7560"/>
            <w:vAlign w:val="top"/>
            <w:tcMar>
              <w:top w:w="80" w:type="dxa"/>
              <w:start w:w="120" w:type="dxa"/>
              <w:bottom w:w="80" w:type="dxa"/>
              <w:end w:w="120" w:type="dxa"/>
            </w:tcMar>
          </w:tcPr>
          <w:p>
            <w:pPr>
              <w:spacing w:after="0" w:line="252" w:lineRule="auto"/>
            </w:pPr>
            <w:r/>
            <w:r>
              <w:rPr>
                <w:rFonts w:ascii="Calibri" w:hAnsi="Calibri"/>
                <w:b w:val="0"/>
                <w:i w:val="0"/>
                <w:color w:val="172033"/>
                <w:sz w:val="20"/>
              </w:rPr>
              <w:t>Auth; profile; education truth; eligibility; recommendations; discovery; basic portfolio/application/tasks; operations; feedback</w:t>
            </w:r>
          </w:p>
        </w:tc>
      </w:tr>
      <w:tr>
        <w:tc>
          <w:tcPr>
            <w:tcW w:type="dxa" w:w="18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Optional</w:t>
            </w:r>
          </w:p>
        </w:tc>
        <w:tc>
          <w:tcPr>
            <w:tcW w:type="dxa" w:w="75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Document upload only after private storage and signed access pass live tests</w:t>
            </w:r>
          </w:p>
        </w:tc>
      </w:tr>
      <w:tr>
        <w:tc>
          <w:tcPr>
            <w:tcW w:type="dxa" w:w="1800"/>
            <w:vAlign w:val="top"/>
            <w:tcMar>
              <w:top w:w="80" w:type="dxa"/>
              <w:start w:w="120" w:type="dxa"/>
              <w:bottom w:w="80" w:type="dxa"/>
              <w:end w:w="120" w:type="dxa"/>
            </w:tcMar>
          </w:tcPr>
          <w:p>
            <w:pPr>
              <w:spacing w:after="0" w:line="252" w:lineRule="auto"/>
            </w:pPr>
            <w:r/>
            <w:r>
              <w:rPr>
                <w:rFonts w:ascii="Calibri" w:hAnsi="Calibri"/>
                <w:b w:val="0"/>
                <w:i w:val="0"/>
                <w:color w:val="172033"/>
                <w:sz w:val="20"/>
              </w:rPr>
              <w:t>Defer</w:t>
            </w:r>
          </w:p>
        </w:tc>
        <w:tc>
          <w:tcPr>
            <w:tcW w:type="dxa" w:w="7560"/>
            <w:vAlign w:val="top"/>
            <w:tcMar>
              <w:top w:w="80" w:type="dxa"/>
              <w:start w:w="120" w:type="dxa"/>
              <w:bottom w:w="80" w:type="dxa"/>
              <w:end w:w="120" w:type="dxa"/>
            </w:tcMar>
          </w:tcPr>
          <w:p>
            <w:pPr>
              <w:spacing w:after="0" w:line="252" w:lineRule="auto"/>
            </w:pPr>
            <w:r/>
            <w:r>
              <w:rPr>
                <w:rFonts w:ascii="Calibri" w:hAnsi="Calibri"/>
                <w:b w:val="0"/>
                <w:i w:val="0"/>
                <w:color w:val="172033"/>
                <w:sz w:val="20"/>
              </w:rPr>
              <w:t>Writing, recommenders, offers, iOS, full rankings, semantic search, automated reminders and advanced document processing</w:t>
            </w:r>
          </w:p>
        </w:tc>
      </w:tr>
      <w:tr>
        <w:tc>
          <w:tcPr>
            <w:tcW w:type="dxa" w:w="18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Audience</w:t>
            </w:r>
          </w:p>
        </w:tc>
        <w:tc>
          <w:tcPr>
            <w:tcW w:type="dxa" w:w="75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5-10 invited testers only; no public acquisition campaign</w:t>
            </w:r>
          </w:p>
        </w:tc>
      </w:tr>
      <w:tr>
        <w:tc>
          <w:tcPr>
            <w:tcW w:type="dxa" w:w="1800"/>
            <w:vAlign w:val="top"/>
            <w:tcMar>
              <w:top w:w="80" w:type="dxa"/>
              <w:start w:w="120" w:type="dxa"/>
              <w:bottom w:w="80" w:type="dxa"/>
              <w:end w:w="120" w:type="dxa"/>
            </w:tcMar>
          </w:tcPr>
          <w:p>
            <w:pPr>
              <w:spacing w:after="0" w:line="252" w:lineRule="auto"/>
            </w:pPr>
            <w:r/>
            <w:r>
              <w:rPr>
                <w:rFonts w:ascii="Calibri" w:hAnsi="Calibri"/>
                <w:b w:val="0"/>
                <w:i w:val="0"/>
                <w:color w:val="172033"/>
                <w:sz w:val="20"/>
              </w:rPr>
              <w:t>Data</w:t>
            </w:r>
          </w:p>
        </w:tc>
        <w:tc>
          <w:tcPr>
            <w:tcW w:type="dxa" w:w="7560"/>
            <w:vAlign w:val="top"/>
            <w:tcMar>
              <w:top w:w="80" w:type="dxa"/>
              <w:start w:w="120" w:type="dxa"/>
              <w:bottom w:w="80" w:type="dxa"/>
              <w:end w:w="120" w:type="dxa"/>
            </w:tcMar>
          </w:tcPr>
          <w:p>
            <w:pPr>
              <w:spacing w:after="0" w:line="252" w:lineRule="auto"/>
            </w:pPr>
            <w:r/>
            <w:r>
              <w:rPr>
                <w:rFonts w:ascii="Calibri" w:hAnsi="Calibri"/>
                <w:b w:val="0"/>
                <w:i w:val="0"/>
                <w:color w:val="172033"/>
                <w:sz w:val="20"/>
              </w:rPr>
              <w:t>Limited catalogue must be visibly labelled; no completeness claim</w:t>
            </w:r>
          </w:p>
        </w:tc>
      </w:tr>
      <w:tr>
        <w:tc>
          <w:tcPr>
            <w:tcW w:type="dxa" w:w="180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Safety</w:t>
            </w:r>
          </w:p>
        </w:tc>
        <w:tc>
          <w:tcPr>
            <w:tcW w:type="dxa" w:w="7560"/>
            <w:vAlign w:val="top"/>
            <w:shd w:fill="FAFBFC"/>
            <w:tcMar>
              <w:top w:w="80" w:type="dxa"/>
              <w:start w:w="120" w:type="dxa"/>
              <w:bottom w:w="80" w:type="dxa"/>
              <w:end w:w="120" w:type="dxa"/>
            </w:tcMar>
          </w:tcPr>
          <w:p>
            <w:pPr>
              <w:spacing w:after="0" w:line="252" w:lineRule="auto"/>
            </w:pPr>
            <w:r/>
            <w:r>
              <w:rPr>
                <w:rFonts w:ascii="Calibri" w:hAnsi="Calibri"/>
                <w:b w:val="0"/>
                <w:i w:val="0"/>
                <w:color w:val="172033"/>
                <w:sz w:val="20"/>
              </w:rPr>
              <w:t>Do not accept sensitive documents when storage or access control is unverified</w:t>
            </w:r>
          </w:p>
        </w:tc>
      </w:tr>
    </w:tbl>
    <w:p>
      <w:pPr>
        <w:spacing w:after="0"/>
      </w:pPr>
    </w:p>
    <w:p>
      <w:pPr>
        <w:pStyle w:val="Heading1"/>
        <w:keepNext/>
      </w:pPr>
      <w:r>
        <w:rPr>
          <w:rFonts w:ascii="Calibri" w:hAnsi="Calibri"/>
          <w:b/>
          <w:i w:val="0"/>
          <w:color w:val="2563EB"/>
          <w:sz w:val="32"/>
        </w:rPr>
        <w:t>9. Launch-day operating protocol</w:t>
      </w:r>
    </w:p>
    <w:p>
      <w:pPr>
        <w:pStyle w:val="ListBullet"/>
        <w:spacing w:after="100" w:line="280" w:lineRule="auto"/>
        <w:ind w:left="720" w:hanging="360"/>
      </w:pPr>
      <w:r>
        <w:rPr>
          <w:rFonts w:ascii="Calibri" w:hAnsi="Calibri"/>
          <w:b w:val="0"/>
          <w:i w:val="0"/>
          <w:color w:val="172033"/>
          <w:sz w:val="22"/>
        </w:rPr>
        <w:t>Invite testers in small batches so failures can be contained and diagnosed.</w:t>
      </w:r>
    </w:p>
    <w:p>
      <w:pPr>
        <w:pStyle w:val="ListBullet"/>
        <w:spacing w:after="100" w:line="280" w:lineRule="auto"/>
        <w:ind w:left="720" w:hanging="360"/>
      </w:pPr>
      <w:r>
        <w:rPr>
          <w:rFonts w:ascii="Calibri" w:hAnsi="Calibri"/>
          <w:b w:val="0"/>
          <w:i w:val="0"/>
          <w:color w:val="172033"/>
          <w:sz w:val="22"/>
        </w:rPr>
        <w:t>Watch Auth, API, database and error-monitoring signals during every onboarding session.</w:t>
      </w:r>
    </w:p>
    <w:p>
      <w:pPr>
        <w:pStyle w:val="ListBullet"/>
        <w:spacing w:after="100" w:line="280" w:lineRule="auto"/>
        <w:ind w:left="720" w:hanging="360"/>
      </w:pPr>
      <w:r>
        <w:rPr>
          <w:rFonts w:ascii="Calibri" w:hAnsi="Calibri"/>
          <w:b w:val="0"/>
          <w:i w:val="0"/>
          <w:color w:val="172033"/>
          <w:sz w:val="22"/>
        </w:rPr>
        <w:t>Record every correction at fact level and remove any stale or disputed opportunity from recommendation candidates.</w:t>
      </w:r>
    </w:p>
    <w:p>
      <w:pPr>
        <w:pStyle w:val="ListBullet"/>
        <w:spacing w:after="100" w:line="280" w:lineRule="auto"/>
        <w:ind w:left="720" w:hanging="360"/>
      </w:pPr>
      <w:r>
        <w:rPr>
          <w:rFonts w:ascii="Calibri" w:hAnsi="Calibri"/>
          <w:b w:val="0"/>
          <w:i w:val="0"/>
          <w:color w:val="172033"/>
          <w:sz w:val="22"/>
        </w:rPr>
        <w:t>Respond to P0 issues immediately; pause invitations if security, data integrity or recommendation explanations fail.</w:t>
      </w:r>
    </w:p>
    <w:p>
      <w:pPr>
        <w:pStyle w:val="ListBullet"/>
        <w:spacing w:after="100" w:line="280" w:lineRule="auto"/>
        <w:ind w:left="720" w:hanging="360"/>
      </w:pPr>
      <w:r>
        <w:rPr>
          <w:rFonts w:ascii="Calibri" w:hAnsi="Calibri"/>
          <w:b w:val="0"/>
          <w:i w:val="0"/>
          <w:color w:val="172033"/>
          <w:sz w:val="22"/>
        </w:rPr>
        <w:t>Run a daily source-freshness and deadline review during the first beta week.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A"/>
            <w:tcMar>
              <w:top w:w="80" w:type="dxa"/>
              <w:start w:w="120" w:type="dxa"/>
              <w:bottom w:w="80" w:type="dxa"/>
              <w:end w:w="120" w:type="dxa"/>
            </w:tcMar>
          </w:tcPr>
          <w:p>
            <w:pPr>
              <w:spacing w:after="0"/>
            </w:pPr>
            <w:r/>
            <w:r>
              <w:rPr>
                <w:rFonts w:ascii="Calibri" w:hAnsi="Calibri"/>
                <w:b/>
                <w:i w:val="0"/>
                <w:color w:val="B42318"/>
                <w:sz w:val="22"/>
              </w:rPr>
              <w:t xml:space="preserve">Release rule: </w:t>
            </w:r>
            <w:r>
              <w:rPr>
                <w:rFonts w:ascii="Calibri" w:hAnsi="Calibri"/>
                <w:b w:val="0"/>
                <w:i w:val="0"/>
                <w:color w:val="172033"/>
                <w:sz w:val="22"/>
              </w:rPr>
              <w:t>If production Auth, tenant isolation, ten reviewed opportunities, the critical student journey, feedback and rollback readiness are not proven by 13 August, do not expand invitations. Open a smaller internal alpha instead.</w:t>
            </w:r>
          </w:p>
        </w:tc>
      </w:tr>
    </w:tbl>
    <w:p>
      <w:pPr>
        <w:spacing w:after="40"/>
      </w:pPr>
    </w:p>
    <w:p>
      <w:pPr>
        <w:pStyle w:val="Heading1"/>
        <w:keepNext/>
      </w:pPr>
      <w:r>
        <w:rPr>
          <w:rFonts w:ascii="Calibri" w:hAnsi="Calibri"/>
          <w:b/>
          <w:i w:val="0"/>
          <w:color w:val="2563EB"/>
          <w:sz w:val="32"/>
        </w:rPr>
        <w:t>10. Immediate next action</w:t>
      </w:r>
    </w:p>
    <w:p>
      <w:pPr>
        <w:spacing w:after="120" w:line="264" w:lineRule="auto"/>
      </w:pPr>
      <w:r>
        <w:rPr>
          <w:rFonts w:ascii="Calibri" w:hAnsi="Calibri"/>
          <w:b w:val="0"/>
          <w:i w:val="0"/>
          <w:color w:val="172033"/>
          <w:sz w:val="22"/>
        </w:rPr>
        <w:t>Haidar completes Supabase authentication. Codex then verifies the live project, applies migrations 009-010, configures the protected preview and begins the signed-in acceptance journey. No new feature work should start before this dependency is closed.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8"/>
      </w:rPr>
      <w:t xml:space="preserve">Confidential working report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8"/>
      </w:rPr>
      <w:t>SCHOLARPATH | BETA RELEASE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ScholarPath Beta Readiness Report</dc:title>
  <dc:subject>Module status, blockers and launch plan for 14 August 2026</dc:subject>
  <dc:creator>ScholarPath Product Team</dc:creator>
  <cp:keywords>ScholarPath, beta, readiness, blockers, modules, launch</cp:keywords>
  <dc:description>generated by python-docx</dc:description>
  <cp:lastModifiedBy/>
  <cp:revision>1</cp:revision>
  <dcterms:created xsi:type="dcterms:W3CDTF">2013-12-23T23:15:00Z</dcterms:created>
  <dcterms:modified xsi:type="dcterms:W3CDTF">2013-12-23T23:15:00Z</dcterms:modified>
  <cp:category/>
</cp:coreProperties>
</file>