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80"/>
      </w:pPr>
      <w:r>
        <w:rPr>
          <w:rFonts w:ascii="Calibri" w:hAnsi="Calibri"/>
          <w:b/>
          <w:i w:val="0"/>
          <w:color w:val="2563EB"/>
          <w:sz w:val="20"/>
        </w:rPr>
        <w:t>BETA RELEASE REPORT</w:t>
      </w:r>
    </w:p>
    <w:p>
      <w:pPr>
        <w:spacing w:after="80"/>
      </w:pPr>
      <w:r>
        <w:rPr>
          <w:rFonts w:ascii="Calibri" w:hAnsi="Calibri"/>
          <w:b/>
          <w:i w:val="0"/>
          <w:color w:val="172033"/>
          <w:sz w:val="56"/>
        </w:rPr>
        <w:t>ScholarPath</w:t>
      </w:r>
    </w:p>
    <w:p>
      <w:pPr>
        <w:spacing w:after="360"/>
      </w:pPr>
      <w:r>
        <w:rPr>
          <w:rFonts w:ascii="Calibri" w:hAnsi="Calibri"/>
          <w:b w:val="0"/>
          <w:i w:val="0"/>
          <w:color w:val="5F6B7A"/>
          <w:sz w:val="30"/>
        </w:rPr>
        <w:t>Full module status, blockers and eight-day launch plan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172033"/>
            <w:vAlign w:val="center"/>
            <w:tcMar>
              <w:top w:w="80" w:type="dxa"/>
              <w:start w:w="120" w:type="dxa"/>
              <w:bottom w:w="80" w:type="dxa"/>
              <w:end w:w="120" w:type="dxa"/>
            </w:tcMar>
          </w:tcPr>
          <w:p>
            <w:pPr>
              <w:spacing w:after="0"/>
            </w:pPr>
            <w:r/>
            <w:r>
              <w:rPr>
                <w:rFonts w:ascii="Calibri" w:hAnsi="Calibri"/>
                <w:b/>
                <w:i w:val="0"/>
                <w:color w:val="FFFFFF"/>
                <w:sz w:val="19"/>
              </w:rPr>
              <w:t>Report field</w:t>
            </w:r>
          </w:p>
        </w:tc>
        <w:tc>
          <w:tcPr>
            <w:tcW w:type="dxa" w:w="6660"/>
            <w:shd w:fill="172033"/>
            <w:vAlign w:val="center"/>
            <w:tcMar>
              <w:top w:w="80" w:type="dxa"/>
              <w:start w:w="120" w:type="dxa"/>
              <w:bottom w:w="80" w:type="dxa"/>
              <w:end w:w="120" w:type="dxa"/>
            </w:tcMar>
          </w:tcPr>
          <w:p>
            <w:pPr>
              <w:spacing w:after="0"/>
            </w:pPr>
            <w:r/>
            <w:r>
              <w:rPr>
                <w:rFonts w:ascii="Calibri" w:hAnsi="Calibri"/>
                <w:b/>
                <w:i w:val="0"/>
                <w:color w:val="FFFFFF"/>
                <w:sz w:val="19"/>
              </w:rPr>
              <w:t>Current position</w:t>
            </w:r>
          </w:p>
        </w:tc>
      </w:tr>
      <w:tr>
        <w:tc>
          <w:tcPr>
            <w:tcW w:type="dxa" w:w="2700"/>
            <w:vAlign w:val="top"/>
            <w:tcMar>
              <w:top w:w="80" w:type="dxa"/>
              <w:start w:w="120" w:type="dxa"/>
              <w:bottom w:w="80" w:type="dxa"/>
              <w:end w:w="120" w:type="dxa"/>
            </w:tcMar>
          </w:tcPr>
          <w:p>
            <w:pPr>
              <w:spacing w:after="0" w:line="252" w:lineRule="auto"/>
            </w:pPr>
            <w:r/>
            <w:r>
              <w:rPr>
                <w:rFonts w:ascii="Calibri" w:hAnsi="Calibri"/>
                <w:b w:val="0"/>
                <w:i w:val="0"/>
                <w:color w:val="172033"/>
                <w:sz w:val="20"/>
              </w:rPr>
              <w:t>Prepared</w:t>
            </w:r>
          </w:p>
        </w:tc>
        <w:tc>
          <w:tcPr>
            <w:tcW w:type="dxa" w:w="6660"/>
            <w:vAlign w:val="top"/>
            <w:tcMar>
              <w:top w:w="80" w:type="dxa"/>
              <w:start w:w="120" w:type="dxa"/>
              <w:bottom w:w="80" w:type="dxa"/>
              <w:end w:w="120" w:type="dxa"/>
            </w:tcMar>
          </w:tcPr>
          <w:p>
            <w:pPr>
              <w:spacing w:after="0" w:line="252" w:lineRule="auto"/>
            </w:pPr>
            <w:r/>
            <w:r>
              <w:rPr>
                <w:rFonts w:ascii="Calibri" w:hAnsi="Calibri"/>
                <w:b w:val="0"/>
                <w:i w:val="0"/>
                <w:color w:val="172033"/>
                <w:sz w:val="20"/>
              </w:rPr>
              <w:t>6 August 2026</w:t>
            </w:r>
          </w:p>
        </w:tc>
      </w:tr>
      <w:tr>
        <w:tc>
          <w:tcPr>
            <w:tcW w:type="dxa" w:w="27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Beta date</w:t>
            </w:r>
          </w:p>
        </w:tc>
        <w:tc>
          <w:tcPr>
            <w:tcW w:type="dxa" w:w="66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14 August 2026</w:t>
            </w:r>
          </w:p>
        </w:tc>
      </w:tr>
      <w:tr>
        <w:tc>
          <w:tcPr>
            <w:tcW w:type="dxa" w:w="2700"/>
            <w:vAlign w:val="top"/>
            <w:tcMar>
              <w:top w:w="80" w:type="dxa"/>
              <w:start w:w="120" w:type="dxa"/>
              <w:bottom w:w="80" w:type="dxa"/>
              <w:end w:w="120" w:type="dxa"/>
            </w:tcMar>
          </w:tcPr>
          <w:p>
            <w:pPr>
              <w:spacing w:after="0" w:line="252" w:lineRule="auto"/>
            </w:pPr>
            <w:r/>
            <w:r>
              <w:rPr>
                <w:rFonts w:ascii="Calibri" w:hAnsi="Calibri"/>
                <w:b w:val="0"/>
                <w:i w:val="0"/>
                <w:color w:val="172033"/>
                <w:sz w:val="20"/>
              </w:rPr>
              <w:t>Launch type</w:t>
            </w:r>
          </w:p>
        </w:tc>
        <w:tc>
          <w:tcPr>
            <w:tcW w:type="dxa" w:w="6660"/>
            <w:vAlign w:val="top"/>
            <w:tcMar>
              <w:top w:w="80" w:type="dxa"/>
              <w:start w:w="120" w:type="dxa"/>
              <w:bottom w:w="80" w:type="dxa"/>
              <w:end w:w="120" w:type="dxa"/>
            </w:tcMar>
          </w:tcPr>
          <w:p>
            <w:pPr>
              <w:spacing w:after="0" w:line="252" w:lineRule="auto"/>
            </w:pPr>
            <w:r/>
            <w:r>
              <w:rPr>
                <w:rFonts w:ascii="Calibri" w:hAnsi="Calibri"/>
                <w:b w:val="0"/>
                <w:i w:val="0"/>
                <w:color w:val="172033"/>
                <w:sz w:val="20"/>
              </w:rPr>
              <w:t>Controlled invite-only beta</w:t>
            </w:r>
          </w:p>
        </w:tc>
      </w:tr>
      <w:tr>
        <w:tc>
          <w:tcPr>
            <w:tcW w:type="dxa" w:w="27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Audience</w:t>
            </w:r>
          </w:p>
        </w:tc>
        <w:tc>
          <w:tcPr>
            <w:tcW w:type="dxa" w:w="66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5-10 postgraduate applicants from Pakistan, India and Bangladesh</w:t>
            </w:r>
          </w:p>
        </w:tc>
      </w:tr>
      <w:tr>
        <w:tc>
          <w:tcPr>
            <w:tcW w:type="dxa" w:w="2700"/>
            <w:vAlign w:val="top"/>
            <w:tcMar>
              <w:top w:w="80" w:type="dxa"/>
              <w:start w:w="120" w:type="dxa"/>
              <w:bottom w:w="80" w:type="dxa"/>
              <w:end w:w="120" w:type="dxa"/>
            </w:tcMar>
          </w:tcPr>
          <w:p>
            <w:pPr>
              <w:spacing w:after="0" w:line="252" w:lineRule="auto"/>
            </w:pPr>
            <w:r/>
            <w:r>
              <w:rPr>
                <w:rFonts w:ascii="Calibri" w:hAnsi="Calibri"/>
                <w:b w:val="0"/>
                <w:i w:val="0"/>
                <w:color w:val="172033"/>
                <w:sz w:val="20"/>
              </w:rPr>
              <w:t>Overall state</w:t>
            </w:r>
          </w:p>
        </w:tc>
        <w:tc>
          <w:tcPr>
            <w:tcW w:type="dxa" w:w="6660"/>
            <w:vAlign w:val="top"/>
            <w:tcMar>
              <w:top w:w="80" w:type="dxa"/>
              <w:start w:w="120" w:type="dxa"/>
              <w:bottom w:w="80" w:type="dxa"/>
              <w:end w:w="120" w:type="dxa"/>
            </w:tcMar>
          </w:tcPr>
          <w:p>
            <w:pPr>
              <w:spacing w:after="0" w:line="252" w:lineRule="auto"/>
            </w:pPr>
            <w:r/>
            <w:r>
              <w:rPr>
                <w:rFonts w:ascii="Calibri" w:hAnsi="Calibri"/>
                <w:b w:val="0"/>
                <w:i w:val="0"/>
                <w:color w:val="172033"/>
                <w:sz w:val="20"/>
              </w:rPr>
              <w:t>Beta-shaped codebase; production connection and proof remain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tcPr>
          <w:p>
            <w:pPr>
              <w:spacing w:after="0"/>
            </w:pPr>
            <w:r/>
            <w:r>
              <w:rPr>
                <w:rFonts w:ascii="Calibri" w:hAnsi="Calibri"/>
                <w:b/>
                <w:i w:val="0"/>
                <w:color w:val="A15C00"/>
                <w:sz w:val="22"/>
              </w:rPr>
              <w:t xml:space="preserve">Decision: </w:t>
            </w:r>
            <w:r>
              <w:rPr>
                <w:rFonts w:ascii="Calibri" w:hAnsi="Calibri"/>
                <w:b w:val="0"/>
                <w:i w:val="0"/>
                <w:color w:val="172033"/>
                <w:sz w:val="22"/>
              </w:rPr>
              <w:t>The August 14 beta remains achievable only if scope is frozen now. Production Auth, live recommendations, reviewed data, security and feedback are mandatory. Writing, recommenders, offers, iOS and advanced automation are deferred.</w:t>
            </w:r>
          </w:p>
        </w:tc>
      </w:tr>
    </w:tbl>
    <w:p>
      <w:pPr>
        <w:spacing w:after="40"/>
      </w:pPr>
    </w:p>
    <w:p>
      <w:pPr>
        <w:pStyle w:val="Heading1"/>
        <w:keepNext/>
      </w:pPr>
      <w:r>
        <w:rPr>
          <w:rFonts w:ascii="Calibri" w:hAnsi="Calibri"/>
          <w:b/>
          <w:i w:val="0"/>
          <w:color w:val="2563EB"/>
          <w:sz w:val="32"/>
        </w:rPr>
        <w:t>1. Executive summary</w:t>
      </w:r>
    </w:p>
    <w:p>
      <w:pPr>
        <w:spacing w:after="120" w:line="264" w:lineRule="auto"/>
      </w:pPr>
      <w:r>
        <w:rPr>
          <w:rFonts w:ascii="Calibri" w:hAnsi="Calibri"/>
          <w:b w:val="0"/>
          <w:i w:val="0"/>
          <w:color w:val="172033"/>
          <w:sz w:val="22"/>
        </w:rPr>
        <w:t>ScholarPath is not missing its core architecture. The student interface, database schema, deterministic eligibility and recommendation logic, application workspace, task engine, country intelligence and operations surfaces exist. The remaining launch risk is that major journeys still fall back to demonstration data because production Supabase and Vercel are not configured in the current environment.</w:t>
      </w:r>
    </w:p>
    <w:p>
      <w:pPr>
        <w:spacing w:after="120" w:line="264" w:lineRule="auto"/>
      </w:pPr>
      <w:r>
        <w:rPr>
          <w:rFonts w:ascii="Calibri" w:hAnsi="Calibri"/>
          <w:b w:val="0"/>
          <w:i w:val="0"/>
          <w:color w:val="172033"/>
          <w:sz w:val="22"/>
        </w:rPr>
        <w:t>A controlled beta can open on 14 August if the next eight days are spent on connection, evidence and acceptance rather than new feature development. The release must remain invite-only and should initially serve 5-10 closely monitored testers.</w:t>
      </w:r>
    </w:p>
    <w:p>
      <w:pPr>
        <w:pStyle w:val="Heading1"/>
        <w:keepNext/>
      </w:pPr>
      <w:r>
        <w:rPr>
          <w:rFonts w:ascii="Calibri" w:hAnsi="Calibri"/>
          <w:b/>
          <w:i w:val="0"/>
          <w:color w:val="2563EB"/>
          <w:sz w:val="32"/>
        </w:rPr>
        <w:t>2. Evidence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172033"/>
            <w:vAlign w:val="center"/>
            <w:tcMar>
              <w:top w:w="80" w:type="dxa"/>
              <w:start w:w="120" w:type="dxa"/>
              <w:bottom w:w="80" w:type="dxa"/>
              <w:end w:w="120" w:type="dxa"/>
            </w:tcMar>
          </w:tcPr>
          <w:p>
            <w:pPr>
              <w:spacing w:after="0"/>
            </w:pPr>
            <w:r/>
            <w:r>
              <w:rPr>
                <w:rFonts w:ascii="Calibri" w:hAnsi="Calibri"/>
                <w:b/>
                <w:i w:val="0"/>
                <w:color w:val="FFFFFF"/>
                <w:sz w:val="19"/>
              </w:rPr>
              <w:t>Area</w:t>
            </w:r>
          </w:p>
        </w:tc>
        <w:tc>
          <w:tcPr>
            <w:tcW w:type="dxa" w:w="7260"/>
            <w:shd w:fill="172033"/>
            <w:vAlign w:val="center"/>
            <w:tcMar>
              <w:top w:w="80" w:type="dxa"/>
              <w:start w:w="120" w:type="dxa"/>
              <w:bottom w:w="80" w:type="dxa"/>
              <w:end w:w="120" w:type="dxa"/>
            </w:tcMar>
          </w:tcPr>
          <w:p>
            <w:pPr>
              <w:spacing w:after="0"/>
            </w:pPr>
            <w:r/>
            <w:r>
              <w:rPr>
                <w:rFonts w:ascii="Calibri" w:hAnsi="Calibri"/>
                <w:b/>
                <w:i w:val="0"/>
                <w:color w:val="FFFFFF"/>
                <w:sz w:val="19"/>
              </w:rPr>
              <w:t>Verified position</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Repository</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main at 6c5d7ca when this report was revised; working status should be rechecked before release</w:t>
            </w:r>
          </w:p>
        </w:tc>
      </w:tr>
      <w:tr>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Quality</w:t>
            </w:r>
          </w:p>
        </w:tc>
        <w:tc>
          <w:tcPr>
            <w:tcW w:type="dxa" w:w="72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21 unit tests and 9 pgTAP security/isolation assertions pass</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Surface</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21 API routes and 10 reviewed Supabase migrations exist</w:t>
            </w:r>
          </w:p>
        </w:tc>
      </w:tr>
      <w:tr>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Catalogue</w:t>
            </w:r>
          </w:p>
        </w:tc>
        <w:tc>
          <w:tcPr>
            <w:tcW w:type="dxa" w:w="72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2 published programmes and 3 published scholarships; target is 10 current reviewed opportunities</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Directory</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4 countries, 9 cities, 12 institutions and 4 ranking facts</w:t>
            </w:r>
          </w:p>
        </w:tc>
      </w:tr>
      <w:tr>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Production</w:t>
            </w:r>
          </w:p>
        </w:tc>
        <w:tc>
          <w:tcPr>
            <w:tcW w:type="dxa" w:w="72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Migrations after 008 are unverified; no local environment file, Vercel link or GitHub deployment is present</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Runtime</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Important flows intentionally use demo or curated-fallback behavior without environment keys</w:t>
            </w:r>
          </w:p>
        </w:tc>
      </w:tr>
    </w:tbl>
    <w:p>
      <w:pPr>
        <w:spacing w:after="0"/>
      </w:pPr>
    </w:p>
    <w:p>
      <w:pPr>
        <w:pStyle w:val="Heading1"/>
        <w:keepNext/>
      </w:pPr>
      <w:r>
        <w:rPr>
          <w:rFonts w:ascii="Calibri" w:hAnsi="Calibri"/>
          <w:b/>
          <w:i w:val="0"/>
          <w:color w:val="2563EB"/>
          <w:sz w:val="32"/>
        </w:rPr>
        <w:t>3. Module readiness</w:t>
      </w:r>
    </w:p>
    <w:p>
      <w:pPr>
        <w:spacing w:after="120" w:line="264" w:lineRule="auto"/>
      </w:pPr>
      <w:r>
        <w:rPr>
          <w:rFonts w:ascii="Calibri" w:hAnsi="Calibri"/>
          <w:b w:val="0"/>
          <w:i w:val="0"/>
          <w:color w:val="172033"/>
          <w:sz w:val="22"/>
        </w:rPr>
        <w:t>The strict status standard is used throughout: a module is Done only when it is implemented, connected, tested and accepted in the target environment.</w:t>
      </w:r>
    </w:p>
    <w:tbl>
      <w:tblPr>
        <w:tblStyle w:val="TableGrid"/>
        <w:tblW w:type="dxa" w:w="9360"/>
        <w:jc w:val="left"/>
        <w:tblLayout w:type="fixed"/>
        <w:tblLook w:firstColumn="1" w:firstRow="1" w:lastColumn="0" w:lastRow="0" w:noHBand="0" w:noVBand="1" w:val="04A0"/>
        <w:tblInd w:w="120" w:type="dxa"/>
      </w:tblPr>
      <w:tblGrid>
        <w:gridCol w:w="720"/>
        <w:gridCol w:w="2280"/>
        <w:gridCol w:w="1080"/>
        <w:gridCol w:w="5280"/>
      </w:tblGrid>
      <w:tr>
        <w:trPr>
          <w:trHeight w:hRule="atLeast"/>
          <w:tblHeader w:val="true"/>
        </w:trPr>
        <w:tc>
          <w:tcPr>
            <w:tcW w:type="dxa" w:w="720"/>
            <w:shd w:fill="172033"/>
            <w:vAlign w:val="center"/>
            <w:tcMar>
              <w:top w:w="80" w:type="dxa"/>
              <w:start w:w="120" w:type="dxa"/>
              <w:bottom w:w="80" w:type="dxa"/>
              <w:end w:w="120" w:type="dxa"/>
            </w:tcMar>
          </w:tcPr>
          <w:p>
            <w:pPr>
              <w:spacing w:after="0"/>
            </w:pPr>
            <w:r/>
            <w:r>
              <w:rPr>
                <w:rFonts w:ascii="Calibri" w:hAnsi="Calibri"/>
                <w:b/>
                <w:i w:val="0"/>
                <w:color w:val="FFFFFF"/>
                <w:sz w:val="19"/>
              </w:rPr>
              <w:t>ID</w:t>
            </w:r>
          </w:p>
        </w:tc>
        <w:tc>
          <w:tcPr>
            <w:tcW w:type="dxa" w:w="2280"/>
            <w:shd w:fill="172033"/>
            <w:vAlign w:val="center"/>
            <w:tcMar>
              <w:top w:w="80" w:type="dxa"/>
              <w:start w:w="120" w:type="dxa"/>
              <w:bottom w:w="80" w:type="dxa"/>
              <w:end w:w="120" w:type="dxa"/>
            </w:tcMar>
          </w:tcPr>
          <w:p>
            <w:pPr>
              <w:spacing w:after="0"/>
            </w:pPr>
            <w:r/>
            <w:r>
              <w:rPr>
                <w:rFonts w:ascii="Calibri" w:hAnsi="Calibri"/>
                <w:b/>
                <w:i w:val="0"/>
                <w:color w:val="FFFFFF"/>
                <w:sz w:val="19"/>
              </w:rPr>
              <w:t>Module</w:t>
            </w:r>
          </w:p>
        </w:tc>
        <w:tc>
          <w:tcPr>
            <w:tcW w:type="dxa" w:w="1080"/>
            <w:shd w:fill="172033"/>
            <w:vAlign w:val="center"/>
            <w:tcMar>
              <w:top w:w="80" w:type="dxa"/>
              <w:start w:w="120" w:type="dxa"/>
              <w:bottom w:w="80" w:type="dxa"/>
              <w:end w:w="120" w:type="dxa"/>
            </w:tcMar>
          </w:tcPr>
          <w:p>
            <w:pPr>
              <w:spacing w:after="0"/>
            </w:pPr>
            <w:r/>
            <w:r>
              <w:rPr>
                <w:rFonts w:ascii="Calibri" w:hAnsi="Calibri"/>
                <w:b/>
                <w:i w:val="0"/>
                <w:color w:val="FFFFFF"/>
                <w:sz w:val="19"/>
              </w:rPr>
              <w:t>State</w:t>
            </w:r>
          </w:p>
        </w:tc>
        <w:tc>
          <w:tcPr>
            <w:tcW w:type="dxa" w:w="5280"/>
            <w:shd w:fill="172033"/>
            <w:vAlign w:val="center"/>
            <w:tcMar>
              <w:top w:w="80" w:type="dxa"/>
              <w:start w:w="120" w:type="dxa"/>
              <w:bottom w:w="80" w:type="dxa"/>
              <w:end w:w="120" w:type="dxa"/>
            </w:tcMar>
          </w:tcPr>
          <w:p>
            <w:pPr>
              <w:spacing w:after="0"/>
            </w:pPr>
            <w:r/>
            <w:r>
              <w:rPr>
                <w:rFonts w:ascii="Calibri" w:hAnsi="Calibri"/>
                <w:b/>
                <w:i w:val="0"/>
                <w:color w:val="FFFFFF"/>
                <w:sz w:val="19"/>
              </w:rPr>
              <w:t>What exists and what remains</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M00</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Design system and shell</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Urbanist, responsive shell and accessibility foundations exist. Founder sign-off and live desktop/mobile acceptance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M01</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Account, consent and security</w:t>
            </w:r>
          </w:p>
        </w:tc>
        <w:tc>
          <w:tcPr>
            <w:tcW w:type="dxa" w:w="1080"/>
            <w:vAlign w:val="top"/>
            <w:shd w:fill="FDECEA"/>
            <w:tcMar>
              <w:top w:w="80" w:type="dxa"/>
              <w:start w:w="120" w:type="dxa"/>
              <w:bottom w:w="80" w:type="dxa"/>
              <w:end w:w="120" w:type="dxa"/>
            </w:tcMar>
          </w:tcPr>
          <w:p>
            <w:pPr>
              <w:spacing w:after="0" w:line="252" w:lineRule="auto"/>
            </w:pPr>
            <w:r/>
            <w:r>
              <w:rPr>
                <w:rFonts w:ascii="Calibri" w:hAnsi="Calibri"/>
                <w:b w:val="0"/>
                <w:i w:val="0"/>
                <w:color w:val="172033"/>
                <w:sz w:val="18"/>
              </w:rPr>
              <w:t>Blocked</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Auth UI, roles, consent schema and RLS exist. Supabase keys, redirect URLs, first admin, recovery and live two-user isolation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M02</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Profile and evidence</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Guided profile, validation, normalization and snapshots exist. Live persistence and signed-in completion are unverified.</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M03</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Education truth system</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Versioned facts/rules and directory data exist. Migrations 009-010 and five more independently reviewed opportunities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M04</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Eligibility engine</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Deterministic hard gates and reason codes exist. Golden-profile and production-catalogue regression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M05</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Recommendation engine</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Versioned scoring, balance and explanations exist. Thirty golden profiles, subgroup review and live stored runs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M06</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Discovery and details</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Search, filters, citations and freshness exist. Ten live opportunities and production acceptance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M07</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Portfolio and compare</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Save, grouping and comparison UX exist. Live persistence against recommendation versions is unverified.</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M08</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Application tracker</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Application states, requirements and readiness exist. One complete live application journey is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M09</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Tasks and deadlines</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Kanban, impact, dependencies, evidence and tests exist. Live task generation and deadline acceptance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M10</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Document vault</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Private-storage schema and upload/download routes exist. Live storage and signed-access tests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M11</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Notifications and support</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Preference, correction and outbox models exist. A working feedback channel and monitoring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M12</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Operations and administration</w:t>
            </w:r>
          </w:p>
        </w:tc>
        <w:tc>
          <w:tcPr>
            <w:tcW w:type="dxa" w:w="1080"/>
            <w:vAlign w:val="top"/>
            <w:tcMar>
              <w:top w:w="80" w:type="dxa"/>
              <w:start w:w="120" w:type="dxa"/>
              <w:bottom w:w="80" w:type="dxa"/>
              <w:end w:w="120" w:type="dxa"/>
            </w:tcMar>
            <w:shd w:fill="FDECEA"/>
          </w:tcPr>
          <w:p>
            <w:pPr>
              <w:spacing w:after="0" w:line="252" w:lineRule="auto"/>
            </w:pPr>
            <w:r/>
            <w:r>
              <w:rPr>
                <w:rFonts w:ascii="Calibri" w:hAnsi="Calibri"/>
                <w:b w:val="0"/>
                <w:i w:val="0"/>
                <w:color w:val="172033"/>
                <w:sz w:val="18"/>
              </w:rPr>
              <w:t>Blocked</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Protected API, UI, audit and research roles exist. Production admin, source-review exercise and advisors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M13</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Writing and recommenders</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Foundation exists. Defer email, reminders and confidential submission acceptance until after beta.</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M14</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Funding and offers</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Planning UX and schema exist. Defer live offer workflow until after beta.</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M15</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Shared API and iOS</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Reusable server routes exist. Defer versioned v1/OpenAPI and iOS work until after beta.</w:t>
            </w:r>
          </w:p>
        </w:tc>
      </w:tr>
    </w:tbl>
    <w:p>
      <w:pPr>
        <w:spacing w:after="0"/>
      </w:pPr>
    </w:p>
    <w:p>
      <w:pPr>
        <w:pStyle w:val="Heading1"/>
        <w:keepNext/>
      </w:pPr>
      <w:r>
        <w:rPr>
          <w:rFonts w:ascii="Calibri" w:hAnsi="Calibri"/>
          <w:b/>
          <w:i w:val="0"/>
          <w:color w:val="2563EB"/>
          <w:sz w:val="32"/>
        </w:rPr>
        <w:t>4. Launch blocker register</w:t>
      </w:r>
    </w:p>
    <w:tbl>
      <w:tblPr>
        <w:tblStyle w:val="TableGrid"/>
        <w:tblW w:type="dxa" w:w="9360"/>
        <w:jc w:val="left"/>
        <w:tblLayout w:type="fixed"/>
        <w:tblLook w:firstColumn="1" w:firstRow="1" w:lastColumn="0" w:lastRow="0" w:noHBand="0" w:noVBand="1" w:val="04A0"/>
        <w:tblInd w:w="120" w:type="dxa"/>
      </w:tblPr>
      <w:tblGrid>
        <w:gridCol w:w="650"/>
        <w:gridCol w:w="3940"/>
        <w:gridCol w:w="850"/>
        <w:gridCol w:w="1350"/>
        <w:gridCol w:w="900"/>
        <w:gridCol w:w="1670"/>
      </w:tblGrid>
      <w:tr>
        <w:trPr>
          <w:trHeight w:hRule="atLeast"/>
          <w:tblHeader w:val="true"/>
        </w:trPr>
        <w:tc>
          <w:tcPr>
            <w:tcW w:type="dxa" w:w="650"/>
            <w:shd w:fill="172033"/>
            <w:vAlign w:val="center"/>
            <w:tcMar>
              <w:top w:w="80" w:type="dxa"/>
              <w:start w:w="120" w:type="dxa"/>
              <w:bottom w:w="80" w:type="dxa"/>
              <w:end w:w="120" w:type="dxa"/>
            </w:tcMar>
          </w:tcPr>
          <w:p>
            <w:pPr>
              <w:spacing w:after="0"/>
            </w:pPr>
            <w:r/>
            <w:r>
              <w:rPr>
                <w:rFonts w:ascii="Calibri" w:hAnsi="Calibri"/>
                <w:b/>
                <w:i w:val="0"/>
                <w:color w:val="FFFFFF"/>
                <w:sz w:val="19"/>
              </w:rPr>
              <w:t>ID</w:t>
            </w:r>
          </w:p>
        </w:tc>
        <w:tc>
          <w:tcPr>
            <w:tcW w:type="dxa" w:w="3940"/>
            <w:shd w:fill="172033"/>
            <w:vAlign w:val="center"/>
            <w:tcMar>
              <w:top w:w="80" w:type="dxa"/>
              <w:start w:w="120" w:type="dxa"/>
              <w:bottom w:w="80" w:type="dxa"/>
              <w:end w:w="120" w:type="dxa"/>
            </w:tcMar>
          </w:tcPr>
          <w:p>
            <w:pPr>
              <w:spacing w:after="0"/>
            </w:pPr>
            <w:r/>
            <w:r>
              <w:rPr>
                <w:rFonts w:ascii="Calibri" w:hAnsi="Calibri"/>
                <w:b/>
                <w:i w:val="0"/>
                <w:color w:val="FFFFFF"/>
                <w:sz w:val="19"/>
              </w:rPr>
              <w:t>Blocker</w:t>
            </w:r>
          </w:p>
        </w:tc>
        <w:tc>
          <w:tcPr>
            <w:tcW w:type="dxa" w:w="850"/>
            <w:shd w:fill="172033"/>
            <w:vAlign w:val="center"/>
            <w:tcMar>
              <w:top w:w="80" w:type="dxa"/>
              <w:start w:w="120" w:type="dxa"/>
              <w:bottom w:w="80" w:type="dxa"/>
              <w:end w:w="120" w:type="dxa"/>
            </w:tcMar>
          </w:tcPr>
          <w:p>
            <w:pPr>
              <w:spacing w:after="0"/>
            </w:pPr>
            <w:r/>
            <w:r>
              <w:rPr>
                <w:rFonts w:ascii="Calibri" w:hAnsi="Calibri"/>
                <w:b/>
                <w:i w:val="0"/>
                <w:color w:val="FFFFFF"/>
                <w:sz w:val="19"/>
              </w:rPr>
              <w:t>Priority</w:t>
            </w:r>
          </w:p>
        </w:tc>
        <w:tc>
          <w:tcPr>
            <w:tcW w:type="dxa" w:w="1350"/>
            <w:shd w:fill="172033"/>
            <w:vAlign w:val="center"/>
            <w:tcMar>
              <w:top w:w="80" w:type="dxa"/>
              <w:start w:w="120" w:type="dxa"/>
              <w:bottom w:w="80" w:type="dxa"/>
              <w:end w:w="120" w:type="dxa"/>
            </w:tcMar>
          </w:tcPr>
          <w:p>
            <w:pPr>
              <w:spacing w:after="0"/>
            </w:pPr>
            <w:r/>
            <w:r>
              <w:rPr>
                <w:rFonts w:ascii="Calibri" w:hAnsi="Calibri"/>
                <w:b/>
                <w:i w:val="0"/>
                <w:color w:val="FFFFFF"/>
                <w:sz w:val="19"/>
              </w:rPr>
              <w:t>Owner</w:t>
            </w:r>
          </w:p>
        </w:tc>
        <w:tc>
          <w:tcPr>
            <w:tcW w:type="dxa" w:w="900"/>
            <w:shd w:fill="172033"/>
            <w:vAlign w:val="center"/>
            <w:tcMar>
              <w:top w:w="80" w:type="dxa"/>
              <w:start w:w="120" w:type="dxa"/>
              <w:bottom w:w="80" w:type="dxa"/>
              <w:end w:w="120" w:type="dxa"/>
            </w:tcMar>
          </w:tcPr>
          <w:p>
            <w:pPr>
              <w:spacing w:after="0"/>
            </w:pPr>
            <w:r/>
            <w:r>
              <w:rPr>
                <w:rFonts w:ascii="Calibri" w:hAnsi="Calibri"/>
                <w:b/>
                <w:i w:val="0"/>
                <w:color w:val="FFFFFF"/>
                <w:sz w:val="19"/>
              </w:rPr>
              <w:t>Due</w:t>
            </w:r>
          </w:p>
        </w:tc>
        <w:tc>
          <w:tcPr>
            <w:tcW w:type="dxa" w:w="1670"/>
            <w:shd w:fill="172033"/>
            <w:vAlign w:val="center"/>
            <w:tcMar>
              <w:top w:w="80" w:type="dxa"/>
              <w:start w:w="120" w:type="dxa"/>
              <w:bottom w:w="80" w:type="dxa"/>
              <w:end w:w="120" w:type="dxa"/>
            </w:tcMar>
          </w:tcPr>
          <w:p>
            <w:pPr>
              <w:spacing w:after="0"/>
            </w:pPr>
            <w:r/>
            <w:r>
              <w:rPr>
                <w:rFonts w:ascii="Calibri" w:hAnsi="Calibri"/>
                <w:b/>
                <w:i w:val="0"/>
                <w:color w:val="FFFFFF"/>
                <w:sz w:val="19"/>
              </w:rPr>
              <w:t>State</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B01</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Supabase authentication and project access</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Haidar</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6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B02</w:t>
            </w:r>
          </w:p>
        </w:tc>
        <w:tc>
          <w:tcPr>
            <w:tcW w:type="dxa" w:w="394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Apply migrations 009-010 and configure secure environment values</w:t>
            </w:r>
          </w:p>
        </w:tc>
        <w:tc>
          <w:tcPr>
            <w:tcW w:type="dxa" w:w="8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Codex after access</w:t>
            </w:r>
          </w:p>
        </w:tc>
        <w:tc>
          <w:tcPr>
            <w:tcW w:type="dxa" w:w="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6 Aug</w:t>
            </w:r>
          </w:p>
        </w:tc>
        <w:tc>
          <w:tcPr>
            <w:tcW w:type="dxa" w:w="167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Blocked by B01</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B03</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Configure Auth redirects, first admin and two-user isolation</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Haidar + Codex</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7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Blocked by B01</w:t>
            </w:r>
          </w:p>
        </w:tc>
      </w:tr>
      <w:tr>
        <w:tc>
          <w:tcPr>
            <w:tcW w:type="dxa" w:w="6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B04</w:t>
            </w:r>
          </w:p>
        </w:tc>
        <w:tc>
          <w:tcPr>
            <w:tcW w:type="dxa" w:w="394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Add and independently review five current opportunities</w:t>
            </w:r>
          </w:p>
        </w:tc>
        <w:tc>
          <w:tcPr>
            <w:tcW w:type="dxa" w:w="8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Codex + reviewer</w:t>
            </w:r>
          </w:p>
        </w:tc>
        <w:tc>
          <w:tcPr>
            <w:tcW w:type="dxa" w:w="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10 Aug</w:t>
            </w:r>
          </w:p>
        </w:tc>
        <w:tc>
          <w:tcPr>
            <w:tcW w:type="dxa" w:w="167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B05</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Create 30 golden profiles and signed-in end-to-end test</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Codex</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11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B06</w:t>
            </w:r>
          </w:p>
        </w:tc>
        <w:tc>
          <w:tcPr>
            <w:tcW w:type="dxa" w:w="394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Activate feedback, monitoring and release alerts</w:t>
            </w:r>
          </w:p>
        </w:tc>
        <w:tc>
          <w:tcPr>
            <w:tcW w:type="dxa" w:w="8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Haidar + Codex</w:t>
            </w:r>
          </w:p>
        </w:tc>
        <w:tc>
          <w:tcPr>
            <w:tcW w:type="dxa" w:w="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12 Aug</w:t>
            </w:r>
          </w:p>
        </w:tc>
        <w:tc>
          <w:tcPr>
            <w:tcW w:type="dxa" w:w="167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B07</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Founder desktop/mobile UX approval and release sign-off</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Haidar</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13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A"/>
            <w:tcMar>
              <w:top w:w="80" w:type="dxa"/>
              <w:start w:w="120" w:type="dxa"/>
              <w:bottom w:w="80" w:type="dxa"/>
              <w:end w:w="120" w:type="dxa"/>
            </w:tcMar>
          </w:tcPr>
          <w:p>
            <w:pPr>
              <w:spacing w:after="0"/>
            </w:pPr>
            <w:r/>
            <w:r>
              <w:rPr>
                <w:rFonts w:ascii="Calibri" w:hAnsi="Calibri"/>
                <w:b/>
                <w:i w:val="0"/>
                <w:color w:val="B42318"/>
                <w:sz w:val="22"/>
              </w:rPr>
              <w:t xml:space="preserve">Critical dependency: </w:t>
            </w:r>
            <w:r>
              <w:rPr>
                <w:rFonts w:ascii="Calibri" w:hAnsi="Calibri"/>
                <w:b w:val="0"/>
                <w:i w:val="0"/>
                <w:color w:val="172033"/>
                <w:sz w:val="22"/>
              </w:rPr>
              <w:t>B01 must close first. Without Supabase access, the database, Auth, live recommendations and protected operations journey cannot be verified.</w:t>
            </w:r>
          </w:p>
        </w:tc>
      </w:tr>
    </w:tbl>
    <w:p>
      <w:pPr>
        <w:spacing w:after="40"/>
      </w:pPr>
    </w:p>
    <w:p>
      <w:pPr>
        <w:pStyle w:val="Heading1"/>
        <w:keepNext/>
      </w:pPr>
      <w:r>
        <w:rPr>
          <w:rFonts w:ascii="Calibri" w:hAnsi="Calibri"/>
          <w:b/>
          <w:i w:val="0"/>
          <w:color w:val="2563EB"/>
          <w:sz w:val="32"/>
        </w:rPr>
        <w:t>5. Eight-day execution plan</w:t>
      </w:r>
    </w:p>
    <w:tbl>
      <w:tblPr>
        <w:tblStyle w:val="TableGrid"/>
        <w:tblW w:type="dxa" w:w="9360"/>
        <w:jc w:val="left"/>
        <w:tblLayout w:type="fixed"/>
        <w:tblLook w:firstColumn="1" w:firstRow="1" w:lastColumn="0" w:lastRow="0" w:noHBand="0" w:noVBand="1" w:val="04A0"/>
        <w:tblInd w:w="120" w:type="dxa"/>
      </w:tblPr>
      <w:tblGrid>
        <w:gridCol w:w="1100"/>
        <w:gridCol w:w="4360"/>
        <w:gridCol w:w="3900"/>
      </w:tblGrid>
      <w:tr>
        <w:trPr>
          <w:trHeight w:hRule="atLeast"/>
          <w:tblHeader w:val="true"/>
        </w:trPr>
        <w:tc>
          <w:tcPr>
            <w:tcW w:type="dxa" w:w="1100"/>
            <w:shd w:fill="172033"/>
            <w:vAlign w:val="center"/>
            <w:tcMar>
              <w:top w:w="80" w:type="dxa"/>
              <w:start w:w="120" w:type="dxa"/>
              <w:bottom w:w="80" w:type="dxa"/>
              <w:end w:w="120" w:type="dxa"/>
            </w:tcMar>
          </w:tcPr>
          <w:p>
            <w:pPr>
              <w:spacing w:after="0"/>
            </w:pPr>
            <w:r/>
            <w:r>
              <w:rPr>
                <w:rFonts w:ascii="Calibri" w:hAnsi="Calibri"/>
                <w:b/>
                <w:i w:val="0"/>
                <w:color w:val="FFFFFF"/>
                <w:sz w:val="19"/>
              </w:rPr>
              <w:t>Date</w:t>
            </w:r>
          </w:p>
        </w:tc>
        <w:tc>
          <w:tcPr>
            <w:tcW w:type="dxa" w:w="4360"/>
            <w:shd w:fill="172033"/>
            <w:vAlign w:val="center"/>
            <w:tcMar>
              <w:top w:w="80" w:type="dxa"/>
              <w:start w:w="120" w:type="dxa"/>
              <w:bottom w:w="80" w:type="dxa"/>
              <w:end w:w="120" w:type="dxa"/>
            </w:tcMar>
          </w:tcPr>
          <w:p>
            <w:pPr>
              <w:spacing w:after="0"/>
            </w:pPr>
            <w:r/>
            <w:r>
              <w:rPr>
                <w:rFonts w:ascii="Calibri" w:hAnsi="Calibri"/>
                <w:b/>
                <w:i w:val="0"/>
                <w:color w:val="FFFFFF"/>
                <w:sz w:val="19"/>
              </w:rPr>
              <w:t>Delivery</w:t>
            </w:r>
          </w:p>
        </w:tc>
        <w:tc>
          <w:tcPr>
            <w:tcW w:type="dxa" w:w="3900"/>
            <w:shd w:fill="172033"/>
            <w:vAlign w:val="center"/>
            <w:tcMar>
              <w:top w:w="80" w:type="dxa"/>
              <w:start w:w="120" w:type="dxa"/>
              <w:bottom w:w="80" w:type="dxa"/>
              <w:end w:w="120" w:type="dxa"/>
            </w:tcMar>
          </w:tcPr>
          <w:p>
            <w:pPr>
              <w:spacing w:after="0"/>
            </w:pPr>
            <w:r/>
            <w:r>
              <w:rPr>
                <w:rFonts w:ascii="Calibri" w:hAnsi="Calibri"/>
                <w:b/>
                <w:i w:val="0"/>
                <w:color w:val="FFFFFF"/>
                <w:sz w:val="19"/>
              </w:rPr>
              <w:t>Exit test</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6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Restore Supabase access; verify production; apply 009-010; configure secrets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Live database and protected preview start</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7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Configure Auth redirects, first admin and roles</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Two unrelated students pass isolation checks</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8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Connect profile to eligibility and recommendations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One student receives stored explainable results</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9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Add and review opportunities 6-8</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Every fact has current official evidence</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10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Add opportunities 9-10; create 30 golden profiles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Regression and subgroup review pass</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11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Verify portfolio to application to tasks</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One recommendation becomes a persistent plan</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12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Mobile, accessibility and error QA; feedback and monitoring</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No P0 defect and failures are observable</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13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Freeze, smoke test, backup/rollback and invitations</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Release candidate approved</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14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Invite 5-10 controlled testers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Monitor onboarding, errors and corrections</w:t>
            </w:r>
          </w:p>
        </w:tc>
      </w:tr>
    </w:tbl>
    <w:p>
      <w:pPr>
        <w:spacing w:after="0"/>
      </w:pPr>
    </w:p>
    <w:p>
      <w:pPr>
        <w:pStyle w:val="Heading1"/>
        <w:keepNext/>
      </w:pPr>
      <w:r>
        <w:rPr>
          <w:rFonts w:ascii="Calibri" w:hAnsi="Calibri"/>
          <w:b/>
          <w:i w:val="0"/>
          <w:color w:val="2563EB"/>
          <w:sz w:val="32"/>
        </w:rPr>
        <w:t>6. Beta release gates</w:t>
      </w:r>
    </w:p>
    <w:tbl>
      <w:tblPr>
        <w:tblStyle w:val="TableGrid"/>
        <w:tblW w:type="dxa" w:w="9360"/>
        <w:jc w:val="left"/>
        <w:tblLayout w:type="fixed"/>
        <w:tblLook w:firstColumn="1" w:firstRow="1" w:lastColumn="0" w:lastRow="0" w:noHBand="0" w:noVBand="1" w:val="04A0"/>
        <w:tblInd w:w="120" w:type="dxa"/>
      </w:tblPr>
      <w:tblGrid>
        <w:gridCol w:w="750"/>
        <w:gridCol w:w="2960"/>
        <w:gridCol w:w="1050"/>
        <w:gridCol w:w="4600"/>
      </w:tblGrid>
      <w:tr>
        <w:trPr>
          <w:trHeight w:hRule="atLeast"/>
          <w:tblHeader w:val="true"/>
        </w:trPr>
        <w:tc>
          <w:tcPr>
            <w:tcW w:type="dxa" w:w="750"/>
            <w:shd w:fill="172033"/>
            <w:vAlign w:val="center"/>
            <w:tcMar>
              <w:top w:w="80" w:type="dxa"/>
              <w:start w:w="120" w:type="dxa"/>
              <w:bottom w:w="80" w:type="dxa"/>
              <w:end w:w="120" w:type="dxa"/>
            </w:tcMar>
          </w:tcPr>
          <w:p>
            <w:pPr>
              <w:spacing w:after="0"/>
            </w:pPr>
            <w:r/>
            <w:r>
              <w:rPr>
                <w:rFonts w:ascii="Calibri" w:hAnsi="Calibri"/>
                <w:b/>
                <w:i w:val="0"/>
                <w:color w:val="FFFFFF"/>
                <w:sz w:val="19"/>
              </w:rPr>
              <w:t>Gate</w:t>
            </w:r>
          </w:p>
        </w:tc>
        <w:tc>
          <w:tcPr>
            <w:tcW w:type="dxa" w:w="2960"/>
            <w:shd w:fill="172033"/>
            <w:vAlign w:val="center"/>
            <w:tcMar>
              <w:top w:w="80" w:type="dxa"/>
              <w:start w:w="120" w:type="dxa"/>
              <w:bottom w:w="80" w:type="dxa"/>
              <w:end w:w="120" w:type="dxa"/>
            </w:tcMar>
          </w:tcPr>
          <w:p>
            <w:pPr>
              <w:spacing w:after="0"/>
            </w:pPr>
            <w:r/>
            <w:r>
              <w:rPr>
                <w:rFonts w:ascii="Calibri" w:hAnsi="Calibri"/>
                <w:b/>
                <w:i w:val="0"/>
                <w:color w:val="FFFFFF"/>
                <w:sz w:val="19"/>
              </w:rPr>
              <w:t>Condition</w:t>
            </w:r>
          </w:p>
        </w:tc>
        <w:tc>
          <w:tcPr>
            <w:tcW w:type="dxa" w:w="1050"/>
            <w:shd w:fill="172033"/>
            <w:vAlign w:val="center"/>
            <w:tcMar>
              <w:top w:w="80" w:type="dxa"/>
              <w:start w:w="120" w:type="dxa"/>
              <w:bottom w:w="80" w:type="dxa"/>
              <w:end w:w="120" w:type="dxa"/>
            </w:tcMar>
          </w:tcPr>
          <w:p>
            <w:pPr>
              <w:spacing w:after="0"/>
            </w:pPr>
            <w:r/>
            <w:r>
              <w:rPr>
                <w:rFonts w:ascii="Calibri" w:hAnsi="Calibri"/>
                <w:b/>
                <w:i w:val="0"/>
                <w:color w:val="FFFFFF"/>
                <w:sz w:val="19"/>
              </w:rPr>
              <w:t>State</w:t>
            </w:r>
          </w:p>
        </w:tc>
        <w:tc>
          <w:tcPr>
            <w:tcW w:type="dxa" w:w="4600"/>
            <w:shd w:fill="172033"/>
            <w:vAlign w:val="center"/>
            <w:tcMar>
              <w:top w:w="80" w:type="dxa"/>
              <w:start w:w="120" w:type="dxa"/>
              <w:bottom w:w="80" w:type="dxa"/>
              <w:end w:w="120" w:type="dxa"/>
            </w:tcMar>
          </w:tcPr>
          <w:p>
            <w:pPr>
              <w:spacing w:after="0"/>
            </w:pPr>
            <w:r/>
            <w:r>
              <w:rPr>
                <w:rFonts w:ascii="Calibri" w:hAnsi="Calibri"/>
                <w:b/>
                <w:i w:val="0"/>
                <w:color w:val="FFFFFF"/>
                <w:sz w:val="19"/>
              </w:rPr>
              <w:t>Acceptance evidence</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G01</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Production Supabase and Vercel connected</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Live environment shows no demo mode</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G02</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Auth and tenant isolation</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Two unrelated students and staff roles pass</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G03</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Ten reviewed opportunities</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Current official evidence and independent review</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G04</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Thirty golden profiles</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Eligibility/ranking regression and subgroup review pass</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G05</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Critical student journey</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Auth-profile-recommendations-portfolio-application-tasks works</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G06</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Trust and explanations</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Every recommendation cites evidence, uncertainty and next action</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G07</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UX and accessibility</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Founder desktop/mobile approval and no P0 accessibility issue</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G08</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Support and monitoring</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Tester feedback and errors reach the operating team</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G09</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Release safety</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No critical defect; backup and rollback checked</w:t>
            </w:r>
          </w:p>
        </w:tc>
      </w:tr>
    </w:tbl>
    <w:p>
      <w:pPr>
        <w:spacing w:after="0"/>
      </w:pPr>
    </w:p>
    <w:p>
      <w:pPr>
        <w:pStyle w:val="Heading1"/>
        <w:keepNext/>
      </w:pPr>
      <w:r>
        <w:rPr>
          <w:rFonts w:ascii="Calibri" w:hAnsi="Calibri"/>
          <w:b/>
          <w:i w:val="0"/>
          <w:color w:val="2563EB"/>
          <w:sz w:val="32"/>
        </w:rPr>
        <w:t>7. Recommendation and data quality</w:t>
      </w:r>
    </w:p>
    <w:p>
      <w:pPr>
        <w:spacing w:after="120" w:line="264" w:lineRule="auto"/>
      </w:pPr>
      <w:r>
        <w:rPr>
          <w:rFonts w:ascii="Calibri" w:hAnsi="Calibri"/>
          <w:b w:val="0"/>
          <w:i w:val="0"/>
          <w:color w:val="172033"/>
          <w:sz w:val="22"/>
        </w:rPr>
        <w:t>The recommendation engine is deterministic: hard eligibility rules remove failed options before scoring. Remaining routes are evaluated for academic fit, funding, deadline feasibility, source freshness, evidence readiness, affordability, visa feasibility, career alignment and preference. The system must not predict admission, scholarship or visa probability.</w:t>
      </w:r>
    </w:p>
    <w:p>
      <w:pPr>
        <w:pStyle w:val="Heading2"/>
        <w:keepNext/>
      </w:pPr>
      <w:r>
        <w:rPr>
          <w:rFonts w:ascii="Calibri" w:hAnsi="Calibri"/>
          <w:b/>
          <w:i w:val="0"/>
          <w:color w:val="2563EB"/>
          <w:sz w:val="26"/>
        </w:rPr>
        <w:t>Required proof before invitations</w:t>
      </w:r>
    </w:p>
    <w:p>
      <w:pPr>
        <w:pStyle w:val="ListBullet"/>
        <w:spacing w:after="100" w:line="280" w:lineRule="auto"/>
        <w:ind w:left="720" w:hanging="360"/>
      </w:pPr>
      <w:r>
        <w:rPr>
          <w:rFonts w:ascii="Calibri" w:hAnsi="Calibri"/>
          <w:b w:val="0"/>
          <w:i w:val="0"/>
          <w:color w:val="172033"/>
          <w:sz w:val="22"/>
        </w:rPr>
        <w:t>Ten current opportunities must be official-source-linked, reviewed and published; stale records must never enter recommendations.</w:t>
      </w:r>
    </w:p>
    <w:p>
      <w:pPr>
        <w:pStyle w:val="ListBullet"/>
        <w:spacing w:after="100" w:line="280" w:lineRule="auto"/>
        <w:ind w:left="720" w:hanging="360"/>
      </w:pPr>
      <w:r>
        <w:rPr>
          <w:rFonts w:ascii="Calibri" w:hAnsi="Calibri"/>
          <w:b w:val="0"/>
          <w:i w:val="0"/>
          <w:color w:val="172033"/>
          <w:sz w:val="22"/>
        </w:rPr>
        <w:t>Thirty golden student profiles must cover Pakistan, India and Bangladesh, different funding levels, English evidence, academic results and missing information.</w:t>
      </w:r>
    </w:p>
    <w:p>
      <w:pPr>
        <w:pStyle w:val="ListBullet"/>
        <w:spacing w:after="100" w:line="280" w:lineRule="auto"/>
        <w:ind w:left="720" w:hanging="360"/>
      </w:pPr>
      <w:r>
        <w:rPr>
          <w:rFonts w:ascii="Calibri" w:hAnsi="Calibri"/>
          <w:b w:val="0"/>
          <w:i w:val="0"/>
          <w:color w:val="172033"/>
          <w:sz w:val="22"/>
        </w:rPr>
        <w:t>Each result must expose passed, failed and unresolved rules, source freshness and the next evidence task.</w:t>
      </w:r>
    </w:p>
    <w:p>
      <w:pPr>
        <w:pStyle w:val="ListBullet"/>
        <w:spacing w:after="100" w:line="280" w:lineRule="auto"/>
        <w:ind w:left="720" w:hanging="360"/>
      </w:pPr>
      <w:r>
        <w:rPr>
          <w:rFonts w:ascii="Calibri" w:hAnsi="Calibri"/>
          <w:b w:val="0"/>
          <w:i w:val="0"/>
          <w:color w:val="172033"/>
          <w:sz w:val="22"/>
        </w:rPr>
        <w:t>Today, Discover and Profile must consume the same stored recommendation run.</w:t>
      </w:r>
    </w:p>
    <w:p>
      <w:pPr>
        <w:pStyle w:val="ListBullet"/>
        <w:spacing w:after="100" w:line="280" w:lineRule="auto"/>
        <w:ind w:left="720" w:hanging="360"/>
      </w:pPr>
      <w:r>
        <w:rPr>
          <w:rFonts w:ascii="Calibri" w:hAnsi="Calibri"/>
          <w:b w:val="0"/>
          <w:i w:val="0"/>
          <w:color w:val="172033"/>
          <w:sz w:val="22"/>
        </w:rPr>
        <w:t>No service-role secret may reach the browser or a future mobile client.</w:t>
      </w:r>
    </w:p>
    <w:p>
      <w:pPr>
        <w:pStyle w:val="Heading1"/>
        <w:keepNext/>
      </w:pPr>
      <w:r>
        <w:rPr>
          <w:rFonts w:ascii="Calibri" w:hAnsi="Calibri"/>
          <w:b/>
          <w:i w:val="0"/>
          <w:color w:val="2563EB"/>
          <w:sz w:val="32"/>
        </w:rPr>
        <w:t>8. Scope boundary and risk controls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shd w:fill="172033"/>
            <w:vAlign w:val="center"/>
            <w:tcMar>
              <w:top w:w="80" w:type="dxa"/>
              <w:start w:w="120" w:type="dxa"/>
              <w:bottom w:w="80" w:type="dxa"/>
              <w:end w:w="120" w:type="dxa"/>
            </w:tcMar>
          </w:tcPr>
          <w:p>
            <w:pPr>
              <w:spacing w:after="0"/>
            </w:pPr>
            <w:r/>
            <w:r>
              <w:rPr>
                <w:rFonts w:ascii="Calibri" w:hAnsi="Calibri"/>
                <w:b/>
                <w:i w:val="0"/>
                <w:color w:val="FFFFFF"/>
                <w:sz w:val="19"/>
              </w:rPr>
              <w:t>Boundary</w:t>
            </w:r>
          </w:p>
        </w:tc>
        <w:tc>
          <w:tcPr>
            <w:tcW w:type="dxa" w:w="7560"/>
            <w:shd w:fill="172033"/>
            <w:vAlign w:val="center"/>
            <w:tcMar>
              <w:top w:w="80" w:type="dxa"/>
              <w:start w:w="120" w:type="dxa"/>
              <w:bottom w:w="80" w:type="dxa"/>
              <w:end w:w="120" w:type="dxa"/>
            </w:tcMar>
          </w:tcPr>
          <w:p>
            <w:pPr>
              <w:spacing w:after="0"/>
            </w:pPr>
            <w:r/>
            <w:r>
              <w:rPr>
                <w:rFonts w:ascii="Calibri" w:hAnsi="Calibri"/>
                <w:b/>
                <w:i w:val="0"/>
                <w:color w:val="FFFFFF"/>
                <w:sz w:val="19"/>
              </w:rPr>
              <w:t>Decision</w:t>
            </w:r>
          </w:p>
        </w:tc>
      </w:tr>
      <w:tr>
        <w:tc>
          <w:tcPr>
            <w:tcW w:type="dxa" w:w="1800"/>
            <w:vAlign w:val="top"/>
            <w:tcMar>
              <w:top w:w="80" w:type="dxa"/>
              <w:start w:w="120" w:type="dxa"/>
              <w:bottom w:w="80" w:type="dxa"/>
              <w:end w:w="120" w:type="dxa"/>
            </w:tcMar>
          </w:tcPr>
          <w:p>
            <w:pPr>
              <w:spacing w:after="0" w:line="252" w:lineRule="auto"/>
            </w:pPr>
            <w:r/>
            <w:r>
              <w:rPr>
                <w:rFonts w:ascii="Calibri" w:hAnsi="Calibri"/>
                <w:b w:val="0"/>
                <w:i w:val="0"/>
                <w:color w:val="172033"/>
                <w:sz w:val="20"/>
              </w:rPr>
              <w:t>Ship</w:t>
            </w:r>
          </w:p>
        </w:tc>
        <w:tc>
          <w:tcPr>
            <w:tcW w:type="dxa" w:w="7560"/>
            <w:vAlign w:val="top"/>
            <w:tcMar>
              <w:top w:w="80" w:type="dxa"/>
              <w:start w:w="120" w:type="dxa"/>
              <w:bottom w:w="80" w:type="dxa"/>
              <w:end w:w="120" w:type="dxa"/>
            </w:tcMar>
          </w:tcPr>
          <w:p>
            <w:pPr>
              <w:spacing w:after="0" w:line="252" w:lineRule="auto"/>
            </w:pPr>
            <w:r/>
            <w:r>
              <w:rPr>
                <w:rFonts w:ascii="Calibri" w:hAnsi="Calibri"/>
                <w:b w:val="0"/>
                <w:i w:val="0"/>
                <w:color w:val="172033"/>
                <w:sz w:val="20"/>
              </w:rPr>
              <w:t>Auth; profile; education truth; eligibility; recommendations; discovery; basic portfolio/application/tasks; operations; feedback</w:t>
            </w:r>
          </w:p>
        </w:tc>
      </w:tr>
      <w:tr>
        <w:tc>
          <w:tcPr>
            <w:tcW w:type="dxa" w:w="18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Optional</w:t>
            </w:r>
          </w:p>
        </w:tc>
        <w:tc>
          <w:tcPr>
            <w:tcW w:type="dxa" w:w="75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Document upload only after private storage and signed access pass live tests</w:t>
            </w:r>
          </w:p>
        </w:tc>
      </w:tr>
      <w:tr>
        <w:tc>
          <w:tcPr>
            <w:tcW w:type="dxa" w:w="1800"/>
            <w:vAlign w:val="top"/>
            <w:tcMar>
              <w:top w:w="80" w:type="dxa"/>
              <w:start w:w="120" w:type="dxa"/>
              <w:bottom w:w="80" w:type="dxa"/>
              <w:end w:w="120" w:type="dxa"/>
            </w:tcMar>
          </w:tcPr>
          <w:p>
            <w:pPr>
              <w:spacing w:after="0" w:line="252" w:lineRule="auto"/>
            </w:pPr>
            <w:r/>
            <w:r>
              <w:rPr>
                <w:rFonts w:ascii="Calibri" w:hAnsi="Calibri"/>
                <w:b w:val="0"/>
                <w:i w:val="0"/>
                <w:color w:val="172033"/>
                <w:sz w:val="20"/>
              </w:rPr>
              <w:t>Defer</w:t>
            </w:r>
          </w:p>
        </w:tc>
        <w:tc>
          <w:tcPr>
            <w:tcW w:type="dxa" w:w="7560"/>
            <w:vAlign w:val="top"/>
            <w:tcMar>
              <w:top w:w="80" w:type="dxa"/>
              <w:start w:w="120" w:type="dxa"/>
              <w:bottom w:w="80" w:type="dxa"/>
              <w:end w:w="120" w:type="dxa"/>
            </w:tcMar>
          </w:tcPr>
          <w:p>
            <w:pPr>
              <w:spacing w:after="0" w:line="252" w:lineRule="auto"/>
            </w:pPr>
            <w:r/>
            <w:r>
              <w:rPr>
                <w:rFonts w:ascii="Calibri" w:hAnsi="Calibri"/>
                <w:b w:val="0"/>
                <w:i w:val="0"/>
                <w:color w:val="172033"/>
                <w:sz w:val="20"/>
              </w:rPr>
              <w:t>Writing, recommenders, offers, iOS, full rankings, semantic search, automated reminders and advanced document processing</w:t>
            </w:r>
          </w:p>
        </w:tc>
      </w:tr>
      <w:tr>
        <w:tc>
          <w:tcPr>
            <w:tcW w:type="dxa" w:w="18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Audience</w:t>
            </w:r>
          </w:p>
        </w:tc>
        <w:tc>
          <w:tcPr>
            <w:tcW w:type="dxa" w:w="75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5-10 invited testers only; no public acquisition campaign</w:t>
            </w:r>
          </w:p>
        </w:tc>
      </w:tr>
      <w:tr>
        <w:tc>
          <w:tcPr>
            <w:tcW w:type="dxa" w:w="1800"/>
            <w:vAlign w:val="top"/>
            <w:tcMar>
              <w:top w:w="80" w:type="dxa"/>
              <w:start w:w="120" w:type="dxa"/>
              <w:bottom w:w="80" w:type="dxa"/>
              <w:end w:w="120" w:type="dxa"/>
            </w:tcMar>
          </w:tcPr>
          <w:p>
            <w:pPr>
              <w:spacing w:after="0" w:line="252" w:lineRule="auto"/>
            </w:pPr>
            <w:r/>
            <w:r>
              <w:rPr>
                <w:rFonts w:ascii="Calibri" w:hAnsi="Calibri"/>
                <w:b w:val="0"/>
                <w:i w:val="0"/>
                <w:color w:val="172033"/>
                <w:sz w:val="20"/>
              </w:rPr>
              <w:t>Data</w:t>
            </w:r>
          </w:p>
        </w:tc>
        <w:tc>
          <w:tcPr>
            <w:tcW w:type="dxa" w:w="7560"/>
            <w:vAlign w:val="top"/>
            <w:tcMar>
              <w:top w:w="80" w:type="dxa"/>
              <w:start w:w="120" w:type="dxa"/>
              <w:bottom w:w="80" w:type="dxa"/>
              <w:end w:w="120" w:type="dxa"/>
            </w:tcMar>
          </w:tcPr>
          <w:p>
            <w:pPr>
              <w:spacing w:after="0" w:line="252" w:lineRule="auto"/>
            </w:pPr>
            <w:r/>
            <w:r>
              <w:rPr>
                <w:rFonts w:ascii="Calibri" w:hAnsi="Calibri"/>
                <w:b w:val="0"/>
                <w:i w:val="0"/>
                <w:color w:val="172033"/>
                <w:sz w:val="20"/>
              </w:rPr>
              <w:t>Limited catalogue must be visibly labelled; no completeness claim</w:t>
            </w:r>
          </w:p>
        </w:tc>
      </w:tr>
      <w:tr>
        <w:tc>
          <w:tcPr>
            <w:tcW w:type="dxa" w:w="18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Safety</w:t>
            </w:r>
          </w:p>
        </w:tc>
        <w:tc>
          <w:tcPr>
            <w:tcW w:type="dxa" w:w="75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Do not accept sensitive documents when storage or access control is unverified</w:t>
            </w:r>
          </w:p>
        </w:tc>
      </w:tr>
    </w:tbl>
    <w:p>
      <w:pPr>
        <w:spacing w:after="0"/>
      </w:pPr>
    </w:p>
    <w:p>
      <w:pPr>
        <w:pStyle w:val="Heading1"/>
        <w:keepNext/>
      </w:pPr>
      <w:r>
        <w:rPr>
          <w:rFonts w:ascii="Calibri" w:hAnsi="Calibri"/>
          <w:b/>
          <w:i w:val="0"/>
          <w:color w:val="2563EB"/>
          <w:sz w:val="32"/>
        </w:rPr>
        <w:t>9. Complete post-beta feature roadmap</w:t>
      </w:r>
    </w:p>
    <w:p>
      <w:pPr>
        <w:spacing w:after="120" w:line="264" w:lineRule="auto"/>
      </w:pPr>
      <w:r>
        <w:rPr>
          <w:rFonts w:ascii="Calibri" w:hAnsi="Calibri"/>
          <w:b w:val="0"/>
          <w:i w:val="0"/>
          <w:color w:val="172033"/>
          <w:sz w:val="22"/>
        </w:rPr>
        <w:t>The August beta intentionally proves the education decision and execution loop before ScholarPath expands. The features below remain part of the planned system, but they must not compete with the release gates. Their order is based on dependency and student value, not visual completeness.</w:t>
      </w:r>
    </w:p>
    <w:tbl>
      <w:tblPr>
        <w:tblStyle w:val="TableGrid"/>
        <w:tblW w:type="dxa" w:w="9360"/>
        <w:jc w:val="left"/>
        <w:tblLayout w:type="fixed"/>
        <w:tblLook w:firstColumn="1" w:firstRow="1" w:lastColumn="0" w:lastRow="0" w:noHBand="0" w:noVBand="1" w:val="04A0"/>
        <w:tblInd w:w="120" w:type="dxa"/>
      </w:tblPr>
      <w:tblGrid>
        <w:gridCol w:w="720"/>
        <w:gridCol w:w="2100"/>
        <w:gridCol w:w="3720"/>
        <w:gridCol w:w="2820"/>
      </w:tblGrid>
      <w:tr>
        <w:trPr>
          <w:trHeight w:hRule="atLeast"/>
          <w:tblHeader w:val="true"/>
        </w:trPr>
        <w:tc>
          <w:tcPr>
            <w:tcW w:type="dxa" w:w="720"/>
            <w:shd w:fill="172033"/>
            <w:vAlign w:val="center"/>
            <w:tcMar>
              <w:top w:w="80" w:type="dxa"/>
              <w:start w:w="120" w:type="dxa"/>
              <w:bottom w:w="80" w:type="dxa"/>
              <w:end w:w="120" w:type="dxa"/>
            </w:tcMar>
          </w:tcPr>
          <w:p>
            <w:pPr>
              <w:spacing w:after="0"/>
            </w:pPr>
            <w:r/>
            <w:r>
              <w:rPr>
                <w:rFonts w:ascii="Calibri" w:hAnsi="Calibri"/>
                <w:b/>
                <w:i w:val="0"/>
                <w:color w:val="FFFFFF"/>
                <w:sz w:val="19"/>
              </w:rPr>
              <w:t>Phase</w:t>
            </w:r>
          </w:p>
        </w:tc>
        <w:tc>
          <w:tcPr>
            <w:tcW w:type="dxa" w:w="2100"/>
            <w:shd w:fill="172033"/>
            <w:vAlign w:val="center"/>
            <w:tcMar>
              <w:top w:w="80" w:type="dxa"/>
              <w:start w:w="120" w:type="dxa"/>
              <w:bottom w:w="80" w:type="dxa"/>
              <w:end w:w="120" w:type="dxa"/>
            </w:tcMar>
          </w:tcPr>
          <w:p>
            <w:pPr>
              <w:spacing w:after="0"/>
            </w:pPr>
            <w:r/>
            <w:r>
              <w:rPr>
                <w:rFonts w:ascii="Calibri" w:hAnsi="Calibri"/>
                <w:b/>
                <w:i w:val="0"/>
                <w:color w:val="FFFFFF"/>
                <w:sz w:val="19"/>
              </w:rPr>
              <w:t>Feature</w:t>
            </w:r>
          </w:p>
        </w:tc>
        <w:tc>
          <w:tcPr>
            <w:tcW w:type="dxa" w:w="3720"/>
            <w:shd w:fill="172033"/>
            <w:vAlign w:val="center"/>
            <w:tcMar>
              <w:top w:w="80" w:type="dxa"/>
              <w:start w:w="120" w:type="dxa"/>
              <w:bottom w:w="80" w:type="dxa"/>
              <w:end w:w="120" w:type="dxa"/>
            </w:tcMar>
          </w:tcPr>
          <w:p>
            <w:pPr>
              <w:spacing w:after="0"/>
            </w:pPr>
            <w:r/>
            <w:r>
              <w:rPr>
                <w:rFonts w:ascii="Calibri" w:hAnsi="Calibri"/>
                <w:b/>
                <w:i w:val="0"/>
                <w:color w:val="FFFFFF"/>
                <w:sz w:val="19"/>
              </w:rPr>
              <w:t>Student or operating value</w:t>
            </w:r>
          </w:p>
        </w:tc>
        <w:tc>
          <w:tcPr>
            <w:tcW w:type="dxa" w:w="2820"/>
            <w:shd w:fill="172033"/>
            <w:vAlign w:val="center"/>
            <w:tcMar>
              <w:top w:w="80" w:type="dxa"/>
              <w:start w:w="120" w:type="dxa"/>
              <w:bottom w:w="80" w:type="dxa"/>
              <w:end w:w="120" w:type="dxa"/>
            </w:tcMar>
          </w:tcPr>
          <w:p>
            <w:pPr>
              <w:spacing w:after="0"/>
            </w:pPr>
            <w:r/>
            <w:r>
              <w:rPr>
                <w:rFonts w:ascii="Calibri" w:hAnsi="Calibri"/>
                <w:b/>
                <w:i w:val="0"/>
                <w:color w:val="FFFFFF"/>
                <w:sz w:val="19"/>
              </w:rPr>
              <w:t>Dependency before build</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Catalogue expansion</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Expand verified programmes, scholarships, colleges, pathway providers, campuses and intakes beyond the ten-record beta set.</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Research capacity, source standards and review workflow</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Regional equivalence library</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Institution-specific entry equivalence, grading context and document requirements for Pakistan, India and Bangladesh.</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Reviewed institution and qualification evidence</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Country Intelligence expansion</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More destinations and cities with cost, housing, deposits, healthcare, work rights, post-study routes, transport, safety, climate and community context.</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Official/licensed sources, review dates and currency updates</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Full document lifecycle</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Versioning, expiry alerts, requirement mapping, acceptance state, replacement history and secure sharing controls.</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Private storage and signed-access acceptance</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Deadline automation</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Automatic tasks, dependencies, milestone templates, calendar views, impact recalculation and overdue recovery plans.</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Stable application and task state machines</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Notification delivery</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Email and in-app delivery for deadlines, evidence gaps, source changes, application events and support responses, with quiet hours and deduplication.</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SMTP/provider, outbox worker, monitoring and consent</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P1</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Saved-search and change alerts</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Notify students when a suitable verified opportunity appears or a saved programme, scholarship, rule or deadline changes.</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Source-change impact detection and notification delivery</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P2</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Writing workspace</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Evidence bank, structured outlines, version history, review checklist and guided SOP, personal-statement and CV drafting without auto-final submissions.</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Secure documents, writing rubric and user-controlled review</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P2</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Recommender workflow</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Invite, consent, instructions, deadlines, reminders, replacement, confidential submission and receipt tracking.</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Email delivery, one-time links and confidential storage</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P2</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Funding scenarios</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Editable tuition, living, travel, visa, insurance, test and application-cost scenarios with scholarship stacking and currency sensitivity.</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Reviewed cost facts, exchange-rate policy and funding model</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P2</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Offer and decision workspace</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Track offer conditions, deposits, response dates, funding gaps and side-by-side final decisions with an auditable outcome record.</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Application workflow and funding scenarios</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P2</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Study-visa readiness checklist</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Official-source requirement, proof-of-funds and document planning after an offer; never a visa probability or legal decision.</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Country rules, offer data and compliance review</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P2</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Recommendation history and simulations</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Show why results changed and let students test transparent changes such as budget, evidence or intake timing without changing their saved profile.</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Versioned runs, rules, facts and profile snapshots</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P3</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Research operations suite</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Source inbox, structured imports, fact diffs, conflicts, freshness calendar, approval, publication, rollback and affected-student identification.</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Staff roles, audit trail and review service levels</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P3</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Rule and ranking governance</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Versioned rule/weight configuration, approval, regression tests, subgroup review and rollback; published rankings remain optional sourced facts.</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Golden profiles, governance roles and ranking licences</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P3</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Support and correction operations</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Support cases, fact-level corrections, disputes, response targets and privacy-preserving staff activity history.</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Operations roles, audit and feedback channels</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P3</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Analytics and reliability</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Funnel, deadline prevention, recommendation quality, source health, delivery failures and data-quality dashboards without exposing student evidence.</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Event taxonomy, monitoring and consent boundaries</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P3</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Entitlements and billing</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Subscription, access limits and billing operations only after beta demonstrates repeatable student value.</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Validated pricing, entitlement rules and support process</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6"/>
              </w:rPr>
              <w:t>P4</w:t>
            </w:r>
          </w:p>
        </w:tc>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16"/>
              </w:rPr>
              <w:t>Shared public API contract</w:t>
            </w:r>
          </w:p>
        </w:tc>
        <w:tc>
          <w:tcPr>
            <w:tcW w:type="dxa" w:w="3720"/>
            <w:vAlign w:val="top"/>
            <w:tcMar>
              <w:top w:w="80" w:type="dxa"/>
              <w:start w:w="120" w:type="dxa"/>
              <w:bottom w:w="80" w:type="dxa"/>
              <w:end w:w="120" w:type="dxa"/>
            </w:tcMar>
          </w:tcPr>
          <w:p>
            <w:pPr>
              <w:spacing w:after="0" w:line="252" w:lineRule="auto"/>
            </w:pPr>
            <w:r/>
            <w:r>
              <w:rPr>
                <w:rFonts w:ascii="Calibri" w:hAnsi="Calibri"/>
                <w:b w:val="0"/>
                <w:i w:val="0"/>
                <w:color w:val="172033"/>
                <w:sz w:val="16"/>
              </w:rPr>
              <w:t>Versioned /v1 services and OpenAPI contracts so web and mobile use the same server-authoritative profiles, facts, rules and recommendations.</w:t>
            </w:r>
          </w:p>
        </w:tc>
        <w:tc>
          <w:tcPr>
            <w:tcW w:type="dxa" w:w="2820"/>
            <w:vAlign w:val="top"/>
            <w:tcMar>
              <w:top w:w="80" w:type="dxa"/>
              <w:start w:w="120" w:type="dxa"/>
              <w:bottom w:w="80" w:type="dxa"/>
              <w:end w:w="120" w:type="dxa"/>
            </w:tcMar>
          </w:tcPr>
          <w:p>
            <w:pPr>
              <w:spacing w:after="0" w:line="252" w:lineRule="auto"/>
            </w:pPr>
            <w:r/>
            <w:r>
              <w:rPr>
                <w:rFonts w:ascii="Calibri" w:hAnsi="Calibri"/>
                <w:b w:val="0"/>
                <w:i w:val="0"/>
                <w:color w:val="172033"/>
                <w:sz w:val="16"/>
              </w:rPr>
              <w:t>Stable web workflows, security review and compatibility policy</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P4</w:t>
            </w:r>
          </w:p>
        </w:tc>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Native iOS application</w:t>
            </w:r>
          </w:p>
        </w:tc>
        <w:tc>
          <w:tcPr>
            <w:tcW w:type="dxa" w:w="3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SwiftUI auth, Today, discovery, portfolio, applications, tasks, document capture, writing drafts, push notifications, deep links and offline-safe states.</w:t>
            </w:r>
          </w:p>
        </w:tc>
        <w:tc>
          <w:tcPr>
            <w:tcW w:type="dxa" w:w="28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6"/>
              </w:rPr>
              <w:t>Stable /v1 API, mobile analytics and App Store privacy QA</w:t>
            </w:r>
          </w:p>
        </w:tc>
      </w:tr>
    </w:tbl>
    <w:p>
      <w:pPr>
        <w:spacing w:after="0"/>
      </w:pPr>
    </w:p>
    <w:p>
      <w:pPr>
        <w:pStyle w:val="Heading2"/>
        <w:keepNext/>
      </w:pPr>
      <w:r>
        <w:rPr>
          <w:rFonts w:ascii="Calibri" w:hAnsi="Calibri"/>
          <w:b/>
          <w:i w:val="0"/>
          <w:color w:val="2563EB"/>
          <w:sz w:val="26"/>
        </w:rPr>
        <w:t>Features allowed only after evidence</w:t>
      </w:r>
    </w:p>
    <w:p>
      <w:pPr>
        <w:pStyle w:val="ListBullet"/>
        <w:spacing w:after="100" w:line="280" w:lineRule="auto"/>
        <w:ind w:left="720" w:hanging="360"/>
      </w:pPr>
      <w:r>
        <w:rPr>
          <w:rFonts w:ascii="Calibri" w:hAnsi="Calibri"/>
          <w:b w:val="0"/>
          <w:i w:val="0"/>
          <w:color w:val="172033"/>
          <w:sz w:val="22"/>
        </w:rPr>
        <w:t>Permitted ingestion automation can accelerate research, but no imported fact becomes recommendation truth without official-source review and publication.</w:t>
      </w:r>
    </w:p>
    <w:p>
      <w:pPr>
        <w:pStyle w:val="ListBullet"/>
        <w:spacing w:after="100" w:line="280" w:lineRule="auto"/>
        <w:ind w:left="720" w:hanging="360"/>
      </w:pPr>
      <w:r>
        <w:rPr>
          <w:rFonts w:ascii="Calibri" w:hAnsi="Calibri"/>
          <w:b w:val="0"/>
          <w:i w:val="0"/>
          <w:color w:val="172033"/>
          <w:sz w:val="22"/>
        </w:rPr>
        <w:t>Learning-to-rank may improve ordering only after enough consented outcome data exists; hard eligibility, affordability and safety gates remain deterministic.</w:t>
      </w:r>
    </w:p>
    <w:p>
      <w:pPr>
        <w:pStyle w:val="ListBullet"/>
        <w:spacing w:after="100" w:line="280" w:lineRule="auto"/>
        <w:ind w:left="720" w:hanging="360"/>
      </w:pPr>
      <w:r>
        <w:rPr>
          <w:rFonts w:ascii="Calibri" w:hAnsi="Calibri"/>
          <w:b w:val="0"/>
          <w:i w:val="0"/>
          <w:color w:val="172033"/>
          <w:sz w:val="22"/>
        </w:rPr>
        <w:t>OCR and document-quality checks may assist organization, but students must confirm extracted evidence and sensitive files must stay private.</w:t>
      </w:r>
    </w:p>
    <w:p>
      <w:pPr>
        <w:pStyle w:val="ListBullet"/>
        <w:spacing w:after="100" w:line="280" w:lineRule="auto"/>
        <w:ind w:left="720" w:hanging="360"/>
      </w:pPr>
      <w:r>
        <w:rPr>
          <w:rFonts w:ascii="Calibri" w:hAnsi="Calibri"/>
          <w:b w:val="0"/>
          <w:i w:val="0"/>
          <w:color w:val="172033"/>
          <w:sz w:val="22"/>
        </w:rPr>
        <w:t>Additional destination rankings and lifestyle comparisons require clear licensing, dated sources and neutral presentation; prestige must never override fit or feasibility.</w:t>
      </w:r>
    </w:p>
    <w:p>
      <w:pPr>
        <w:pStyle w:val="Heading2"/>
        <w:keepNext/>
      </w:pPr>
      <w:r>
        <w:rPr>
          <w:rFonts w:ascii="Calibri" w:hAnsi="Calibri"/>
          <w:b/>
          <w:i w:val="0"/>
          <w:color w:val="2563EB"/>
          <w:sz w:val="26"/>
        </w:rPr>
        <w:t>Separate products or permanently excluded claims</w:t>
      </w:r>
    </w:p>
    <w:p>
      <w:pPr>
        <w:pStyle w:val="ListBullet"/>
        <w:spacing w:after="100" w:line="280" w:lineRule="auto"/>
        <w:ind w:left="720" w:hanging="360"/>
      </w:pPr>
      <w:r>
        <w:rPr>
          <w:rFonts w:ascii="Calibri" w:hAnsi="Calibri"/>
          <w:b w:val="0"/>
          <w:i w:val="0"/>
          <w:color w:val="172033"/>
          <w:sz w:val="22"/>
        </w:rPr>
        <w:t>Career and occupation mobility, employer-sponsored routes, residency, ancestry, citizenship and family relocation are separate future verticals, not additions to the education beta.</w:t>
      </w:r>
    </w:p>
    <w:p>
      <w:pPr>
        <w:pStyle w:val="ListBullet"/>
        <w:spacing w:after="100" w:line="280" w:lineRule="auto"/>
        <w:ind w:left="720" w:hanging="360"/>
      </w:pPr>
      <w:r>
        <w:rPr>
          <w:rFonts w:ascii="Calibri" w:hAnsi="Calibri"/>
          <w:b w:val="0"/>
          <w:i w:val="0"/>
          <w:color w:val="172033"/>
          <w:sz w:val="22"/>
        </w:rPr>
        <w:t>A counselor marketplace and open student community are not planned for the core product because they recreate consultant incentives and introduce moderation and misinformation risk.</w:t>
      </w:r>
    </w:p>
    <w:p>
      <w:pPr>
        <w:pStyle w:val="ListBullet"/>
        <w:spacing w:after="100" w:line="280" w:lineRule="auto"/>
        <w:ind w:left="720" w:hanging="360"/>
      </w:pPr>
      <w:r>
        <w:rPr>
          <w:rFonts w:ascii="Calibri" w:hAnsi="Calibri"/>
          <w:b w:val="0"/>
          <w:i w:val="0"/>
          <w:color w:val="172033"/>
          <w:sz w:val="22"/>
        </w:rPr>
        <w:t>ScholarPath will never publish invented admission, scholarship or visa-success probabilities, embassy strictness scores or guaranteed outcomes.</w:t>
      </w:r>
    </w:p>
    <w:p>
      <w:pPr>
        <w:pStyle w:val="ListBullet"/>
        <w:spacing w:after="100" w:line="280" w:lineRule="auto"/>
        <w:ind w:left="720" w:hanging="360"/>
      </w:pPr>
      <w:r>
        <w:rPr>
          <w:rFonts w:ascii="Calibri" w:hAnsi="Calibri"/>
          <w:b w:val="0"/>
          <w:i w:val="0"/>
          <w:color w:val="172033"/>
          <w:sz w:val="22"/>
        </w:rPr>
        <w:t>The system will not auto-submit applications, impersonate students or recommenders, or expose confidential recommendation letters to students.</w:t>
      </w:r>
    </w:p>
    <w:p>
      <w:pPr>
        <w:pStyle w:val="ListBullet"/>
        <w:spacing w:after="100" w:line="280" w:lineRule="auto"/>
        <w:ind w:left="720" w:hanging="360"/>
      </w:pPr>
      <w:r>
        <w:rPr>
          <w:rFonts w:ascii="Calibri" w:hAnsi="Calibri"/>
          <w:b w:val="0"/>
          <w:i w:val="0"/>
          <w:color w:val="172033"/>
          <w:sz w:val="22"/>
        </w:rPr>
        <w:t>University rankings may be shown as licensed evidence, but paid placement or prestige-led recommendation ordering is excluded.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1FF"/>
            <w:tcMar>
              <w:top w:w="80" w:type="dxa"/>
              <w:start w:w="120" w:type="dxa"/>
              <w:bottom w:w="80" w:type="dxa"/>
              <w:end w:w="120" w:type="dxa"/>
            </w:tcMar>
          </w:tcPr>
          <w:p>
            <w:pPr>
              <w:spacing w:after="0"/>
            </w:pPr>
            <w:r/>
            <w:r>
              <w:rPr>
                <w:rFonts w:ascii="Calibri" w:hAnsi="Calibri"/>
                <w:b/>
                <w:i w:val="0"/>
                <w:color w:val="2563EB"/>
                <w:sz w:val="22"/>
              </w:rPr>
              <w:t xml:space="preserve">Roadmap rule: </w:t>
            </w:r>
            <w:r>
              <w:rPr>
                <w:rFonts w:ascii="Calibri" w:hAnsi="Calibri"/>
                <w:b w:val="0"/>
                <w:i w:val="0"/>
                <w:color w:val="172033"/>
                <w:sz w:val="22"/>
              </w:rPr>
              <w:t>Post-beta development starts with P1 reliability and catalogue depth. P2 student workflows follow after the beta journey is stable; P3 operations and P4 iOS follow only after shared contracts and production evidence are mature.</w:t>
            </w:r>
          </w:p>
        </w:tc>
      </w:tr>
    </w:tbl>
    <w:p>
      <w:pPr>
        <w:spacing w:after="40"/>
      </w:pPr>
    </w:p>
    <w:p>
      <w:pPr>
        <w:pStyle w:val="Heading1"/>
        <w:keepNext/>
      </w:pPr>
      <w:r>
        <w:rPr>
          <w:rFonts w:ascii="Calibri" w:hAnsi="Calibri"/>
          <w:b/>
          <w:i w:val="0"/>
          <w:color w:val="2563EB"/>
          <w:sz w:val="32"/>
        </w:rPr>
        <w:t>10. Launch-day operating protocol</w:t>
      </w:r>
    </w:p>
    <w:p>
      <w:pPr>
        <w:pStyle w:val="ListBullet"/>
        <w:spacing w:after="100" w:line="280" w:lineRule="auto"/>
        <w:ind w:left="720" w:hanging="360"/>
      </w:pPr>
      <w:r>
        <w:rPr>
          <w:rFonts w:ascii="Calibri" w:hAnsi="Calibri"/>
          <w:b w:val="0"/>
          <w:i w:val="0"/>
          <w:color w:val="172033"/>
          <w:sz w:val="22"/>
        </w:rPr>
        <w:t>Invite testers in small batches so failures can be contained and diagnosed.</w:t>
      </w:r>
    </w:p>
    <w:p>
      <w:pPr>
        <w:pStyle w:val="ListBullet"/>
        <w:spacing w:after="100" w:line="280" w:lineRule="auto"/>
        <w:ind w:left="720" w:hanging="360"/>
      </w:pPr>
      <w:r>
        <w:rPr>
          <w:rFonts w:ascii="Calibri" w:hAnsi="Calibri"/>
          <w:b w:val="0"/>
          <w:i w:val="0"/>
          <w:color w:val="172033"/>
          <w:sz w:val="22"/>
        </w:rPr>
        <w:t>Watch Auth, API, database and error-monitoring signals during every onboarding session.</w:t>
      </w:r>
    </w:p>
    <w:p>
      <w:pPr>
        <w:pStyle w:val="ListBullet"/>
        <w:spacing w:after="100" w:line="280" w:lineRule="auto"/>
        <w:ind w:left="720" w:hanging="360"/>
      </w:pPr>
      <w:r>
        <w:rPr>
          <w:rFonts w:ascii="Calibri" w:hAnsi="Calibri"/>
          <w:b w:val="0"/>
          <w:i w:val="0"/>
          <w:color w:val="172033"/>
          <w:sz w:val="22"/>
        </w:rPr>
        <w:t>Record every correction at fact level and remove any stale or disputed opportunity from recommendation candidates.</w:t>
      </w:r>
    </w:p>
    <w:p>
      <w:pPr>
        <w:pStyle w:val="ListBullet"/>
        <w:spacing w:after="100" w:line="280" w:lineRule="auto"/>
        <w:ind w:left="720" w:hanging="360"/>
      </w:pPr>
      <w:r>
        <w:rPr>
          <w:rFonts w:ascii="Calibri" w:hAnsi="Calibri"/>
          <w:b w:val="0"/>
          <w:i w:val="0"/>
          <w:color w:val="172033"/>
          <w:sz w:val="22"/>
        </w:rPr>
        <w:t>Respond to P0 issues immediately; pause invitations if security, data integrity or recommendation explanations fail.</w:t>
      </w:r>
    </w:p>
    <w:p>
      <w:pPr>
        <w:pStyle w:val="ListBullet"/>
        <w:spacing w:after="100" w:line="280" w:lineRule="auto"/>
        <w:ind w:left="720" w:hanging="360"/>
      </w:pPr>
      <w:r>
        <w:rPr>
          <w:rFonts w:ascii="Calibri" w:hAnsi="Calibri"/>
          <w:b w:val="0"/>
          <w:i w:val="0"/>
          <w:color w:val="172033"/>
          <w:sz w:val="22"/>
        </w:rPr>
        <w:t>Run a daily source-freshness and deadline review during the first beta week.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A"/>
            <w:tcMar>
              <w:top w:w="80" w:type="dxa"/>
              <w:start w:w="120" w:type="dxa"/>
              <w:bottom w:w="80" w:type="dxa"/>
              <w:end w:w="120" w:type="dxa"/>
            </w:tcMar>
          </w:tcPr>
          <w:p>
            <w:pPr>
              <w:spacing w:after="0"/>
            </w:pPr>
            <w:r/>
            <w:r>
              <w:rPr>
                <w:rFonts w:ascii="Calibri" w:hAnsi="Calibri"/>
                <w:b/>
                <w:i w:val="0"/>
                <w:color w:val="B42318"/>
                <w:sz w:val="22"/>
              </w:rPr>
              <w:t xml:space="preserve">Release rule: </w:t>
            </w:r>
            <w:r>
              <w:rPr>
                <w:rFonts w:ascii="Calibri" w:hAnsi="Calibri"/>
                <w:b w:val="0"/>
                <w:i w:val="0"/>
                <w:color w:val="172033"/>
                <w:sz w:val="22"/>
              </w:rPr>
              <w:t>If production Auth, tenant isolation, ten reviewed opportunities, the critical student journey, feedback and rollback readiness are not proven by 13 August, do not expand invitations. Open a smaller internal alpha instead.</w:t>
            </w:r>
          </w:p>
        </w:tc>
      </w:tr>
    </w:tbl>
    <w:p>
      <w:pPr>
        <w:spacing w:after="40"/>
      </w:pPr>
    </w:p>
    <w:p>
      <w:pPr>
        <w:pStyle w:val="Heading1"/>
        <w:keepNext/>
      </w:pPr>
      <w:r>
        <w:rPr>
          <w:rFonts w:ascii="Calibri" w:hAnsi="Calibri"/>
          <w:b/>
          <w:i w:val="0"/>
          <w:color w:val="2563EB"/>
          <w:sz w:val="32"/>
        </w:rPr>
        <w:t>11. Immediate next action</w:t>
      </w:r>
    </w:p>
    <w:p>
      <w:pPr>
        <w:spacing w:after="120" w:line="264" w:lineRule="auto"/>
      </w:pPr>
      <w:r>
        <w:rPr>
          <w:rFonts w:ascii="Calibri" w:hAnsi="Calibri"/>
          <w:b w:val="0"/>
          <w:i w:val="0"/>
          <w:color w:val="172033"/>
          <w:sz w:val="22"/>
        </w:rPr>
        <w:t>Haidar completes Supabase authentication. Codex then verifies the live project, applies migrations 009-010, configures the protected preview and begins the signed-in acceptance journey. No new feature work should start before this dependency is closed.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Confidential working report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8"/>
      </w:rPr>
      <w:t>SCHOLARPATH | BETA RELEASE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ScholarPath Beta Readiness Report</dc:title>
  <dc:subject>Module status, blockers and launch plan for 14 August 2026</dc:subject>
  <dc:creator>ScholarPath Product Team</dc:creator>
  <cp:keywords>ScholarPath, beta, readiness, blockers, modules, launch</cp:keywords>
  <dc:description>generated by python-docx</dc:description>
  <cp:lastModifiedBy/>
  <cp:revision>1</cp:revision>
  <dcterms:created xsi:type="dcterms:W3CDTF">2013-12-23T23:15:00Z</dcterms:created>
  <dcterms:modified xsi:type="dcterms:W3CDTF">2013-12-23T23:15:00Z</dcterms:modified>
  <cp:category/>
</cp:coreProperties>
</file>