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CIFAR-10 Small-Data Classification &amp; Robustness</w:t>
      </w:r>
    </w:p>
    <w:p>
      <w:r>
        <w:rPr>
          <w:i/>
        </w:rPr>
        <w:t>Deep Learning for Perception  |  Assignment 2  |  Student ID: 23F-0632</w:t>
      </w:r>
    </w:p>
    <w:p>
      <w:r>
        <w:rPr>
          <w:b/>
        </w:rPr>
        <w:t xml:space="preserve">Experimental setup. </w:t>
      </w:r>
      <w:r>
        <w:t>CIFAR-10; 500 sampled training-split images using split seed 42 (50/class), partitioned into 400 training (40/class) and 100 validation (10/class). Original 10,000-image test split retained for evaluation only. A from-scratch SmallInceptionCNN (85,538 trainable parameters) was trained using 7 augmentation configurations, 3 training seeds (42, 123, 2026), and up to 60 epochs per run. Configuration was selected using validation outcomes only.</w:t>
      </w:r>
    </w:p>
    <w:p>
      <w:pPr>
        <w:pStyle w:val="Heading1"/>
      </w:pPr>
      <w:r>
        <w:t>Three-seed results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Configuration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Validation %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Clean test %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Specified shifts %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Drop (pp)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Baseline (validation-selected)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48.67 ± 2.31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41.27 ± 0.93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18.24 ± 1.18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23.03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Geometric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48.67 ± 3.21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42.43 ± 1.26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24.38 ± 0.95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18.05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Photometric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47.67 ± 2.52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40.54 ± 1.33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19.99 ± 3.25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20.55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Combined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46.00 ± 1.00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38.54 ± 0.45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23.92 ± 2.42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14.62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Combined + Cutout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43.00 ± 3.00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36.40 ± 2.60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25.14 ± 1.31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11.26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Combined + Mixup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42.00 ± 3.61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37.57 ± 1.61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24.48 ± 0.66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13.09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Final candidate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45.33 ± 3.51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41.39 ± 0.47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27.43 ± 0.53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13.96</w:t>
            </w:r>
          </w:p>
        </w:tc>
      </w:tr>
    </w:tbl>
    <w:p>
      <w:r>
        <w:rPr>
          <w:b/>
        </w:rPr>
        <w:t xml:space="preserve">Selection rule. </w:t>
      </w:r>
      <w:r>
        <w:t>Highest three-seed mean validation accuracy; lower validation standard deviation breaks ties. Baseline was fixed before clean or shifted test evaluation. Better observed test scores in other rows were not used to change the selected model.</w:t>
      </w:r>
    </w:p>
    <w:p>
      <w:pPr>
        <w:pStyle w:val="Heading1"/>
      </w:pPr>
      <w:r>
        <w:t>Robustness protocol and findings</w:t>
      </w:r>
    </w:p>
    <w:p>
      <w:r>
        <w:rPr>
          <w:b/>
        </w:rPr>
        <w:t xml:space="preserve">Defined shifts. </w:t>
      </w:r>
      <w:r>
        <w:t>Each test image receives deterministic index-seeded rotation in [−25°, +25°], brightness and contrast factors independently sampled in [0.7, 1.3], and a 16 × 16 black rectangular occlusion (25% of pixels). These numeric ranges and fill choices are researcher-defined where not specified by the instructor. The additional hidden corruption was NOT PROVIDED; results above are “specified-shifts-only,” not the official complete shifted-test benchmark.</w:t>
      </w:r>
    </w:p>
    <w:p>
      <w:r>
        <w:rPr>
          <w:b/>
        </w:rPr>
        <w:t xml:space="preserve">Interpretation. </w:t>
      </w:r>
      <w:r>
        <w:t>Geometric training achieved the highest observed clean-test mean (42.43%). The final candidate achieved the highest observed specified-shifts mean (27.43%). Baseline dropped from 41.27% clean to 18.24% under the specified shifts (23.03 percentage points). Stronger augmentation reduced clean accuracy for some configurations but sometimes improved robustness. Differences are descriptive, not proof of causal superiority.</w:t>
      </w:r>
    </w:p>
    <w:p>
      <w:pPr>
        <w:pStyle w:val="Heading1"/>
      </w:pPr>
      <w:r>
        <w:t>Failure analysis and reproducibility</w:t>
      </w:r>
    </w:p>
    <w:p>
      <w:r>
        <w:rPr>
          <w:b/>
        </w:rPr>
        <w:t xml:space="preserve">Representative seed. </w:t>
      </w:r>
      <w:r>
        <w:t>Baseline seed 42 yielded 40.23% clean-test accuracy (5,977/10,000 errors). Per-class recall was highest for ship (64.4%) and automobile (64.3%), lowest for cat (9.4%) and bird (15.5%). Eight saved incorrect examples included cat→dog, horse→dog, ship→airplane and bird→deer. The accompanying notebook contains confusion-matrix and failure-example plots.</w:t>
      </w:r>
    </w:p>
    <w:p>
      <w:r>
        <w:rPr>
          <w:b/>
        </w:rPr>
        <w:t xml:space="preserve">Artifacts and limits. </w:t>
      </w:r>
      <w:r>
        <w:t>The executed notebook, 21 checkpoints, validation/test CSV files, plots and protocol JSON should accompany submission. Google Drive checkpoint ZIP was verified by the student (21/21 required checkpoints; 12/12 required outputs). The hidden-corruption-only score is unavailable and must not be filled in with estimates. Results in this summary were transcribed from reported Colab outputs; source files were not supplied for independent verification.</w:t>
      </w:r>
    </w:p>
    <w:sectPr w:rsidR="00FC693F" w:rsidRPr="0006063C" w:rsidSect="00034616">
      <w:pgSz w:w="12240" w:h="15840"/>
      <w:pgMar w:top="979" w:right="1037" w:bottom="92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14E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Aptos Display" w:hAnsi="Aptos Display"/>
      <w:b/>
      <w:color w:val="16314E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