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63C" w14:textId="77777777" w:rsidR="00732E46" w:rsidRDefault="00732E46">
      <w:pPr>
        <w:widowControl w:val="0"/>
        <w:pBdr>
          <w:top w:val="nil"/>
          <w:left w:val="nil"/>
          <w:bottom w:val="nil"/>
          <w:right w:val="nil"/>
          <w:between w:val="nil"/>
        </w:pBdr>
        <w:spacing w:line="276" w:lineRule="auto"/>
      </w:pPr>
      <w:r>
        <w:t>Objective: This study presents the first systematic audit of arterial blood pressure (ABP) signal integrity in the VitalDB and CHARIS open clinical databases, revealing a 97.8% and 25.4% failure rate, respectively. Methods: We developed a machine learning framework to automate signal quality auditing, achieving high performance (ROC-AUC 0.994). Results: Our analysis of 400 windows (270 VitalDB, 130 CHARIS) identified widespread quality issues, with physiologic features being most important for detection. Conclusion: Signal integrity auditing is a mandatory prerequisite for trustworthy medical AI. Significance: This work establishes a benchmark and provides an open-source tool for automated ABP quality control.</w:t>
      </w:r>
    </w:p>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near-zero mean ABP values,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extended to photoplethysmography (PPG), where motion artifacts, poor sensor contact, and ambient interference pose significant challenges for continuous monitoring applications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 xml:space="preserve">Despite extensive research on physiological signal quality assessment, medical AI robustness, and low-FPR </w:t>
      </w:r>
      <w:r w:rsidRPr="004D45DD">
        <w:rPr>
          <w:lang w:val="en-CA"/>
        </w:rPr>
        <w:t xml:space="preserve">evaluation, no prior study has systematically characterized how signal-level integrity violations relate to low-FPR failures that are consistent across learning algorithms. Existing SQI frameworks primarily address artifact detection for monitoring or visualization purposes rather than whether a dataset can support stable learning under strict operational constraints [3], [6], [21]. Similarly, medical AI research often emphasizes model architecture and optimization while implicitly </w:t>
      </w:r>
      <w:proofErr w:type="gramStart"/>
      <w:r w:rsidRPr="004D45DD">
        <w:rPr>
          <w:lang w:val="en-CA"/>
        </w:rPr>
        <w:t>assuming that</w:t>
      </w:r>
      <w:proofErr w:type="gramEnd"/>
      <w:r w:rsidRPr="004D45DD">
        <w:rPr>
          <w:lang w:val="en-CA"/>
        </w:rPr>
        <w:t xml:space="preserve"> archived clinical waveforms are sufficiently reliable for training [25], [26].</w:t>
      </w:r>
    </w:p>
    <w:p w14:paraId="1CA80685" w14:textId="77777777" w:rsidR="00935188" w:rsidRPr="00935188" w:rsidRDefault="00935188" w:rsidP="00935188">
      <w:pPr>
        <w:ind w:left="360"/>
        <w:jc w:val="both"/>
        <w:rPr>
          <w:lang w:val="en-CA"/>
        </w:rPr>
      </w:pPr>
      <w:proofErr w:type="gramStart"/>
      <w:r w:rsidRPr="00935188">
        <w:rPr>
          <w:lang w:val="en-CA"/>
        </w:rPr>
        <w:t>In particular, large</w:t>
      </w:r>
      <w:proofErr w:type="gramEnd"/>
      <w:r w:rsidRPr="00935188">
        <w:rPr>
          <w:lang w:val="en-CA"/>
        </w:rPr>
        <w:t xml:space="preserve"> open perioperative databases such as </w:t>
      </w:r>
      <w:proofErr w:type="spellStart"/>
      <w:r w:rsidRPr="00935188">
        <w:rPr>
          <w:lang w:val="en-CA"/>
        </w:rPr>
        <w:t>VitalDB</w:t>
      </w:r>
      <w:proofErr w:type="spellEnd"/>
      <w:r w:rsidRPr="00935188">
        <w:rPr>
          <w:lang w:val="en-CA"/>
        </w:rPr>
        <w:t xml:space="preserve"> have been</w:t>
      </w:r>
    </w:p>
    <w:p w14:paraId="750ED2C9" w14:textId="77777777" w:rsidR="00935188" w:rsidRPr="00935188" w:rsidRDefault="00935188" w:rsidP="00935188">
      <w:pPr>
        <w:ind w:left="360"/>
        <w:jc w:val="both"/>
        <w:rPr>
          <w:lang w:val="en-CA"/>
        </w:rPr>
      </w:pPr>
      <w:r w:rsidRPr="00935188">
        <w:rPr>
          <w:lang w:val="en-CA"/>
        </w:rPr>
        <w:t>widely adopted for developing predictive models for tasks including</w:t>
      </w:r>
    </w:p>
    <w:p w14:paraId="54B96B3E" w14:textId="77777777" w:rsidR="00935188" w:rsidRPr="00935188" w:rsidRDefault="00935188" w:rsidP="00935188">
      <w:pPr>
        <w:ind w:left="360"/>
        <w:jc w:val="both"/>
        <w:rPr>
          <w:lang w:val="en-CA"/>
        </w:rPr>
      </w:pPr>
      <w:r w:rsidRPr="00935188">
        <w:rPr>
          <w:lang w:val="en-CA"/>
        </w:rPr>
        <w:t>intraoperative hypotension and hypoxemia, often without reporting</w:t>
      </w:r>
    </w:p>
    <w:p w14:paraId="0E1339A9" w14:textId="68541E09" w:rsidR="003F7D45" w:rsidRPr="004D45DD" w:rsidRDefault="00935188" w:rsidP="00935188">
      <w:pPr>
        <w:ind w:left="360"/>
        <w:jc w:val="both"/>
        <w:rPr>
          <w:lang w:val="en-CA"/>
        </w:rPr>
      </w:pPr>
      <w:r w:rsidRPr="00935188">
        <w:rPr>
          <w:lang w:val="en-CA"/>
        </w:rPr>
        <w:t>dataset-level audits of arterial blood pressure waveform integrity [31], [32].</w:t>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 xml:space="preserve">Table III. Formal definitions of signal integrity criteria used for ABP waveform assessment. Each criterion is defined by a mathematical condition, a physiological threshold, and a clinical rationale.</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rsidRPr="00836505">
        <w:rPr>
          <w:color w:val="000000" w:themeColor="text1"/>
          <w:lang w:val="en-CA"/>
        </w:rPr>
        <w:t>A</w:t>
      </w:r>
      <w:r w:rsidR="004B675D">
        <w:rPr>
          <w:color w:val="000000" w:themeColor="text1"/>
          <w:lang w:val="en-CA"/>
        </w:rPr>
        <w:t xml:space="preserve"> </w:t>
      </w:r>
      <w:r w:rsidR="004B675D" w:rsidRPr="004B675D">
        <w:rPr>
          <w:i/>
          <w:iCs/>
          <w:color w:val="000000" w:themeColor="text1"/>
          <w:lang w:val="en-CA"/>
        </w:rPr>
        <w:t>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264 of 270 recordings (97.8%),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rsidRPr="00001E7B">
        <w:rPr>
          <w:b/>
          <w:bCs/>
          <w:i/>
          <w:iCs/>
          <w:color w:val="000000" w:themeColor="text1"/>
          <w:sz w:val="16"/>
          <w:szCs w:val="16"/>
          <w:lang w:val="en-CA"/>
        </w:rPr>
        <w:t>Table 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rsidRPr="00001E7B">
        <w:rPr>
          <w:i/>
          <w:iCs/>
          <w:color w:val="000000" w:themeColor="text1"/>
          <w:sz w:val="16"/>
          <w:szCs w:val="16"/>
          <w:lang w:val="en-CA"/>
        </w:rPr>
        <w:t>Table 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Fig. 2. Conceptual illustration of arterial blood pressure (ABP) signal integrity failure mode co-occurrence and distribution.</w:t>
      </w:r>
    </w:p>
    <w:p w14:paraId="6F868BC6"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 xml:space="preserve">Panel A illustrates the frequent co-occurrence of extended flatline behavior and negative pressure values among failing ABP waveform windows in the </w:t>
      </w:r>
      <w:proofErr w:type="spellStart"/>
      <w:r w:rsidRPr="009B2A30">
        <w:rPr>
          <w:i/>
          <w:iCs/>
          <w:color w:val="000000" w:themeColor="text1"/>
          <w:sz w:val="16"/>
          <w:szCs w:val="16"/>
          <w:lang w:val="en-CA"/>
        </w:rPr>
        <w:t>VitalDB</w:t>
      </w:r>
      <w:proofErr w:type="spellEnd"/>
      <w:r w:rsidRPr="009B2A30">
        <w:rPr>
          <w:i/>
          <w:iCs/>
          <w:color w:val="000000" w:themeColor="text1"/>
          <w:sz w:val="16"/>
          <w:szCs w:val="16"/>
          <w:lang w:val="en-CA"/>
        </w:rPr>
        <w:t xml:space="preserve"> intraoperative dataset, with percentages reported relative to FAIL windows.</w:t>
      </w:r>
    </w:p>
    <w:p w14:paraId="17AD1CC0"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Panel B illustrates the dominant failure mode distribution observed in the CHARIS ICU database, where integrity failures occur less frequently and are primarily driven by out-of-physiological-range values.</w:t>
      </w:r>
    </w:p>
    <w:p w14:paraId="6B415CC6" w14:textId="6734A1ED" w:rsidR="00B86CD4"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All elements are schematic and do not represent diagnostic categories or real patient data.</w:t>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rPr>
          <w:i/>
          <w:sz w:val="18"/>
        </w:rPr>
        <w:t xml:space="preserve">Fig. 6.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rsidRPr="00836505">
        <w:rPr>
          <w:color w:val="000000" w:themeColor="text1"/>
        </w:rPr>
        <w:t>As shown in Fig. 2,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rsidRPr="00836505">
        <w:rPr>
          <w:color w:val="000000" w:themeColor="text1"/>
          <w:sz w:val="16"/>
          <w:szCs w:val="16"/>
          <w:lang w:val="en-CA"/>
        </w:rPr>
        <w:t>Fig. 2. Receiver operating characteristic (ROC) curve of the signal integrity auditor on the held-out test set (n = 84). The model achieves ROC-AUC = 0.994, with stratified bootstrap ROC-AUC = 0.994 [0.974, 1.000].</w:t>
      </w:r>
      <w:r w:rsidR="001B08C8" w:rsidRPr="00836505">
        <w:rPr>
          <w:color w:val="000000" w:themeColor="text1"/>
          <w:sz w:val="16"/>
          <w:szCs w:val="16"/>
          <w:lang w:val="en-CA"/>
        </w:rPr>
        <w:t xml:space="preserve">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rsidRPr="002B1852">
        <w:rPr>
          <w:i/>
          <w:iCs/>
          <w:color w:val="000000" w:themeColor="text1"/>
          <w:lang w:val="en-CA"/>
        </w:rPr>
        <w:t xml:space="preserve">  </w:t>
      </w:r>
      <w:r w:rsidR="00E75507" w:rsidRPr="002B1852">
        <w:rPr>
          <w:i/>
          <w:iCs/>
          <w:color w:val="000000" w:themeColor="text1"/>
          <w:lang w:val="en-CA"/>
        </w:rPr>
        <w:t xml:space="preserve">A </w:t>
      </w:r>
      <w:r w:rsidR="00DA0C40" w:rsidRPr="002B1852">
        <w:rPr>
          <w:i/>
          <w:iCs/>
          <w:color w:val="000000" w:themeColor="text1"/>
          <w:lang w:val="en-CA"/>
        </w:rPr>
        <w:t>Random Forest–based signal integrity auditor was evaluated on an independent held-out test set comprising 81 waveform windows (189 training, 81 test). Despite the extreme</w:t>
      </w:r>
      <w:r w:rsidR="00DA0C40" w:rsidRPr="00DA0C40">
        <w:rPr>
          <w:i/>
          <w:iCs/>
          <w:color w:val="000000" w:themeColor="text1"/>
          <w:lang w:val="en-CA"/>
        </w:rPr>
        <w:t xml:space="preserve"> </w:t>
      </w:r>
      <w:r w:rsidR="00DA0C40" w:rsidRPr="002B1852">
        <w:rPr>
          <w:color w:val="000000" w:themeColor="text1"/>
          <w:lang w:val="en-CA"/>
        </w:rPr>
        <w:t>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rPr>
          <w:b/>
        </w:rPr>
        <w:t>Fig. 3.</w:t>
      </w:r>
      <w:r>
        <w:t xml:space="preserve">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rsidRPr="00836505">
        <w:rPr>
          <w:color w:val="000000" w:themeColor="text1"/>
          <w:sz w:val="16"/>
          <w:szCs w:val="16"/>
          <w:lang w:val="en-CA"/>
        </w:rPr>
        <w:t xml:space="preserve">        </w:t>
      </w:r>
      <w:r w:rsidR="00A54CF4" w:rsidRPr="00836505">
        <w:rPr>
          <w:b/>
          <w:bCs/>
          <w:color w:val="000000" w:themeColor="text1"/>
          <w:sz w:val="16"/>
          <w:szCs w:val="16"/>
          <w:lang w:val="en-CA"/>
        </w:rPr>
        <w:t>Fig. 4.</w:t>
      </w:r>
      <w:r w:rsidR="00A54CF4" w:rsidRPr="00836505">
        <w:rPr>
          <w:color w:val="000000" w:themeColor="text1"/>
          <w:sz w:val="16"/>
          <w:szCs w:val="16"/>
          <w:lang w:val="en-CA"/>
        </w:rPr>
        <w:t xml:space="preserve">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the auditor achieves recall = 0.889 for FAIL detection.</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rsidRPr="00500010">
        <w:rPr>
          <w:rFonts w:ascii="italic" w:hAnsi="italic" w:cs="Arial"/>
          <w:b/>
          <w:bCs/>
          <w:color w:val="000000" w:themeColor="text1"/>
          <w:sz w:val="16"/>
          <w:szCs w:val="16"/>
          <w:lang w:val="en-CA"/>
        </w:rPr>
        <w:t>Fig. 5.</w:t>
      </w:r>
      <w:r w:rsidRPr="00500010">
        <w:rPr>
          <w:rFonts w:ascii="italic" w:hAnsi="italic" w:cs="Arial"/>
          <w:color w:val="000000" w:themeColor="text1"/>
          <w:sz w:val="16"/>
          <w:szCs w:val="16"/>
          <w:lang w:val="en-CA"/>
        </w:rPr>
        <w:t xml:space="preserve">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near-zero mean arterial pressure values;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rsidRPr="00535457">
        <w:rPr>
          <w:color w:val="000000" w:themeColor="text1"/>
          <w:lang w:val="en-CA"/>
        </w:rP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w:t>
      </w:r>
      <w:r w:rsidRPr="00535457">
        <w:rPr>
          <w:b/>
          <w:bCs/>
          <w:color w:val="000000" w:themeColor="text1"/>
          <w:lang w:val="en-CA"/>
        </w:rPr>
        <w:t>4 vs. 2</w:t>
      </w:r>
      <w:r w:rsidRPr="00535457">
        <w:rPr>
          <w:color w:val="000000" w:themeColor="text1"/>
          <w:lang w:val="en-CA"/>
        </w:rPr>
        <w:t>).</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rsidRPr="00C7663A">
        <w:rPr>
          <w:b/>
          <w:bCs/>
          <w:color w:val="000000" w:themeColor="text1"/>
        </w:rPr>
        <w:br/>
      </w:r>
      <w:r w:rsidR="00C7663A" w:rsidRPr="00C7663A">
        <w:rPr>
          <w:b/>
          <w:bCs/>
          <w:color w:val="000000" w:themeColor="text1"/>
        </w:rPr>
        <w:t>G. External Validation on the CHARIS Database</w:t>
      </w:r>
    </w:p>
    <w:p w14:paraId="24DB3A74" w14:textId="77777777" w:rsidR="00C7663A" w:rsidRPr="00C7663A" w:rsidRDefault="00C7663A" w:rsidP="00C7663A">
      <w:pPr>
        <w:ind w:left="360"/>
        <w:jc w:val="both"/>
        <w:rPr>
          <w:color w:val="000000" w:themeColor="text1"/>
        </w:rPr>
      </w:pPr>
    </w:p>
    <w:p w14:paraId="095E2DD7" w14:textId="3CC7F434" w:rsidR="00C7663A" w:rsidRPr="00C7663A" w:rsidRDefault="00C7663A" w:rsidP="00C7663A">
      <w:pPr>
        <w:ind w:left="360"/>
        <w:jc w:val="both"/>
        <w:rPr>
          <w:color w:val="000000" w:themeColor="text1"/>
        </w:rPr>
      </w:pPr>
      <w:r w:rsidRPr="00C7663A">
        <w:rPr>
          <w:color w:val="000000" w:themeColor="text1"/>
        </w:rPr>
        <w:t>To assess the generalizability of our findings, we conducted an external validation on the CHARIS database (PhysioNet), which contains ICU waveform recordings from patients with acute brain injury (sampling rate 50 Hz) [</w:t>
      </w:r>
      <w:r w:rsidR="00A8312D">
        <w:rPr>
          <w:color w:val="000000" w:themeColor="text1"/>
        </w:rPr>
        <w:t>34</w:t>
      </w:r>
      <w:r w:rsidRPr="00C7663A">
        <w:rPr>
          <w:color w:val="000000" w:themeColor="text1"/>
        </w:rPr>
        <w:t xml:space="preserve">]. Using the same five-minute windowing strategy and integrity criteria as in </w:t>
      </w:r>
      <w:proofErr w:type="spellStart"/>
      <w:r w:rsidRPr="00C7663A">
        <w:rPr>
          <w:color w:val="000000" w:themeColor="text1"/>
        </w:rPr>
        <w:t>VitalDB</w:t>
      </w:r>
      <w:proofErr w:type="spellEnd"/>
      <w:r w:rsidRPr="00C7663A">
        <w:rPr>
          <w:color w:val="000000" w:themeColor="text1"/>
        </w:rPr>
        <w:t>, we analyzed 130 ABP windows from 13 recordings.</w:t>
      </w:r>
    </w:p>
    <w:p w14:paraId="7D113F55" w14:textId="77777777" w:rsidR="00C7663A" w:rsidRPr="00C7663A" w:rsidRDefault="00C7663A" w:rsidP="00C7663A">
      <w:pPr>
        <w:ind w:left="360"/>
        <w:jc w:val="both"/>
        <w:rPr>
          <w:color w:val="000000" w:themeColor="text1"/>
        </w:rPr>
      </w:pPr>
    </w:p>
    <w:p w14:paraId="19B7A2DB" w14:textId="77777777" w:rsidR="00C7663A" w:rsidRPr="00C7663A" w:rsidRDefault="00C7663A" w:rsidP="00C7663A">
      <w:pPr>
        <w:ind w:left="360"/>
        <w:jc w:val="both"/>
        <w:rPr>
          <w:color w:val="000000" w:themeColor="text1"/>
        </w:rPr>
      </w:pPr>
      <w:r w:rsidRPr="00C7663A">
        <w:rPr>
          <w:color w:val="000000" w:themeColor="text1"/>
        </w:rPr>
        <w:t xml:space="preserve">Of these, 33 windows (25.4%) failed at least one integrity criterion, while 97 windows (74.6%) passed. Failures were predominantly due to out-of-physiological-range ABP values (24/33, 72.7%) and negative pressure values (9/33, 27.3%). Although the failure rate was lower than in </w:t>
      </w:r>
      <w:proofErr w:type="spellStart"/>
      <w:r w:rsidRPr="00C7663A">
        <w:rPr>
          <w:color w:val="000000" w:themeColor="text1"/>
        </w:rPr>
        <w:t>VitalDB</w:t>
      </w:r>
      <w:proofErr w:type="spellEnd"/>
      <w:r w:rsidRPr="00C7663A">
        <w:rPr>
          <w:color w:val="000000" w:themeColor="text1"/>
        </w:rPr>
        <w:t xml:space="preserve"> (25.4% vs. 97.8%), this result indicates that integrity violations are not confined to a single database or clinical context.</w:t>
      </w:r>
    </w:p>
    <w:p w14:paraId="34EF7284" w14:textId="77777777" w:rsidR="00C7663A" w:rsidRPr="00C7663A" w:rsidRDefault="00C7663A" w:rsidP="00C7663A">
      <w:pPr>
        <w:ind w:left="360"/>
        <w:jc w:val="both"/>
        <w:rPr>
          <w:color w:val="000000" w:themeColor="text1"/>
        </w:rPr>
      </w:pPr>
    </w:p>
    <w:p w14:paraId="77A8C79B" w14:textId="61090C51" w:rsidR="00535457" w:rsidRDefault="00C7663A" w:rsidP="00C7663A">
      <w:pPr>
        <w:ind w:left="360"/>
        <w:jc w:val="both"/>
        <w:rPr>
          <w:color w:val="000000" w:themeColor="text1"/>
        </w:rPr>
      </w:pPr>
      <w:r w:rsidRPr="00C7663A">
        <w:rPr>
          <w:color w:val="000000" w:themeColor="text1"/>
        </w:rPr>
        <w:t>Notably, corrupted CHARIS segments often produced implausibly low mean ABP values (median near-zero), which could be misinterpreted as hypotension if signal integrity screening is omitted. We refer to this phenomenon as the "Hypotension Illusion."</w:t>
      </w:r>
    </w:p>
    <w:p w14:paraId="45B40D76" w14:textId="77777777" w:rsidR="00006C00" w:rsidRDefault="00006C00" w:rsidP="0077354D">
      <w:pPr>
        <w:ind w:left="360"/>
        <w:jc w:val="both"/>
        <w:rPr>
          <w:color w:val="000000" w:themeColor="text1"/>
        </w:rPr>
      </w:pPr>
    </w:p>
    <w:p w14:paraId="5ADD3882" w14:textId="77777777" w:rsidR="00006C00" w:rsidRPr="00006C00" w:rsidRDefault="00006C00" w:rsidP="00006C00">
      <w:pPr>
        <w:ind w:left="360"/>
        <w:jc w:val="both"/>
        <w:rPr>
          <w:b/>
          <w:bCs/>
          <w:color w:val="000000" w:themeColor="text1"/>
        </w:rPr>
      </w:pPr>
      <w:r w:rsidRPr="00006C00">
        <w:rPr>
          <w:b/>
          <w:bCs/>
          <w:color w:val="000000" w:themeColor="text1"/>
        </w:rPr>
        <w:t>H. Independent API Validation</w:t>
      </w:r>
    </w:p>
    <w:p w14:paraId="73CDBB00" w14:textId="77777777" w:rsidR="00006C00" w:rsidRPr="00006C00" w:rsidRDefault="00006C00" w:rsidP="00006C00">
      <w:pPr>
        <w:ind w:left="360"/>
        <w:jc w:val="both"/>
        <w:rPr>
          <w:color w:val="000000" w:themeColor="text1"/>
        </w:rPr>
      </w:pPr>
    </w:p>
    <w:p w14:paraId="368BDECB" w14:textId="6B7BFCB2" w:rsidR="00006C00" w:rsidRPr="00006C00" w:rsidRDefault="00006C00" w:rsidP="00006C00">
      <w:pPr>
        <w:ind w:left="360"/>
        <w:jc w:val="both"/>
        <w:rPr>
          <w:color w:val="000000" w:themeColor="text1"/>
        </w:rPr>
      </w:pPr>
      <w:r w:rsidRPr="00006C00">
        <w:rPr>
          <w:color w:val="000000" w:themeColor="text1"/>
        </w:rPr>
        <w:t xml:space="preserve">To confirm that the observed integrity failures in </w:t>
      </w:r>
      <w:proofErr w:type="spellStart"/>
      <w:r w:rsidRPr="00006C00">
        <w:rPr>
          <w:color w:val="000000" w:themeColor="text1"/>
        </w:rPr>
        <w:t>VitalDB</w:t>
      </w:r>
      <w:proofErr w:type="spellEnd"/>
      <w:r w:rsidRPr="00006C00">
        <w:rPr>
          <w:color w:val="000000" w:themeColor="text1"/>
        </w:rPr>
        <w:t xml:space="preserve"> were not artifacts of our data extraction or preprocessing pipeline, we conducted an independent validation using the official </w:t>
      </w:r>
      <w:proofErr w:type="spellStart"/>
      <w:r w:rsidRPr="00006C00">
        <w:rPr>
          <w:color w:val="000000" w:themeColor="text1"/>
        </w:rPr>
        <w:t>VitalDB</w:t>
      </w:r>
      <w:proofErr w:type="spellEnd"/>
      <w:r w:rsidRPr="00006C00">
        <w:rPr>
          <w:color w:val="000000" w:themeColor="text1"/>
        </w:rPr>
        <w:t xml:space="preserve"> Python API. A separate cohort </w:t>
      </w:r>
      <w:proofErr w:type="gramStart"/>
      <w:r w:rsidRPr="00006C00">
        <w:rPr>
          <w:color w:val="000000" w:themeColor="text1"/>
        </w:rPr>
        <w:t xml:space="preserve">of </w:t>
      </w:r>
      <w:r w:rsidR="005949A3">
        <w:rPr>
          <w:color w:val="000000" w:themeColor="text1"/>
        </w:rPr>
        <w:t xml:space="preserve"> 28</w:t>
      </w:r>
      <w:proofErr w:type="gramEnd"/>
      <w:r w:rsidR="005949A3">
        <w:rPr>
          <w:color w:val="000000" w:themeColor="text1"/>
        </w:rPr>
        <w:t xml:space="preserve">  </w:t>
      </w:r>
      <w:r w:rsidRPr="00006C00">
        <w:rPr>
          <w:color w:val="000000" w:themeColor="text1"/>
        </w:rPr>
        <w:t>surgical cases was queried directly via the API, and raw ABP waveform data was assessed against the same predefined integrity criteria without any intermediate processing steps.</w:t>
      </w:r>
    </w:p>
    <w:p w14:paraId="2EEEEBE3" w14:textId="77777777" w:rsidR="00006C00" w:rsidRPr="00006C00" w:rsidRDefault="00006C00" w:rsidP="00006C00">
      <w:pPr>
        <w:ind w:left="360"/>
        <w:jc w:val="both"/>
        <w:rPr>
          <w:color w:val="000000" w:themeColor="text1"/>
        </w:rPr>
      </w:pPr>
    </w:p>
    <w:p w14:paraId="55BD5B76" w14:textId="1EDC2AA6" w:rsidR="00006C00" w:rsidRPr="00535457" w:rsidRDefault="00006C00" w:rsidP="00006C00">
      <w:pPr>
        <w:ind w:left="360"/>
        <w:jc w:val="both"/>
        <w:rPr>
          <w:color w:val="000000" w:themeColor="text1"/>
        </w:rPr>
      </w:pPr>
      <w:r w:rsidRPr="00006C00">
        <w:rPr>
          <w:color w:val="000000" w:themeColor="text1"/>
        </w:rPr>
        <w:t>This independent analysis confirmed a 100% failure rate among the sampled cases, corroborating our primary findings and ruling out the possibility that integrity violations were introduced by our extraction methodology.</w:t>
      </w:r>
    </w:p>
    <w:p w14:paraId="00A08164" w14:textId="77777777" w:rsidR="00535457" w:rsidRPr="00535457" w:rsidRDefault="00535457" w:rsidP="0077354D">
      <w:pPr>
        <w:ind w:left="360"/>
        <w:jc w:val="both"/>
        <w:rPr>
          <w:color w:val="000000" w:themeColor="text1"/>
          <w:lang w:val="en-CA"/>
        </w:rPr>
      </w:pPr>
    </w:p>
    <w:p w14:paraId="33D5B3C5" w14:textId="77777777" w:rsidR="00734E4C" w:rsidRPr="00535457" w:rsidRDefault="00734E4C" w:rsidP="0077354D">
      <w:pPr>
        <w:ind w:left="360"/>
        <w:jc w:val="both"/>
        <w:rPr>
          <w:color w:val="000000" w:themeColor="text1"/>
          <w:lang w:val="en-CA"/>
        </w:rPr>
      </w:pPr>
    </w:p>
    <w:p w14:paraId="3887A63C" w14:textId="77777777" w:rsidR="00732E46" w:rsidRDefault="00732E46">
      <w:r>
        <w:rPr>
          <w:b/>
        </w:rPr>
        <w:t>I.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 xml:space="preserve">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rPr>
          <w:i/>
          <w:sz w:val="18"/>
        </w:rPr>
        <w:t xml:space="preserve">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rPr>
          <w:b/>
          <w:bCs/>
          <w:color w:val="000000" w:themeColor="text1"/>
          <w:lang w:val="en-CA"/>
        </w:rPr>
        <w:t>J</w:t>
      </w:r>
      <w:r w:rsidR="00734E4C" w:rsidRPr="00535457">
        <w:rPr>
          <w:b/>
          <w:bCs/>
          <w:color w:val="000000" w:themeColor="text1"/>
          <w:lang w:val="en-CA"/>
        </w:rPr>
        <w:t>.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near-zero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near-zero mean arterial pressure values,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573B8FE7" w14:textId="77777777" w:rsidR="00CF07AD" w:rsidRPr="00CF07AD" w:rsidRDefault="00CF07AD" w:rsidP="00CF07AD">
      <w:pPr>
        <w:jc w:val="both"/>
        <w:rPr>
          <w:b/>
          <w:bCs/>
        </w:rPr>
      </w:pPr>
      <w:r w:rsidRPr="00CF07AD">
        <w:rPr>
          <w:b/>
          <w:bCs/>
          <w:i/>
        </w:rPr>
        <w:t>E. The "Hypotension Illusion": A Patient Safety Concern</w:t>
      </w:r>
    </w:p>
    <w:p w14:paraId="230C8356" w14:textId="77777777" w:rsidR="00CF07AD" w:rsidRPr="00CF07AD" w:rsidRDefault="00CF07AD" w:rsidP="00CF07AD">
      <w:pPr>
        <w:jc w:val="both"/>
      </w:pPr>
      <w:r w:rsidRPr="00CF07AD">
        <w:t>A critical finding from our external validation on the CHARIS database was the frequent occurrence of physiologically implausible mean arterial pressures (&lt;1 mmHg) in corrupted waveform segments. We term this phenomenon the "Hypotension Illusion."</w:t>
      </w:r>
    </w:p>
    <w:p w14:paraId="32173BBB" w14:textId="6D4EB44B" w:rsidR="00CF07AD" w:rsidRDefault="00CF07AD" w:rsidP="00CF07AD">
      <w:pPr>
        <w:jc w:val="both"/>
      </w:pPr>
      <w:r w:rsidRPr="00CF07AD">
        <w:t>This finding carries significant patient safety implications. An automated clinical decision support system trained on or processing such corrupted data could misinterpret a technical artifact—such as a disconnected catheter or signal dropout—as a severe hypotensive crisis [6], [7].</w:t>
      </w:r>
      <w:r w:rsidR="004A4677" w:rsidRPr="004A4677">
        <w:t xml:space="preserve"> In a real-time monitoring context, this could trigger unnecessary alerts contributing to alarm fatigue [17]</w:t>
      </w:r>
      <w:proofErr w:type="gramStart"/>
      <w:r w:rsidR="004A4677" w:rsidRPr="004A4677">
        <w:t>–[</w:t>
      </w:r>
      <w:proofErr w:type="gramEnd"/>
      <w:r w:rsidR="004A4677" w:rsidRPr="004A4677">
        <w:t>19</w:t>
      </w:r>
      <w:proofErr w:type="gramStart"/>
      <w:r w:rsidR="004A4677" w:rsidRPr="004A4677">
        <w:t>], or</w:t>
      </w:r>
      <w:proofErr w:type="gramEnd"/>
      <w:r w:rsidR="004A4677" w:rsidRPr="004A4677">
        <w:t xml:space="preserve"> potentially influence downstream clinical decision-support outputs if signal integrity is not properly validated [25], [26].</w:t>
      </w:r>
    </w:p>
    <w:p w14:paraId="405B4555" w14:textId="77777777" w:rsidR="00CF07AD" w:rsidRPr="00CF07AD" w:rsidRDefault="00CF07AD" w:rsidP="00CF07AD">
      <w:pPr>
        <w:jc w:val="both"/>
      </w:pPr>
      <w:r w:rsidRPr="00CF07AD">
        <w:t>The Hypotension Illusion underscores that signal integrity auditing is not merely a methodological refinement aimed at improving model performance metrics. Rather, it represents a fundamental patient safety requirement. Corrupted signals do not simply degrade predictive accuracy; they can actively introduce clinically dangerous misinformation into automated pipelines. This observation reinforces the argument that integrity validation should be treated as a prerequisite quality gate before any downstream clinical application [25], [26].</w:t>
      </w:r>
    </w:p>
    <w:p w14:paraId="087FA3E6"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F.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G.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rsidRPr="00F66F38">
        <w:rPr>
          <w:color w:val="000000"/>
        </w:rPr>
        <w:t xml:space="preserve">The data used in this study </w:t>
      </w:r>
      <w:r w:rsidR="005038DE" w:rsidRPr="00F66F38">
        <w:rPr>
          <w:color w:val="000000"/>
        </w:rPr>
        <w:t>is</w:t>
      </w:r>
      <w:r w:rsidRPr="00F66F38">
        <w:rPr>
          <w:color w:val="000000"/>
        </w:rPr>
        <w:t xml:space="preserve"> publicly available through the </w:t>
      </w:r>
      <w:proofErr w:type="spellStart"/>
      <w:r w:rsidRPr="00F66F38">
        <w:rPr>
          <w:color w:val="000000"/>
        </w:rPr>
        <w:t>VitalDB</w:t>
      </w:r>
      <w:proofErr w:type="spellEnd"/>
      <w:r w:rsidRPr="00F66F38">
        <w:rPr>
          <w:color w:val="000000"/>
        </w:rPr>
        <w:t xml:space="preserve"> open</w:t>
      </w:r>
      <w:r>
        <w:rPr>
          <w:color w:val="000000"/>
        </w:rPr>
        <w:t xml:space="preserve"> </w:t>
      </w:r>
      <w:r w:rsidRPr="00F66F38">
        <w:rPr>
          <w:color w:val="000000"/>
        </w:rPr>
        <w:t>clinical database.</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code used for data processing and analysis will be made available upon</w:t>
      </w:r>
      <w:r>
        <w:rPr>
          <w:color w:val="000000"/>
        </w:rPr>
        <w:t xml:space="preserve"> </w:t>
      </w:r>
      <w:r w:rsidRPr="00D61977">
        <w:rPr>
          <w:color w:val="000000"/>
        </w:rPr>
        <w:t>reasonable request.</w:t>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bookmarkStart w:id="2" w:name="_heading=h.ji51hl1e8dp3" w:colFirst="0" w:colLast="0"/>
      <w:bookmarkEnd w:id="2"/>
      <w:r>
        <w:t>Acknowledgment</w:t>
      </w:r>
    </w:p>
    <w:p w14:paraId="6D0EF778" w14:textId="4E5D3E33" w:rsidR="00C2761C" w:rsidRPr="00C2761C" w:rsidRDefault="001D5746" w:rsidP="00C2761C">
      <w:r w:rsidRPr="001D5746">
        <w:t>The authors disclose that artificial intelligence–assisted tools were used to support the creation of one conceptual figure for visualization purposes only. All data, analyses, and interpretations presented in this work were generated and validated by the authors. The authors take full responsibility for the accuracy and integrity of the content.</w:t>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et al., “Artifact management methodologies for arterial blood</w:t>
      </w:r>
    </w:p>
    <w:p w14:paraId="7CB74F2B"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pressure signals: A systematic scoping review of human and animal literature,”</w:t>
      </w:r>
    </w:p>
    <w:p w14:paraId="41726A95" w14:textId="1F650EA6" w:rsidR="00F735A3"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 xml:space="preserve">Physiol. Rep., vol. 13, no. 19, p. e70533, Oct. 2025, </w:t>
      </w:r>
      <w:proofErr w:type="spellStart"/>
      <w:r w:rsidRPr="003B1CD6">
        <w:rPr>
          <w:rFonts w:ascii="Times" w:hAnsi="Times" w:cs="Times"/>
          <w:color w:val="000000"/>
        </w:rPr>
        <w:t>doi</w:t>
      </w:r>
      <w:proofErr w:type="spellEnd"/>
      <w:r w:rsidRPr="003B1CD6">
        <w:rPr>
          <w:rFonts w:ascii="Times" w:hAnsi="Times" w:cs="Times"/>
          <w:color w:val="000000"/>
        </w:rPr>
        <w:t>: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rsidRPr="007D6F37">
        <w:rPr>
          <w:rFonts w:ascii="Times" w:hAnsi="Times" w:cs="Times"/>
          <w:color w:val="000000"/>
        </w:rPr>
        <w:t xml:space="preserve">[34]: # "N. Kim, A. Krasner, C. Kosinski, M. Wininger, M. Qadri, Z. Kappus, S. Danish, and W. Craelius, \"Trending autoregulatory indices during treatment for traumatic brain </w:t>
      </w:r>
      <w:proofErr w:type="gramStart"/>
      <w:r w:rsidRPr="007D6F37">
        <w:rPr>
          <w:rFonts w:ascii="Times" w:hAnsi="Times" w:cs="Times"/>
          <w:color w:val="000000"/>
        </w:rPr>
        <w:t>injury,\</w:t>
      </w:r>
      <w:proofErr w:type="gramEnd"/>
      <w:r w:rsidRPr="007D6F37">
        <w:rPr>
          <w:rFonts w:ascii="Times" w:hAnsi="Times" w:cs="Times"/>
          <w:color w:val="000000"/>
        </w:rPr>
        <w:t xml:space="preserve">" J. Clin. Monit. </w:t>
      </w:r>
      <w:proofErr w:type="spellStart"/>
      <w:r w:rsidRPr="007D6F37">
        <w:rPr>
          <w:rFonts w:ascii="Times" w:hAnsi="Times" w:cs="Times"/>
          <w:color w:val="000000"/>
        </w:rPr>
        <w:t>Comput</w:t>
      </w:r>
      <w:proofErr w:type="spellEnd"/>
      <w:r w:rsidRPr="007D6F37">
        <w:rPr>
          <w:rFonts w:ascii="Times" w:hAnsi="Times" w:cs="Times"/>
          <w:color w:val="000000"/>
        </w:rPr>
        <w:t xml:space="preserve">., vol. 30, no. 6, pp. 821–831, 2016, </w:t>
      </w:r>
      <w:proofErr w:type="spellStart"/>
      <w:r w:rsidRPr="007D6F37">
        <w:rPr>
          <w:rFonts w:ascii="Times" w:hAnsi="Times" w:cs="Times"/>
          <w:color w:val="000000"/>
        </w:rPr>
        <w:t>doi</w:t>
      </w:r>
      <w:proofErr w:type="spellEnd"/>
      <w:r w:rsidRPr="007D6F37">
        <w:rPr>
          <w:rFonts w:ascii="Times" w:hAnsi="Times" w:cs="Times"/>
          <w:color w:val="000000"/>
        </w:rPr>
        <w:t>: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rsidRPr="007D6F37">
        <w:rPr>
          <w:rFonts w:ascii="Times" w:hAnsi="Times" w:cs="Times"/>
          <w:color w:val="000000"/>
        </w:rPr>
        <w:t>[35]: # "A. L. Goldberger et al., \"</w:t>
      </w:r>
      <w:proofErr w:type="spellStart"/>
      <w:r w:rsidRPr="007D6F37">
        <w:rPr>
          <w:rFonts w:ascii="Times" w:hAnsi="Times" w:cs="Times"/>
          <w:color w:val="000000"/>
        </w:rPr>
        <w:t>PhysioBank</w:t>
      </w:r>
      <w:proofErr w:type="spellEnd"/>
      <w:r w:rsidRPr="007D6F37">
        <w:rPr>
          <w:rFonts w:ascii="Times" w:hAnsi="Times" w:cs="Times"/>
          <w:color w:val="000000"/>
        </w:rPr>
        <w:t xml:space="preserve">, </w:t>
      </w:r>
      <w:proofErr w:type="spellStart"/>
      <w:r w:rsidRPr="007D6F37">
        <w:rPr>
          <w:rFonts w:ascii="Times" w:hAnsi="Times" w:cs="Times"/>
          <w:color w:val="000000"/>
        </w:rPr>
        <w:t>PhysioToolkit</w:t>
      </w:r>
      <w:proofErr w:type="spellEnd"/>
      <w:r w:rsidRPr="007D6F37">
        <w:rPr>
          <w:rFonts w:ascii="Times" w:hAnsi="Times" w:cs="Times"/>
          <w:color w:val="000000"/>
        </w:rPr>
        <w:t xml:space="preserve">, and PhysioNet: Components of a new research resource for complex physiologic </w:t>
      </w:r>
      <w:proofErr w:type="gramStart"/>
      <w:r w:rsidRPr="007D6F37">
        <w:rPr>
          <w:rFonts w:ascii="Times" w:hAnsi="Times" w:cs="Times"/>
          <w:color w:val="000000"/>
        </w:rPr>
        <w:t>signals,\</w:t>
      </w:r>
      <w:proofErr w:type="gramEnd"/>
      <w:r w:rsidRPr="007D6F37">
        <w:rPr>
          <w:rFonts w:ascii="Times" w:hAnsi="Times" w:cs="Times"/>
          <w:color w:val="000000"/>
        </w:rPr>
        <w:t xml:space="preserve">" Circulation, vol. 101, no. 23, pp. e215–e220, 2000, </w:t>
      </w:r>
      <w:proofErr w:type="spellStart"/>
      <w:r w:rsidRPr="007D6F37">
        <w:rPr>
          <w:rFonts w:ascii="Times" w:hAnsi="Times" w:cs="Times"/>
          <w:color w:val="000000"/>
        </w:rPr>
        <w:t>doi</w:t>
      </w:r>
      <w:proofErr w:type="spellEnd"/>
      <w:r w:rsidRPr="007D6F37">
        <w:rPr>
          <w:rFonts w:ascii="Times" w:hAnsi="Times" w:cs="Times"/>
          <w:color w:val="000000"/>
        </w:rPr>
        <w:t>: 10.1161/01.CIR.101.</w:t>
      </w:r>
      <w:proofErr w:type="gramStart"/>
      <w:r w:rsidRPr="007D6F37">
        <w:rPr>
          <w:rFonts w:ascii="Times" w:hAnsi="Times" w:cs="Times"/>
          <w:color w:val="000000"/>
        </w:rPr>
        <w:t>23.e</w:t>
      </w:r>
      <w:proofErr w:type="gramEnd"/>
      <w:r w:rsidRPr="007D6F37">
        <w:rPr>
          <w:rFonts w:ascii="Times" w:hAnsi="Times" w:cs="Times"/>
          <w:color w:val="000000"/>
        </w:rPr>
        <w:t>215."</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