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 Unicode MS" w:hAnsi="Arial Unicode MS" w:eastAsia="Arial Unicode MS"/>
          <w:b/>
          <w:color w:val="0B2545"/>
          <w:sz w:val="42"/>
        </w:rPr>
        <w:t>ALFWorld 中固定 Skill 路由的效果与推理成本</w:t>
      </w:r>
    </w:p>
    <w:p>
      <w:pPr>
        <w:spacing w:after="280"/>
      </w:pPr>
      <w:r>
        <w:rPr>
          <w:rFonts w:ascii="Arial Unicode MS" w:hAnsi="Arial Unicode MS" w:eastAsia="Arial Unicode MS"/>
          <w:color w:val="595959"/>
          <w:sz w:val="21"/>
        </w:rPr>
        <w:t>DeepSeek-v4-flash · 独立测试集30题 · 5个条件 · 3次重复 · 450 episodes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技术摘要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目标句路由修正后，固定 Skill 仍未显示稳定收益。All Skills 的原始成功率最高（98.89%），相对 No Skill 只高1.11个百分点；任务级配对重采样的95%置信区间为-3.33至6.67个百分点。No Skill 与 BM25 Body 均为97.78%，No Skill 的推理开销最低。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离线与在线 BM25 已统一使用目标句，30道任务的 Top-3 完全一致。主 Skill Hit@3 为86.7%，但检索命中没有转化为更短轨迹。主要问题更可能在 Skill 内容与执行，而不是查询构造。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关键词：LLM Agent；ALFWorld；Skill Retrieval；推理成本；负结果；失败分析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1. All Skills 原始成功率最高，No Skill 的效率最高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表1列出六项核心指标。成功率同时报告三次重复的样本标准差和按任务成组重采样的95%置信区间，避免把同题的90个 episode 当成独立样本。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/>
          <w:bottom w:val="single" w:sz="12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1250"/>
        <w:gridCol w:w="950"/>
        <w:gridCol w:w="1200"/>
        <w:gridCol w:w="1000"/>
        <w:gridCol w:w="850"/>
        <w:gridCol w:w="1000"/>
        <w:gridCol w:w="900"/>
        <w:gridCol w:w="2210"/>
      </w:tblGrid>
      <w:tr>
        <w:tc>
          <w:tcPr>
            <w:tcW w:type="dxa" w:w="125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4"/>
              </w:rPr>
              <w:t>方法</w:t>
            </w:r>
          </w:p>
        </w:tc>
        <w:tc>
          <w:tcPr>
            <w:tcW w:type="dxa" w:w="95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4"/>
              </w:rPr>
              <w:t>成功率</w:t>
              <w:br/>
              <w:t>均值±SD</w:t>
            </w:r>
          </w:p>
        </w:tc>
        <w:tc>
          <w:tcPr>
            <w:tcW w:type="dxa" w:w="12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4"/>
              </w:rPr>
              <w:t>95% CI</w:t>
            </w:r>
          </w:p>
        </w:tc>
        <w:tc>
          <w:tcPr>
            <w:tcW w:type="dxa" w:w="10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4"/>
              </w:rPr>
              <w:t>Input</w:t>
              <w:br/>
              <w:t>Tokens</w:t>
            </w:r>
          </w:p>
        </w:tc>
        <w:tc>
          <w:tcPr>
            <w:tcW w:type="dxa" w:w="85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4"/>
              </w:rPr>
              <w:t>Output</w:t>
              <w:br/>
              <w:t>Tokens</w:t>
            </w:r>
          </w:p>
        </w:tc>
        <w:tc>
          <w:tcPr>
            <w:tcW w:type="dxa" w:w="10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4"/>
              </w:rPr>
              <w:t>Total</w:t>
              <w:br/>
              <w:t>Tokens</w:t>
            </w:r>
          </w:p>
        </w:tc>
        <w:tc>
          <w:tcPr>
            <w:tcW w:type="dxa" w:w="9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4"/>
              </w:rPr>
              <w:t>延迟</w:t>
              <w:br/>
              <w:t>(s)</w:t>
            </w:r>
          </w:p>
        </w:tc>
        <w:tc>
          <w:tcPr>
            <w:tcW w:type="dxa" w:w="221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4"/>
              </w:rPr>
              <w:t>成本/成功</w:t>
              <w:br/>
              <w:t>(USD)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No Skill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97.78±1.92%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93.33–100.00%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27,547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1,065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28,612</w:t>
            </w:r>
          </w:p>
        </w:tc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16.67</w:t>
            </w:r>
          </w:p>
        </w:tc>
        <w:tc>
          <w:tcPr>
            <w:tcW w:type="dxa" w:w="22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$0.000599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Body-aware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94.44±1.92%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87.78–100.00%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46,404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1,314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47,718</w:t>
            </w:r>
          </w:p>
        </w:tc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20.66</w:t>
            </w:r>
          </w:p>
        </w:tc>
        <w:tc>
          <w:tcPr>
            <w:tcW w:type="dxa" w:w="22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$0.000830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BM25 Body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97.78±3.85%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94.44–100.00%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38,805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1,107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39,912</w:t>
            </w:r>
          </w:p>
        </w:tc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18.90</w:t>
            </w:r>
          </w:p>
        </w:tc>
        <w:tc>
          <w:tcPr>
            <w:tcW w:type="dxa" w:w="22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$0.000696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Oracle Skill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95.56±3.85%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88.89–100.00%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42,410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1,023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43,433</w:t>
            </w:r>
          </w:p>
        </w:tc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19.15</w:t>
            </w:r>
          </w:p>
        </w:tc>
        <w:tc>
          <w:tcPr>
            <w:tcW w:type="dxa" w:w="22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$0.000699</w:t>
            </w:r>
          </w:p>
        </w:tc>
      </w:tr>
      <w:tr>
        <w:tc>
          <w:tcPr>
            <w:tcW w:type="dxa" w:w="125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All Skills</w:t>
            </w:r>
          </w:p>
        </w:tc>
        <w:tc>
          <w:tcPr>
            <w:tcW w:type="dxa" w:w="9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98.89±1.92%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96.67–100.00%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94,035</w:t>
            </w:r>
          </w:p>
        </w:tc>
        <w:tc>
          <w:tcPr>
            <w:tcW w:type="dxa" w:w="85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1,243</w:t>
            </w:r>
          </w:p>
        </w:tc>
        <w:tc>
          <w:tcPr>
            <w:tcW w:type="dxa" w:w="10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95,278</w:t>
            </w:r>
          </w:p>
        </w:tc>
        <w:tc>
          <w:tcPr>
            <w:tcW w:type="dxa" w:w="9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23.23</w:t>
            </w:r>
          </w:p>
        </w:tc>
        <w:tc>
          <w:tcPr>
            <w:tcW w:type="dxa" w:w="221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4"/>
              </w:rPr>
              <w:t>$0.000941</w:t>
            </w:r>
          </w:p>
        </w:tc>
      </w:tr>
    </w:tbl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95959"/>
          <w:sz w:val="18"/>
        </w:rPr>
        <w:t>表1  独立测试集上的总体结果。每种条件90个 episode；CI按30个任务成组重采样20,000次。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相对 No Skill，BM25 Body 的成功率相同，但总 token 增加39.5%，单次成功成本增加16.4%。All Skills 高1.11个百分点，却增加233.0%的总 token、57.1%的单次成功成本和39.4%的延迟。该点估计不能证明这一次额外成功来自 Skill。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81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fworld_method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1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95959"/>
          <w:sz w:val="18"/>
        </w:rPr>
        <w:t>图1  五种条件的成功率、总 token、端到端延迟和单次成功成本。误差线为三次重复的样本标准差。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五组成功率都高于94%，成本差异却达到数倍。All Skills 的长上下文没有形成可证实的成功率优势；BM25 Body 也没有把更准确的选择转化为更短的轨迹。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473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fworld_quality_cost_fronti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73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95959"/>
          <w:sz w:val="18"/>
        </w:rPr>
        <w:t>图2  质量—成本关系。左上方向表示更高成功率和更低单次成功成本。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观测到的 Pareto 前沿包含 No Skill 与 All Skills：前者成本最低，后者原始成功率高1.11个百分点。由于配对置信区间覆盖0，All Skills 的质量增益尚不能和随机波动区分。BM25 Body、Body-aware 与 Oracle 均被 No Skill 支配。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2. 配对比较未发现 Skill 带来的成功率增益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每个条件使用相同任务和重复编号，因此比较采用任务级配对重采样。差值定义为 Skill 条件成功率减去 No Skill 成功率；负值表示 Skill 条件更差。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/>
          <w:bottom w:val="single" w:sz="12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2600"/>
        <w:gridCol w:w="1800"/>
        <w:gridCol w:w="2600"/>
        <w:gridCol w:w="2360"/>
      </w:tblGrid>
      <w:tr>
        <w:tc>
          <w:tcPr>
            <w:tcW w:type="dxa" w:w="26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对比条件</w:t>
            </w:r>
          </w:p>
        </w:tc>
        <w:tc>
          <w:tcPr>
            <w:tcW w:type="dxa" w:w="18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差值（百分点）</w:t>
            </w:r>
          </w:p>
        </w:tc>
        <w:tc>
          <w:tcPr>
            <w:tcW w:type="dxa" w:w="26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95% CI（百分点）</w:t>
            </w:r>
          </w:p>
        </w:tc>
        <w:tc>
          <w:tcPr>
            <w:tcW w:type="dxa" w:w="236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6"/>
              </w:rPr>
              <w:t>Bootstrap p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Body-aware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-3.33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-8.89–0.00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0.253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BM25 Body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0.00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-3.33–3.33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1.000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Oracle Skill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-2.22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-8.89–4.44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0.783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All Skills</w:t>
            </w:r>
          </w:p>
        </w:tc>
        <w:tc>
          <w:tcPr>
            <w:tcW w:type="dxa" w:w="18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1.11</w:t>
            </w:r>
          </w:p>
        </w:tc>
        <w:tc>
          <w:tcPr>
            <w:tcW w:type="dxa" w:w="26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-3.33–6.67</w:t>
            </w:r>
          </w:p>
        </w:tc>
        <w:tc>
          <w:tcPr>
            <w:tcW w:type="dxa" w:w="23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6"/>
              </w:rPr>
              <w:t>0.936</w:t>
            </w:r>
          </w:p>
        </w:tc>
      </w:tr>
    </w:tbl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95959"/>
          <w:sz w:val="18"/>
        </w:rPr>
        <w:t>表2  相对 No Skill 的任务级配对重采样结果。p值用于描述证据强度，不作多重比较校正。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四个区间都覆盖0。All Skills 的点估计为+1.11个百分点，BM25 Body 为0，Body-aware 与 Oracle 分别为-3.33和-2.22个百分点。现有样本不能支持任何 Skill 条件优于 No Skill。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3. 失败集中在双物体放置与加热任务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Clean、Cool、Light 和 Simple Place 在所有条件下均达到100%。Two objects 的区分度最高：All Skills 为100%，No Skill、BM25 Body 与 Oracle 为86.7%，Body-aware 为73.3%。Heat 类别中 All Skills 与 Body-aware 为93.3%，Oracle 为86.7%，No Skill 与 BM25 Body 为100%。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562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fworld_family_success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95959"/>
          <w:sz w:val="18"/>
        </w:rPr>
        <w:t>图3  各条件在六类任务上的成功率。每个单元包含5题×3次重复，共15个 episode。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这种集中性说明总体成功率已经接近天花板。当前任务集真正区分方法的是多物体状态跟踪，而不是大多数单物体任务。后续测试集应保留类别平衡，并单独报告 Two objects。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6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fworld_failure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95959"/>
          <w:sz w:val="18"/>
        </w:rPr>
        <w:t>图4  三次重复中出现失败的任务及条件。数字为失败 episode 数。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14次失败分布在任务036、051、053和074。按同题同次对照，10次属于 Skill 条件失败而 No Skill 成功，2次满足“检索漏掉主 Skill且 Oracle 成功”的严格路由错误定义，另有2次为 No Skill 的其他执行错误。该分类来自配对轨迹规则，不是人工因果标注。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12" w:color="000000"/>
          <w:bottom w:val="single" w:sz="12" w:color="000000"/>
          <w:left w:val="nil" w:sz="0" w:color="000000"/>
          <w:right w:val="nil" w:sz="0" w:color="000000"/>
          <w:insideH w:val="nil" w:sz="0" w:color="000000"/>
          <w:insideV w:val="nil" w:sz="0" w:color="000000"/>
        </w:tblBorders>
      </w:tblPr>
      <w:tblGrid>
        <w:gridCol w:w="3300"/>
        <w:gridCol w:w="1200"/>
        <w:gridCol w:w="4860"/>
      </w:tblGrid>
      <w:tr>
        <w:tc>
          <w:tcPr>
            <w:tcW w:type="dxa" w:w="33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失败类别</w:t>
            </w:r>
          </w:p>
        </w:tc>
        <w:tc>
          <w:tcPr>
            <w:tcW w:type="dxa" w:w="120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次数</w:t>
            </w:r>
          </w:p>
        </w:tc>
        <w:tc>
          <w:tcPr>
            <w:tcW w:type="dxa" w:w="4860"/>
            <w:vAlign w:val="center"/>
            <w:tcBorders>
              <w:bottom w:val="single" w:sz="8" w:color="000000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B2545"/>
                <w:sz w:val="17"/>
              </w:rPr>
              <w:t>占全部失败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严格路由错误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2</w:t>
            </w:r>
          </w:p>
        </w:tc>
        <w:tc>
          <w:tcPr>
            <w:tcW w:type="dxa" w:w="48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14.3%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其他执行错误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2</w:t>
            </w:r>
          </w:p>
        </w:tc>
        <w:tc>
          <w:tcPr>
            <w:tcW w:type="dxa" w:w="48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14.3%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Skill 条件干扰或执行偏移</w:t>
            </w:r>
          </w:p>
        </w:tc>
        <w:tc>
          <w:tcPr>
            <w:tcW w:type="dxa" w:w="120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10</w:t>
            </w:r>
          </w:p>
        </w:tc>
        <w:tc>
          <w:tcPr>
            <w:tcW w:type="dxa" w:w="4860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sz w:val="17"/>
              </w:rPr>
              <w:t>71.4%</w:t>
            </w:r>
          </w:p>
        </w:tc>
      </w:tr>
    </w:tbl>
    <w:p>
      <w:pPr>
        <w:spacing w:before="60" w:after="160"/>
        <w:jc w:val="center"/>
      </w:pPr>
      <w:r>
        <w:rPr>
          <w:rFonts w:ascii="Arial Unicode MS" w:hAnsi="Arial Unicode MS" w:eastAsia="Arial Unicode MS"/>
          <w:color w:val="595959"/>
          <w:sz w:val="18"/>
        </w:rPr>
        <w:t>表3  基于配对轨迹的互斥失败分类。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4. 查询一致性修复没有转化为任务收益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BM25 Body 在实际运行中命中主 Gold Skill 的任务为26/30，Hit@3为86.7%。命中时成功率为97.4%，未命中时为100.0%。二者有明显相关，但不能据此断言检索命中导致成功，因为任务难度同时影响命中和执行。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本轮离线与在线检索逐题核验后，Top-3 不一致数为0。BM25 Body 与 No Skill 成功率相同，却多使用39.5%的总 token。查询构造已经不是主要解释，后续分析应转向 Skill 是否提供了可执行、互不冲突且能减少搜索的程序性指导。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5. 实验范围与指标定义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实验使用 ALFWorld valid_unseen 中预先冻结的30道任务，六类任务各5道。五种条件使用同一 DeepSeek-v4-flash 模型、温度0、同一工具协议和50步上限，每题重复3次。成功仅由环境 won=true 判定，模型不参与评分。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sz w:val="21"/>
        </w:rPr>
        <w:t>Task Success Rate：成功 episode 数除以该条件总 episode 数。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sz w:val="21"/>
        </w:rPr>
        <w:t>Input Tokens：全部模型调用的输入 token；Output Tokens：模型生成 token；Total Tokens 为二者之和。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sz w:val="21"/>
        </w:rPr>
        <w:t>End-to-End Latency：从环境重置、路由、模型调用、工具交互到结束的总时间。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sz w:val="21"/>
        </w:rPr>
        <w:t>Cost per Successful Task：该条件全部 episode 的推理成本之和除以成功 episode 数。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成本按运行器中 DeepSeek-v4-flash 的缓存命中、缓存未命中和输出 token 单价计算。价格变化会改变绝对成本，但不会改变本次记录中的 token 数。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6. 限制与稳健性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sz w:val="21"/>
        </w:rPr>
        <w:t>测试集只有30道题。95%以上的总体成功率使方法差异只能由少数难题决定。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sz w:val="21"/>
        </w:rPr>
        <w:t>三次重复仍不足以估计很小的成功率差异；配对区间包含0，结果应写成负结果而非方法排名定论。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sz w:val="21"/>
        </w:rPr>
        <w:t>失败分类依赖同题同次对照和轨迹字段，只能识别与路由、Skill 条件或共同执行相关的模式，不能证明因果。</w:t>
      </w:r>
    </w:p>
    <w:p>
      <w:pPr>
        <w:pStyle w:val="ListBullet"/>
        <w:spacing w:after="80" w:line="264" w:lineRule="auto"/>
      </w:pPr>
      <w:r>
        <w:rPr>
          <w:rFonts w:ascii="Arial Unicode MS" w:hAnsi="Arial Unicode MS" w:eastAsia="Arial Unicode MS"/>
          <w:sz w:val="21"/>
        </w:rPr>
        <w:t>当前 v5 test 集已经用于正式分析，后续任何 Router 或 Skill 修改都不能继续用它调参。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7. 下一步：停止在 v5 测试集上调参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这套测试集已经完成正式评估，不能继续用于修改 Skill。当前结果应按负结果报告：目标句路由保证了离线与在线一致，但固定 Skill 没有产生可证实的成功率收益，并增加了推理成本。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若继续研究，应在开发集上重写双物体放置和加热 Skill，明确禁止搜索与目标无关的箱子、限制重复无效动作，并把搜索预算写入终止条件。完成修改后必须冻结新的未见任务集，或更换模型和环境进行外部复验。</w:t>
      </w:r>
    </w:p>
    <w:p>
      <w:pPr>
        <w:pStyle w:val="Heading1"/>
        <w:spacing w:before="260" w:after="160"/>
      </w:pPr>
      <w:r>
        <w:rPr>
          <w:rFonts w:ascii="Arial Unicode MS" w:hAnsi="Arial Unicode MS" w:eastAsia="Arial Unicode MS"/>
          <w:b/>
          <w:color w:val="2E74B5"/>
          <w:sz w:val="32"/>
        </w:rPr>
        <w:t>数据与复现信息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sz w:val="22"/>
        </w:rPr>
        <w:t>冻结运行：alfworld-v5-test-30x3；记录数：450；SHA-256：5af35e91fb510bbef295f5ba7ef1eab780742b02a8398f53547320f5b79c8b71。原始轨迹、统计表、失败摘要和绘图数据均保存在项目 results/formal_v5 目录。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595959"/>
        <w:sz w:val="17"/>
      </w:rPr>
      <w:t xml:space="preserve">alfworld-v5-test-30x3  |  </w:t>
    </w:r>
    <w:r>
      <w:rPr>
        <w:rFonts w:ascii="Arial Unicode MS" w:hAnsi="Arial Unicode MS" w:eastAsia="Arial Unicode MS"/>
        <w:color w:val="595959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595959"/>
        <w:sz w:val="17"/>
      </w:rPr>
      <w:t>ALFWorld 固定 Skill 路由实验 | 正式分析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