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2024-07-09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rPr>
          <w:rStyle w:val="NormalTok"/>
        </w:rPr>
        <w:t xml:space="preserve">min_samplesize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minimal number of quarters with data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packedcdf3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tocdf</w:t>
      </w:r>
      <w:r>
        <w:rPr>
          <w:rStyle w:val="NormalTok"/>
        </w:rPr>
        <w:t xml:space="preserve">(packedpdf3,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packedcdf3[packedmmd3[,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mmdtcdf[,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(rrs) </w:t>
      </w:r>
      <w:r>
        <w:rPr>
          <w:rStyle w:val="CommentTok"/>
        </w:rPr>
        <w:t xml:space="preserve"># rr is the weighting factor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"Clustering_map_old.png"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2024-07-09T17:02:23Z</dcterms:created>
  <dcterms:modified xsi:type="dcterms:W3CDTF">2024-07-09T17:02:23Z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