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2F329DE" w14:textId="1DB48C4E" w:rsidR="00034118" w:rsidRPr="00A96255" w:rsidRDefault="00034118" w:rsidP="002F5F0C">
      <w:pPr>
        <w:pStyle w:val="MGTHeader"/>
      </w:pPr>
      <w:r w:rsidRPr="00034118">
        <w:t>Goal 1: End poverty in all its forms everywhere</w:t>
      </w:r>
    </w:p>
    <w:p w14:paraId="084142D2" w14:textId="77777777" w:rsidR="00D24330" w:rsidRPr="00A96255" w:rsidRDefault="00D24330" w:rsidP="00D24330">
      <w:pPr>
        <w:pStyle w:val="MIndHeader"/>
      </w:pPr>
      <w:r w:rsidRPr="00A96255">
        <w:t>0.b. Target</w:t>
      </w:r>
    </w:p>
    <w:p w14:paraId="4D4E7F57" w14:textId="02FFB0EB" w:rsidR="00034118" w:rsidRPr="00A96255" w:rsidRDefault="00034118" w:rsidP="00D24330">
      <w:pPr>
        <w:pStyle w:val="MGTHeader"/>
      </w:pPr>
      <w:r w:rsidRPr="00034118">
        <w:t>Target: 1.2 By 2030, reduce at least by half the proportion of men, women and children of all ages living in poverty in all its dimensions according to national definitions</w:t>
      </w:r>
    </w:p>
    <w:p w14:paraId="3E67E7E0" w14:textId="77777777" w:rsidR="00D24330" w:rsidRPr="00A96255" w:rsidRDefault="00D24330" w:rsidP="00D24330">
      <w:pPr>
        <w:pStyle w:val="MIndHeader"/>
      </w:pPr>
      <w:r w:rsidRPr="00A96255">
        <w:t>0.c. Indicator</w:t>
      </w:r>
    </w:p>
    <w:p w14:paraId="0F2B4CA0" w14:textId="29258A8F" w:rsidR="00034118" w:rsidRPr="00A96255" w:rsidRDefault="00034118" w:rsidP="00D24330">
      <w:pPr>
        <w:pStyle w:val="MGTHeader"/>
      </w:pPr>
      <w:r w:rsidRPr="00034118">
        <w:t>Indicator 1.2.1: Proportion of population living below the national poverty line, by sex and age</w:t>
      </w:r>
    </w:p>
    <w:p w14:paraId="37E5E4F6" w14:textId="77777777" w:rsidR="00D24330" w:rsidRPr="00A96255" w:rsidRDefault="00D24330" w:rsidP="00D24330">
      <w:pPr>
        <w:pStyle w:val="MIndHeader"/>
      </w:pPr>
      <w:r w:rsidRPr="00A96255">
        <w:t>0.d. Series</w:t>
      </w:r>
    </w:p>
    <w:p w14:paraId="771888BA" w14:textId="44DDB874"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7E9CD05" w14:textId="7869053A" w:rsidR="00034118" w:rsidRPr="00A96255" w:rsidRDefault="00345D2B" w:rsidP="00D24330">
      <w:pPr>
        <w:pStyle w:val="MGTHeader"/>
      </w:pPr>
      <w:r>
        <w:t>August 2021</w:t>
      </w:r>
    </w:p>
    <w:p w14:paraId="415C9FF1" w14:textId="77777777" w:rsidR="00D24330" w:rsidRPr="00A96255" w:rsidRDefault="00D24330" w:rsidP="00D24330">
      <w:pPr>
        <w:pStyle w:val="MIndHeader"/>
      </w:pPr>
      <w:r w:rsidRPr="00A96255">
        <w:t>0.f. Related indicators</w:t>
      </w:r>
    </w:p>
    <w:p w14:paraId="00DFCC84" w14:textId="0A6A7684" w:rsidR="00B43F0B" w:rsidRPr="00A96255" w:rsidRDefault="00B43F0B" w:rsidP="00D24330">
      <w:pPr>
        <w:pStyle w:val="MGTHeader"/>
      </w:pPr>
      <w:r w:rsidRPr="00B43F0B">
        <w:t>Indicator 1.1.1: Proportion of population below the international poverty line, by sex, age, employment status and geographical location (urban/rural)</w:t>
      </w:r>
    </w:p>
    <w:p w14:paraId="077BC49E" w14:textId="77777777" w:rsidR="00D24330" w:rsidRPr="00A96255" w:rsidRDefault="00D24330" w:rsidP="00D24330">
      <w:pPr>
        <w:pStyle w:val="MIndHeader"/>
      </w:pPr>
      <w:r w:rsidRPr="00A96255">
        <w:t>0.g. International organisations(s) responsible for global monitoring</w:t>
      </w:r>
    </w:p>
    <w:p w14:paraId="48976618" w14:textId="19E59645" w:rsidR="00034118" w:rsidRPr="00A96255" w:rsidRDefault="00034118" w:rsidP="00D24330">
      <w:pPr>
        <w:pStyle w:val="MGTHeader"/>
        <w:rPr>
          <w:color w:val="4A4A4A"/>
        </w:rPr>
      </w:pPr>
      <w:r w:rsidRPr="00034118">
        <w:t>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0D8202F1" w:rsidR="00F719A8" w:rsidRDefault="00034118" w:rsidP="00576CFA">
      <w:pPr>
        <w:pStyle w:val="MText"/>
      </w:pPr>
      <w:r w:rsidRPr="00034118">
        <w:t>World Bank</w:t>
      </w:r>
    </w:p>
    <w:p w14:paraId="4FB77FDD" w14:textId="77777777" w:rsidR="00034118" w:rsidRDefault="0003411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C55A70D" w14:textId="77777777" w:rsidR="00B43F0B" w:rsidRPr="00573631" w:rsidRDefault="00B43F0B" w:rsidP="00B43F0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2CF69C81" w14:textId="77777777" w:rsidR="00B43F0B" w:rsidRPr="00C20434" w:rsidRDefault="00B43F0B" w:rsidP="00B43F0B">
      <w:pPr>
        <w:shd w:val="clear" w:color="auto" w:fill="FFFFFF"/>
        <w:spacing w:after="0"/>
        <w:jc w:val="both"/>
        <w:rPr>
          <w:rFonts w:eastAsia="Times New Roman" w:cs="Times New Roman"/>
          <w:color w:val="4A4A4A"/>
          <w:sz w:val="21"/>
          <w:szCs w:val="21"/>
          <w:lang w:eastAsia="en-GB"/>
        </w:rPr>
      </w:pPr>
      <w:r w:rsidRPr="00C20434">
        <w:rPr>
          <w:rFonts w:eastAsia="Times New Roman" w:cs="Times New Roman"/>
          <w:color w:val="4A4A4A"/>
          <w:sz w:val="21"/>
          <w:szCs w:val="21"/>
          <w:lang w:eastAsia="en-GB"/>
        </w:rPr>
        <w:t xml:space="preserve">The national poverty rate is the percentage of the total population living below the national poverty line. The rural poverty rate is the percentage of the rural population living below the national poverty line (or in cases where a separate, rural poverty line is used, the rural poverty line). Urban poverty rate is the percentage of the urban population living below the national poverty line (or in cases where a separate, urban poverty line is used, the urban poverty line). </w:t>
      </w:r>
    </w:p>
    <w:p w14:paraId="0BDEC13B" w14:textId="77777777" w:rsidR="00B43F0B" w:rsidRDefault="00B43F0B" w:rsidP="00B43F0B">
      <w:pPr>
        <w:shd w:val="clear" w:color="auto" w:fill="FFFFFF"/>
        <w:spacing w:after="0"/>
        <w:jc w:val="both"/>
        <w:rPr>
          <w:rFonts w:eastAsia="Times New Roman" w:cs="Times New Roman"/>
          <w:b/>
          <w:bCs/>
          <w:color w:val="4A4A4A"/>
          <w:sz w:val="21"/>
          <w:szCs w:val="21"/>
          <w:lang w:eastAsia="en-GB"/>
        </w:rPr>
      </w:pPr>
    </w:p>
    <w:p w14:paraId="7BA7A908" w14:textId="77777777" w:rsidR="00B43F0B" w:rsidRPr="00573631" w:rsidRDefault="00B43F0B" w:rsidP="00B43F0B">
      <w:pPr>
        <w:shd w:val="clear" w:color="auto" w:fill="FFFFFF"/>
        <w:spacing w:after="0"/>
        <w:jc w:val="both"/>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153B09C3" w14:textId="24162B59" w:rsidR="00D51E7C" w:rsidRPr="00B43F0B" w:rsidRDefault="00B43F0B" w:rsidP="00B43F0B">
      <w:pPr>
        <w:shd w:val="clear" w:color="auto" w:fill="FFFFFF"/>
        <w:spacing w:after="0"/>
        <w:jc w:val="both"/>
        <w:rPr>
          <w:rFonts w:eastAsia="Times New Roman" w:cs="Times New Roman"/>
          <w:color w:val="4A4A4A"/>
          <w:sz w:val="21"/>
          <w:szCs w:val="21"/>
          <w:lang w:eastAsia="en-GB"/>
        </w:rPr>
      </w:pPr>
      <w:r w:rsidRPr="00C20434">
        <w:rPr>
          <w:rFonts w:eastAsia="Times New Roman" w:cs="Times New Roman"/>
          <w:color w:val="4A4A4A"/>
          <w:sz w:val="21"/>
          <w:szCs w:val="21"/>
          <w:lang w:eastAsia="en-GB"/>
        </w:rPr>
        <w:t xml:space="preserve">In assessing poverty </w:t>
      </w:r>
      <w:proofErr w:type="gramStart"/>
      <w:r w:rsidRPr="00C20434">
        <w:rPr>
          <w:rFonts w:eastAsia="Times New Roman" w:cs="Times New Roman"/>
          <w:color w:val="4A4A4A"/>
          <w:sz w:val="21"/>
          <w:szCs w:val="21"/>
          <w:lang w:eastAsia="en-GB"/>
        </w:rPr>
        <w:t>in a given</w:t>
      </w:r>
      <w:proofErr w:type="gramEnd"/>
      <w:r w:rsidRPr="00C20434">
        <w:rPr>
          <w:rFonts w:eastAsia="Times New Roman" w:cs="Times New Roman"/>
          <w:color w:val="4A4A4A"/>
          <w:sz w:val="21"/>
          <w:szCs w:val="21"/>
          <w:lang w:eastAsia="en-GB"/>
        </w:rPr>
        <w:t xml:space="preserve"> country, and how best to reduce poverty</w:t>
      </w:r>
      <w:r>
        <w:rPr>
          <w:rFonts w:eastAsia="Times New Roman" w:cs="Times New Roman"/>
          <w:color w:val="4A4A4A"/>
          <w:sz w:val="21"/>
          <w:szCs w:val="21"/>
          <w:lang w:eastAsia="en-GB"/>
        </w:rPr>
        <w:t xml:space="preserve"> according to national definitions</w:t>
      </w:r>
      <w:r w:rsidRPr="00C20434">
        <w:rPr>
          <w:rFonts w:eastAsia="Times New Roman" w:cs="Times New Roman"/>
          <w:color w:val="4A4A4A"/>
          <w:sz w:val="21"/>
          <w:szCs w:val="21"/>
          <w:lang w:eastAsia="en-GB"/>
        </w:rPr>
        <w:t>, one naturally focuses on a poverty line that is considered appropriate for that country. Poverty lines across countries vary in terms of their purchasing power, and they have a strong economic gradient, such that richer countries tend to adopt higher standards of living in defining poverty.</w:t>
      </w:r>
      <w:r>
        <w:rPr>
          <w:rFonts w:eastAsia="Times New Roman" w:cs="Times New Roman"/>
          <w:color w:val="4A4A4A"/>
          <w:sz w:val="21"/>
          <w:szCs w:val="21"/>
          <w:lang w:eastAsia="en-GB"/>
        </w:rPr>
        <w:t xml:space="preserve"> Within a country, </w:t>
      </w:r>
      <w:r w:rsidRPr="003D4F85">
        <w:rPr>
          <w:rFonts w:eastAsia="Times New Roman" w:cs="Times New Roman"/>
          <w:color w:val="4A4A4A"/>
          <w:sz w:val="21"/>
          <w:szCs w:val="21"/>
          <w:lang w:eastAsia="en-GB"/>
        </w:rPr>
        <w:t xml:space="preserve">the cost of </w:t>
      </w:r>
      <w:r w:rsidRPr="003D4F85">
        <w:rPr>
          <w:rFonts w:eastAsia="Times New Roman" w:cs="Times New Roman"/>
          <w:color w:val="4A4A4A"/>
          <w:sz w:val="21"/>
          <w:szCs w:val="21"/>
          <w:lang w:eastAsia="en-GB"/>
        </w:rPr>
        <w:lastRenderedPageBreak/>
        <w:t xml:space="preserve">living is typically higher in urban </w:t>
      </w:r>
      <w:r>
        <w:rPr>
          <w:rFonts w:eastAsia="Times New Roman" w:cs="Times New Roman"/>
          <w:color w:val="4A4A4A"/>
          <w:sz w:val="21"/>
          <w:szCs w:val="21"/>
          <w:lang w:eastAsia="en-GB"/>
        </w:rPr>
        <w:t xml:space="preserve">areas </w:t>
      </w:r>
      <w:r w:rsidRPr="003D4F85">
        <w:rPr>
          <w:rFonts w:eastAsia="Times New Roman" w:cs="Times New Roman"/>
          <w:color w:val="4A4A4A"/>
          <w:sz w:val="21"/>
          <w:szCs w:val="21"/>
          <w:lang w:eastAsia="en-GB"/>
        </w:rPr>
        <w:t>than in rural areas.</w:t>
      </w:r>
      <w:r>
        <w:rPr>
          <w:rFonts w:eastAsia="Times New Roman" w:cs="Times New Roman"/>
          <w:color w:val="4A4A4A"/>
          <w:sz w:val="21"/>
          <w:szCs w:val="21"/>
          <w:lang w:eastAsia="en-GB"/>
        </w:rPr>
        <w:t xml:space="preserve"> Some countries may have separate </w:t>
      </w:r>
      <w:r w:rsidRPr="003D4F85">
        <w:rPr>
          <w:rFonts w:eastAsia="Times New Roman" w:cs="Times New Roman"/>
          <w:color w:val="4A4A4A"/>
          <w:sz w:val="21"/>
          <w:szCs w:val="21"/>
          <w:lang w:eastAsia="en-GB"/>
        </w:rPr>
        <w:t xml:space="preserve">urban and rural poverty lines </w:t>
      </w:r>
      <w:r>
        <w:rPr>
          <w:rFonts w:eastAsia="Times New Roman" w:cs="Times New Roman"/>
          <w:color w:val="4A4A4A"/>
          <w:sz w:val="21"/>
          <w:szCs w:val="21"/>
          <w:lang w:eastAsia="en-GB"/>
        </w:rPr>
        <w:t xml:space="preserve">to </w:t>
      </w:r>
      <w:r w:rsidRPr="003D4F85">
        <w:rPr>
          <w:rFonts w:eastAsia="Times New Roman" w:cs="Times New Roman"/>
          <w:color w:val="4A4A4A"/>
          <w:sz w:val="21"/>
          <w:szCs w:val="21"/>
          <w:lang w:eastAsia="en-GB"/>
        </w:rPr>
        <w:t xml:space="preserve">represent different purchasing powers.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7F32C080" w:rsidR="00576CFA" w:rsidRPr="00F978AF" w:rsidRDefault="668793E6" w:rsidP="0E15B102">
      <w:pPr>
        <w:pStyle w:val="MText"/>
      </w:pPr>
      <w:r w:rsidRPr="00F978AF">
        <w:t>The unit of measures is the proportion of the population.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40B30909" w:rsidR="00F719A8" w:rsidRPr="00F978AF" w:rsidRDefault="247FE152" w:rsidP="0E15B102">
      <w:pPr>
        <w:pStyle w:val="MText"/>
      </w:pPr>
      <w:r w:rsidRPr="00F978AF">
        <w:t>Not relevant.</w:t>
      </w:r>
    </w:p>
    <w:p w14:paraId="142F3B91" w14:textId="14141143" w:rsidR="0E15B102" w:rsidRDefault="0E15B102" w:rsidP="0E15B102">
      <w:pPr>
        <w:pStyle w:val="MText"/>
        <w:rPr>
          <w:rFonts w:ascii="Calibri" w:hAnsi="Calibri"/>
          <w:highlight w:val="yellow"/>
        </w:rPr>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ABFC42F" w14:textId="639D7FA8" w:rsidR="00B43F0B" w:rsidRDefault="00B43F0B" w:rsidP="00345D2B">
      <w:pPr>
        <w:pStyle w:val="NormalWeb"/>
        <w:spacing w:before="0" w:beforeAutospacing="0" w:after="0" w:afterAutospacing="0"/>
        <w:jc w:val="both"/>
        <w:rPr>
          <w:rFonts w:asciiTheme="minorHAnsi" w:hAnsiTheme="minorHAnsi"/>
          <w:color w:val="4A4A4A"/>
          <w:sz w:val="21"/>
          <w:szCs w:val="21"/>
          <w:lang w:val="en-GB" w:eastAsia="en-GB"/>
        </w:rPr>
      </w:pPr>
      <w:r w:rsidRPr="00AA67A7">
        <w:rPr>
          <w:rFonts w:asciiTheme="minorHAnsi" w:hAnsiTheme="minorHAnsi"/>
          <w:color w:val="4A4A4A"/>
          <w:sz w:val="21"/>
          <w:szCs w:val="21"/>
          <w:lang w:val="en-GB" w:eastAsia="en-GB"/>
        </w:rPr>
        <w:t>National poverty estimates are typically produced and owned by country governments (e.g., National Statistic Office), and sometimes with technical assistance from the World Bank and UNDP. Upon release of the national poverty estimates by the government, the Global Poverty Working Group of the World Bank assess</w:t>
      </w:r>
      <w:r>
        <w:rPr>
          <w:rFonts w:asciiTheme="minorHAnsi" w:hAnsiTheme="minorHAnsi"/>
          <w:color w:val="4A4A4A"/>
          <w:sz w:val="21"/>
          <w:szCs w:val="21"/>
          <w:lang w:val="en-GB" w:eastAsia="en-GB"/>
        </w:rPr>
        <w:t>es</w:t>
      </w:r>
      <w:r w:rsidRPr="00AA67A7">
        <w:rPr>
          <w:rFonts w:asciiTheme="minorHAnsi" w:hAnsiTheme="minorHAnsi"/>
          <w:color w:val="4A4A4A"/>
          <w:sz w:val="21"/>
          <w:szCs w:val="21"/>
          <w:lang w:val="en-GB" w:eastAsia="en-GB"/>
        </w:rPr>
        <w:t xml:space="preserve"> the methodology used by the government, validate</w:t>
      </w:r>
      <w:r>
        <w:rPr>
          <w:rFonts w:asciiTheme="minorHAnsi" w:hAnsiTheme="minorHAnsi"/>
          <w:color w:val="4A4A4A"/>
          <w:sz w:val="21"/>
          <w:szCs w:val="21"/>
          <w:lang w:val="en-GB" w:eastAsia="en-GB"/>
        </w:rPr>
        <w:t>s</w:t>
      </w:r>
      <w:r w:rsidRPr="00AA67A7">
        <w:rPr>
          <w:rFonts w:asciiTheme="minorHAnsi" w:hAnsiTheme="minorHAnsi"/>
          <w:color w:val="4A4A4A"/>
          <w:sz w:val="21"/>
          <w:szCs w:val="21"/>
          <w:lang w:val="en-GB" w:eastAsia="en-GB"/>
        </w:rPr>
        <w:t xml:space="preserve"> the estimates with raw data whenever possible, and consult</w:t>
      </w:r>
      <w:r>
        <w:rPr>
          <w:rFonts w:asciiTheme="minorHAnsi" w:hAnsiTheme="minorHAnsi"/>
          <w:color w:val="4A4A4A"/>
          <w:sz w:val="21"/>
          <w:szCs w:val="21"/>
          <w:lang w:val="en-GB" w:eastAsia="en-GB"/>
        </w:rPr>
        <w:t>s</w:t>
      </w:r>
      <w:r w:rsidRPr="00AA67A7">
        <w:rPr>
          <w:rFonts w:asciiTheme="minorHAnsi" w:hAnsiTheme="minorHAnsi"/>
          <w:color w:val="4A4A4A"/>
          <w:sz w:val="21"/>
          <w:szCs w:val="21"/>
          <w:lang w:val="en-GB" w:eastAsia="en-GB"/>
        </w:rPr>
        <w:t xml:space="preserve"> the country economists for publishing. Accepted estimates</w:t>
      </w:r>
      <w:r>
        <w:rPr>
          <w:rFonts w:asciiTheme="minorHAnsi" w:hAnsiTheme="minorHAnsi"/>
          <w:color w:val="4A4A4A"/>
          <w:sz w:val="21"/>
          <w:szCs w:val="21"/>
          <w:lang w:val="en-GB" w:eastAsia="en-GB"/>
        </w:rPr>
        <w:t>,</w:t>
      </w:r>
      <w:r w:rsidRPr="00AA67A7">
        <w:rPr>
          <w:rFonts w:asciiTheme="minorHAnsi" w:hAnsiTheme="minorHAnsi"/>
          <w:color w:val="4A4A4A"/>
          <w:sz w:val="21"/>
          <w:szCs w:val="21"/>
          <w:lang w:val="en-GB" w:eastAsia="en-GB"/>
        </w:rPr>
        <w:t xml:space="preserve"> along with metadata</w:t>
      </w:r>
      <w:r>
        <w:rPr>
          <w:rFonts w:asciiTheme="minorHAnsi" w:hAnsiTheme="minorHAnsi"/>
          <w:color w:val="4A4A4A"/>
          <w:sz w:val="21"/>
          <w:szCs w:val="21"/>
          <w:lang w:val="en-GB" w:eastAsia="en-GB"/>
        </w:rPr>
        <w:t>,</w:t>
      </w:r>
      <w:r w:rsidRPr="00AA67A7">
        <w:rPr>
          <w:rFonts w:asciiTheme="minorHAnsi" w:hAnsiTheme="minorHAnsi"/>
          <w:color w:val="4A4A4A"/>
          <w:sz w:val="21"/>
          <w:szCs w:val="21"/>
          <w:lang w:val="en-GB" w:eastAsia="en-GB"/>
        </w:rPr>
        <w:t xml:space="preserve"> will be published in the WDI database as well as the Poverty and Equity Database of the World Bank. </w:t>
      </w:r>
    </w:p>
    <w:p w14:paraId="2C373B7B" w14:textId="77777777" w:rsidR="00345D2B" w:rsidRPr="00AA67A7" w:rsidRDefault="00345D2B" w:rsidP="00F978AF">
      <w:pPr>
        <w:pStyle w:val="NormalWeb"/>
        <w:spacing w:before="0" w:beforeAutospacing="0" w:after="0" w:afterAutospacing="0"/>
        <w:jc w:val="both"/>
        <w:rPr>
          <w:rFonts w:asciiTheme="minorHAnsi" w:hAnsiTheme="minorHAnsi"/>
          <w:color w:val="4A4A4A"/>
          <w:sz w:val="21"/>
          <w:szCs w:val="21"/>
          <w:lang w:val="en-GB" w:eastAsia="en-GB"/>
        </w:rPr>
      </w:pPr>
    </w:p>
    <w:p w14:paraId="3018A8D8" w14:textId="1A124446" w:rsidR="00EC2915" w:rsidRDefault="00B43F0B" w:rsidP="00345D2B">
      <w:pPr>
        <w:pStyle w:val="NormalWeb"/>
        <w:spacing w:before="0" w:beforeAutospacing="0" w:after="0" w:afterAutospacing="0"/>
        <w:jc w:val="both"/>
        <w:rPr>
          <w:rFonts w:asciiTheme="minorHAnsi" w:hAnsiTheme="minorHAnsi"/>
          <w:color w:val="4A4A4A"/>
          <w:sz w:val="21"/>
          <w:szCs w:val="21"/>
          <w:lang w:val="en-GB" w:eastAsia="en-GB"/>
        </w:rPr>
      </w:pPr>
      <w:r w:rsidRPr="0E15B102">
        <w:rPr>
          <w:rFonts w:asciiTheme="minorHAnsi" w:hAnsiTheme="minorHAnsi"/>
          <w:color w:val="4A4A4A"/>
          <w:sz w:val="21"/>
          <w:szCs w:val="21"/>
          <w:lang w:val="en-GB" w:eastAsia="en-GB"/>
        </w:rPr>
        <w:t xml:space="preserve">Another source is World Bank’s Poverty Assessments. The World Bank periodically prepares poverty assessments of countries in which it has an active program, in close collaboration with national institutions, other development agencies, and civil society groups, including poor people’s organizations. Poverty assessments report the extent and causes of poverty and propose strategies to reduce it. The poverty assessments are the best available source of information on poverty estimates using national poverty lines. They often include separate assessments of urban and rural poverty. </w:t>
      </w:r>
    </w:p>
    <w:p w14:paraId="49D1E49B" w14:textId="77777777" w:rsidR="00345D2B" w:rsidRPr="00C16F93" w:rsidRDefault="00345D2B" w:rsidP="00F978AF">
      <w:pPr>
        <w:pStyle w:val="NormalWeb"/>
        <w:spacing w:before="0" w:beforeAutospacing="0" w:after="0" w:afterAutospacing="0"/>
        <w:jc w:val="both"/>
        <w:rPr>
          <w:rFonts w:asciiTheme="minorHAnsi" w:hAnsiTheme="minorHAnsi"/>
          <w:color w:val="4A4A4A"/>
          <w:sz w:val="21"/>
          <w:szCs w:val="21"/>
          <w:lang w:val="en-GB" w:eastAsia="en-GB"/>
        </w:rPr>
      </w:pPr>
    </w:p>
    <w:p w14:paraId="79368080" w14:textId="32CB9C2E" w:rsidR="008B0AC7" w:rsidRPr="00A96255" w:rsidRDefault="00576CFA" w:rsidP="00F719A8">
      <w:pPr>
        <w:pStyle w:val="MHeader2"/>
      </w:pPr>
      <w:r w:rsidRPr="00A96255">
        <w:t>3.b</w:t>
      </w:r>
      <w:r w:rsidR="008B0AC7" w:rsidRPr="00A96255">
        <w:t>. Data collection method</w:t>
      </w:r>
    </w:p>
    <w:p w14:paraId="7D399B47" w14:textId="092D125F" w:rsidR="00B43F0B" w:rsidRPr="00573631" w:rsidRDefault="00B43F0B" w:rsidP="0E15B102">
      <w:pPr>
        <w:shd w:val="clear" w:color="auto" w:fill="FFFFFF" w:themeFill="background1"/>
        <w:spacing w:after="0"/>
        <w:jc w:val="both"/>
        <w:rPr>
          <w:rFonts w:eastAsia="Times New Roman" w:cs="Times New Roman"/>
          <w:color w:val="4A4A4A"/>
          <w:sz w:val="21"/>
          <w:szCs w:val="21"/>
          <w:lang w:eastAsia="en-GB"/>
        </w:rPr>
      </w:pPr>
      <w:r w:rsidRPr="000D3158">
        <w:rPr>
          <w:rFonts w:eastAsia="Times New Roman" w:cs="Times New Roman"/>
          <w:color w:val="4A4A4A"/>
          <w:sz w:val="21"/>
          <w:szCs w:val="21"/>
          <w:lang w:eastAsia="en-GB"/>
        </w:rPr>
        <w:t>Source collection is ongoing by the Global Poverty Worki</w:t>
      </w:r>
      <w:r>
        <w:rPr>
          <w:rFonts w:eastAsia="Times New Roman" w:cs="Times New Roman"/>
          <w:color w:val="4A4A4A"/>
          <w:sz w:val="21"/>
          <w:szCs w:val="21"/>
          <w:lang w:eastAsia="en-GB"/>
        </w:rPr>
        <w:t xml:space="preserve">ng Group of the World Bank.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F619DF9" w14:textId="77777777" w:rsidR="00B43F0B" w:rsidRDefault="00B43F0B" w:rsidP="00B43F0B">
      <w:pPr>
        <w:shd w:val="clear" w:color="auto" w:fill="FFFFFF"/>
        <w:tabs>
          <w:tab w:val="left" w:pos="1320"/>
        </w:tabs>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schedule of source collection is determined by the country governments. Some are annual, and most others are less frequent.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71E70187" w14:textId="21267E56" w:rsidR="00B43F0B" w:rsidRDefault="6324C683" w:rsidP="0E15B102">
      <w:pPr>
        <w:shd w:val="clear" w:color="auto" w:fill="FFFFFF" w:themeFill="background1"/>
        <w:spacing w:after="0"/>
        <w:rPr>
          <w:rFonts w:eastAsia="Times New Roman" w:cs="Times New Roman"/>
          <w:color w:val="4A4A4A"/>
          <w:sz w:val="21"/>
          <w:szCs w:val="21"/>
          <w:lang w:eastAsia="en-GB"/>
        </w:rPr>
      </w:pPr>
      <w:r w:rsidRPr="0E15B102">
        <w:rPr>
          <w:rFonts w:eastAsia="Times New Roman" w:cs="Times New Roman"/>
          <w:color w:val="4A4A4A"/>
          <w:sz w:val="21"/>
          <w:szCs w:val="21"/>
          <w:lang w:eastAsia="en-GB"/>
        </w:rPr>
        <w:t>The data are published in the World Development Indicators (WDI) and are updated every April and October.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79C2C791" w14:textId="77777777" w:rsidR="00B43F0B" w:rsidRDefault="00B43F0B" w:rsidP="00B43F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0FC37E54" w14:textId="77777777" w:rsidR="00B43F0B" w:rsidRDefault="00B43F0B" w:rsidP="00B43F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 – Global Poverty Working Group</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3.g. Institutional mandate</w:t>
      </w:r>
    </w:p>
    <w:p w14:paraId="3D063F4C" w14:textId="4B6C59E3" w:rsidR="00F719A8" w:rsidRDefault="00F719A8" w:rsidP="00576CFA">
      <w:pPr>
        <w:pStyle w:val="MText"/>
      </w:pPr>
    </w:p>
    <w:p w14:paraId="16C1419E" w14:textId="77777777" w:rsidR="00C55F99" w:rsidRPr="00A96255" w:rsidRDefault="00C55F99"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7DB0E67" w14:textId="77777777" w:rsidR="00B43F0B" w:rsidRPr="003D4F85" w:rsidRDefault="00B43F0B" w:rsidP="00B43F0B">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Monitoring national poverty is important for country-specific development agendas. </w:t>
      </w:r>
      <w:r w:rsidRPr="003D4F85">
        <w:rPr>
          <w:rFonts w:eastAsia="Times New Roman" w:cs="Times New Roman"/>
          <w:color w:val="4A4A4A"/>
          <w:sz w:val="21"/>
          <w:szCs w:val="21"/>
          <w:lang w:eastAsia="en-GB"/>
        </w:rPr>
        <w:t xml:space="preserve">National poverty lines are used to make more accurate estimates of poverty consistent with the country’s specific economic and social </w:t>
      </w:r>
      <w:proofErr w:type="gramStart"/>
      <w:r w:rsidRPr="003D4F85">
        <w:rPr>
          <w:rFonts w:eastAsia="Times New Roman" w:cs="Times New Roman"/>
          <w:color w:val="4A4A4A"/>
          <w:sz w:val="21"/>
          <w:szCs w:val="21"/>
          <w:lang w:eastAsia="en-GB"/>
        </w:rPr>
        <w:t>circumstances, and</w:t>
      </w:r>
      <w:proofErr w:type="gramEnd"/>
      <w:r w:rsidRPr="003D4F85">
        <w:rPr>
          <w:rFonts w:eastAsia="Times New Roman" w:cs="Times New Roman"/>
          <w:color w:val="4A4A4A"/>
          <w:sz w:val="21"/>
          <w:szCs w:val="21"/>
          <w:lang w:eastAsia="en-GB"/>
        </w:rPr>
        <w:t xml:space="preserve"> are not intended for international comparisons of poverty rates.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9F920E4" w14:textId="77777777" w:rsidR="00B43F0B" w:rsidRPr="00D7317F" w:rsidRDefault="00B43F0B" w:rsidP="00B43F0B">
      <w:pPr>
        <w:shd w:val="clear" w:color="auto" w:fill="FFFFFF"/>
        <w:spacing w:after="0"/>
        <w:jc w:val="both"/>
        <w:rPr>
          <w:rFonts w:eastAsia="Times New Roman" w:cs="Times New Roman"/>
          <w:color w:val="4A4A4A"/>
          <w:sz w:val="21"/>
          <w:szCs w:val="21"/>
          <w:lang w:eastAsia="en-GB"/>
        </w:rPr>
      </w:pPr>
      <w:r w:rsidRPr="00D7317F">
        <w:rPr>
          <w:rFonts w:eastAsia="Times New Roman" w:cs="Times New Roman"/>
          <w:color w:val="4A4A4A"/>
          <w:sz w:val="21"/>
          <w:szCs w:val="21"/>
          <w:lang w:eastAsia="en-GB"/>
        </w:rPr>
        <w:t xml:space="preserve">National poverty estimates are derived from household survey data. Caveats and limitations inherent to survey data applying to the construction of indicator 1.1.1 apply here as well.  </w:t>
      </w:r>
    </w:p>
    <w:p w14:paraId="456FC244" w14:textId="77777777" w:rsidR="00B43F0B" w:rsidRDefault="00B43F0B" w:rsidP="00B43F0B">
      <w:pPr>
        <w:shd w:val="clear" w:color="auto" w:fill="FFFFFF"/>
        <w:spacing w:after="0"/>
        <w:jc w:val="both"/>
        <w:rPr>
          <w:rFonts w:eastAsia="Times New Roman" w:cs="Times New Roman"/>
          <w:color w:val="4A4A4A"/>
          <w:sz w:val="21"/>
          <w:szCs w:val="21"/>
          <w:lang w:eastAsia="en-GB"/>
        </w:rPr>
      </w:pPr>
    </w:p>
    <w:p w14:paraId="6B7C72B5" w14:textId="77777777" w:rsidR="00B43F0B" w:rsidRPr="00D7317F" w:rsidRDefault="00B43F0B" w:rsidP="00B43F0B">
      <w:pPr>
        <w:shd w:val="clear" w:color="auto" w:fill="FFFFFF"/>
        <w:spacing w:after="0"/>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To be useful for poverty estimates, surveys must be nationally representative. They must also include enough information to compute a comprehensive estimate of total household consumption or income (including consumption or income from own production) and to construct a correctly weighted distribution of consumption or income per person.</w:t>
      </w:r>
    </w:p>
    <w:p w14:paraId="204978F3"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 xml:space="preserve">Consumption is the preferred welfare indicator for </w:t>
      </w:r>
      <w:proofErr w:type="gramStart"/>
      <w:r w:rsidRPr="003D4F85">
        <w:rPr>
          <w:rFonts w:eastAsia="Times New Roman" w:cs="Times New Roman"/>
          <w:color w:val="4A4A4A"/>
          <w:sz w:val="21"/>
          <w:szCs w:val="21"/>
          <w:lang w:eastAsia="en-GB"/>
        </w:rPr>
        <w:t>a number of</w:t>
      </w:r>
      <w:proofErr w:type="gramEnd"/>
      <w:r w:rsidRPr="003D4F85">
        <w:rPr>
          <w:rFonts w:eastAsia="Times New Roman" w:cs="Times New Roman"/>
          <w:color w:val="4A4A4A"/>
          <w:sz w:val="21"/>
          <w:szCs w:val="21"/>
          <w:lang w:eastAsia="en-GB"/>
        </w:rPr>
        <w:t xml:space="preserve"> reasons</w:t>
      </w:r>
      <w:r>
        <w:rPr>
          <w:rStyle w:val="FootnoteReference"/>
          <w:rFonts w:eastAsia="Times New Roman" w:cs="Times New Roman"/>
          <w:color w:val="4A4A4A"/>
          <w:sz w:val="21"/>
          <w:szCs w:val="21"/>
          <w:lang w:eastAsia="en-GB"/>
        </w:rPr>
        <w:footnoteReference w:id="2"/>
      </w:r>
      <w:r w:rsidRPr="003D4F85">
        <w:rPr>
          <w:rFonts w:eastAsia="Times New Roman" w:cs="Times New Roman"/>
          <w:color w:val="4A4A4A"/>
          <w:sz w:val="21"/>
          <w:szCs w:val="21"/>
          <w:lang w:eastAsia="en-GB"/>
        </w:rPr>
        <w:t>. Income is generally more difficult to measure accurately. For example, the poor who work in the informal sector may not receive or report monetary wages; self-employed workers often experience irregular income flows; and many people in rural areas depend on idiosyncratic, agricultural incomes. Moreover, consumption accords better with the idea of the standard of living than income, which can vary over time even if the actual standard of living does not. Thus, whenever possible, consumption-based welfare indicators are used to estimate the poverty measures reported here. But consumptio</w:t>
      </w:r>
      <w:r>
        <w:rPr>
          <w:rFonts w:eastAsia="Times New Roman" w:cs="Times New Roman"/>
          <w:color w:val="4A4A4A"/>
          <w:sz w:val="21"/>
          <w:szCs w:val="21"/>
          <w:lang w:eastAsia="en-GB"/>
        </w:rPr>
        <w:t xml:space="preserve">n data are not always available. For </w:t>
      </w:r>
      <w:proofErr w:type="gramStart"/>
      <w:r>
        <w:rPr>
          <w:rFonts w:eastAsia="Times New Roman" w:cs="Times New Roman"/>
          <w:color w:val="4A4A4A"/>
          <w:sz w:val="21"/>
          <w:szCs w:val="21"/>
          <w:lang w:eastAsia="en-GB"/>
        </w:rPr>
        <w:t>instance</w:t>
      </w:r>
      <w:proofErr w:type="gramEnd"/>
      <w:r w:rsidRPr="003D4F85">
        <w:rPr>
          <w:rFonts w:eastAsia="Times New Roman" w:cs="Times New Roman"/>
          <w:color w:val="4A4A4A"/>
          <w:sz w:val="21"/>
          <w:szCs w:val="21"/>
          <w:lang w:eastAsia="en-GB"/>
        </w:rPr>
        <w:t xml:space="preserve"> in Latin America and the Caribbean</w:t>
      </w:r>
      <w:r>
        <w:rPr>
          <w:rFonts w:eastAsia="Times New Roman" w:cs="Times New Roman"/>
          <w:color w:val="4A4A4A"/>
          <w:sz w:val="21"/>
          <w:szCs w:val="21"/>
          <w:lang w:eastAsia="en-GB"/>
        </w:rPr>
        <w:t>,</w:t>
      </w:r>
      <w:r w:rsidRPr="003D4F85">
        <w:rPr>
          <w:rFonts w:eastAsia="Times New Roman" w:cs="Times New Roman"/>
          <w:color w:val="4A4A4A"/>
          <w:sz w:val="21"/>
          <w:szCs w:val="21"/>
          <w:lang w:eastAsia="en-GB"/>
        </w:rPr>
        <w:t xml:space="preserve"> the vast majority of countries collect primarily income data. In those </w:t>
      </w:r>
      <w:proofErr w:type="gramStart"/>
      <w:r w:rsidRPr="003D4F85">
        <w:rPr>
          <w:rFonts w:eastAsia="Times New Roman" w:cs="Times New Roman"/>
          <w:color w:val="4A4A4A"/>
          <w:sz w:val="21"/>
          <w:szCs w:val="21"/>
          <w:lang w:eastAsia="en-GB"/>
        </w:rPr>
        <w:t>cases</w:t>
      </w:r>
      <w:proofErr w:type="gramEnd"/>
      <w:r w:rsidRPr="003D4F85">
        <w:rPr>
          <w:rFonts w:eastAsia="Times New Roman" w:cs="Times New Roman"/>
          <w:color w:val="4A4A4A"/>
          <w:sz w:val="21"/>
          <w:szCs w:val="21"/>
          <w:lang w:eastAsia="en-GB"/>
        </w:rPr>
        <w:t xml:space="preserve"> there is little choice but to use income data.</w:t>
      </w:r>
    </w:p>
    <w:p w14:paraId="3DB1CB08"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 xml:space="preserve">Consumption is measured by using household survey questions on food and </w:t>
      </w:r>
      <w:proofErr w:type="spellStart"/>
      <w:r w:rsidRPr="003D4F85">
        <w:rPr>
          <w:rFonts w:eastAsia="Times New Roman" w:cs="Times New Roman"/>
          <w:color w:val="4A4A4A"/>
          <w:sz w:val="21"/>
          <w:szCs w:val="21"/>
          <w:lang w:eastAsia="en-GB"/>
        </w:rPr>
        <w:t>nonfood</w:t>
      </w:r>
      <w:proofErr w:type="spellEnd"/>
      <w:r w:rsidRPr="003D4F85">
        <w:rPr>
          <w:rFonts w:eastAsia="Times New Roman" w:cs="Times New Roman"/>
          <w:color w:val="4A4A4A"/>
          <w:sz w:val="21"/>
          <w:szCs w:val="21"/>
          <w:lang w:eastAsia="en-GB"/>
        </w:rPr>
        <w:t xml:space="preserve"> expenditures as well as food consumed from the household’s own production, which is particularly important in the poorest developing countries. This information is collected either through recall questions using lists of consumption items or through diaries in which respondents record all expenditures daily. But these methods do not always provide equivalent information, and depending on the approach used, consumption can be underestimated or overestimated. Different surveys use different recall or reference periods. Depending on the true flow of expenditures, the rate of spending reported is sensitive to the length of reporting period. The longer the reference period, the more likely respondents will fail to recall certain expenses—especially food items—thus resulting in underestimation of true expenditure.</w:t>
      </w:r>
    </w:p>
    <w:p w14:paraId="68C6DA0E"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 xml:space="preserve">Best-practice surveys administer detailed lists of specific consumption items. These individual items collected through the questionnaires are aggregated afterwards. But many surveys use questionnaires in which respondents are asked to report expenditures for broad categories of goods. In other words, specific consumption items are implicitly aggregated by virtue of the questionnaire design. This shortens the interview, reducing the cost of the survey. A shorter questionnaire is also thought to reduce the likelihood of fatigue for both respondents and interviewers, which can lead to reporting errors. However, there is also evidence that less detailed coverage of specific items in the questionnaire can lead to underestimation </w:t>
      </w:r>
      <w:r w:rsidRPr="003D4F85">
        <w:rPr>
          <w:rFonts w:eastAsia="Times New Roman" w:cs="Times New Roman"/>
          <w:color w:val="4A4A4A"/>
          <w:sz w:val="21"/>
          <w:szCs w:val="21"/>
          <w:lang w:eastAsia="en-GB"/>
        </w:rPr>
        <w:lastRenderedPageBreak/>
        <w:t>of actual household consumption. The reuse of questionnaires may cause new consumption goods to be omitted, leading to further underreporting.</w:t>
      </w:r>
    </w:p>
    <w:p w14:paraId="2FA8375C"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Invariably some sampled households do not participate in surveys because they refuse to do so or because nobody is at home. This is often referred to as “unit nonresponse” and is distinct from “item nonresponse,” which occurs when some of the sampled respondents participate but refuse to answer certain questions, such as those pertaining to consumption or income. To the extent that survey nonresponse is random, there is no concern regarding biases in survey-based inferences; the sample will still be representative of the population. However, households with different incomes are not equally likely to respond. Relatively rich households may be less likely to participate because of the high opportunity cost of their time or because of concerns about intrusion in their affairs. It is conceivable that the poorest can likewise be underrepresented; some are homeless and hard to reach in standard household survey designs, and some may be physically or socially isolated and thus less easily interviewed. If nonresponse systematically increases with income, surveys will tend to overestimate poverty. But if compliance tends to be lower for both the very poor and the very rich, there will be potentially offsetting effects on the measured incidence of poverty.</w:t>
      </w:r>
    </w:p>
    <w:p w14:paraId="636089F4"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 xml:space="preserve">Even if survey data were entirely accurate and comprehensive, the measure of poverty obtained could still fail to capture important aspects of individual welfare. For example, using household consumption measures ignores potential inequalities within households. Thus, consumption- or income-based poverty measures are informative but should not be interpreted as a sufficient statistic for assessing the quality of people’s lives. The national poverty rate, a “headcount” measure, is one of the </w:t>
      </w:r>
      <w:proofErr w:type="gramStart"/>
      <w:r w:rsidRPr="003D4F85">
        <w:rPr>
          <w:rFonts w:eastAsia="Times New Roman" w:cs="Times New Roman"/>
          <w:color w:val="4A4A4A"/>
          <w:sz w:val="21"/>
          <w:szCs w:val="21"/>
          <w:lang w:eastAsia="en-GB"/>
        </w:rPr>
        <w:t>most commonly calculated</w:t>
      </w:r>
      <w:proofErr w:type="gramEnd"/>
      <w:r w:rsidRPr="003D4F85">
        <w:rPr>
          <w:rFonts w:eastAsia="Times New Roman" w:cs="Times New Roman"/>
          <w:color w:val="4A4A4A"/>
          <w:sz w:val="21"/>
          <w:szCs w:val="21"/>
          <w:lang w:eastAsia="en-GB"/>
        </w:rPr>
        <w:t xml:space="preserve"> measures of poverty. Yet it has the drawback that it does not capture income inequality among the poor or the depth of poverty</w:t>
      </w:r>
      <w:r>
        <w:rPr>
          <w:rFonts w:eastAsia="Times New Roman" w:cs="Times New Roman"/>
          <w:color w:val="4A4A4A"/>
          <w:sz w:val="21"/>
          <w:szCs w:val="21"/>
          <w:lang w:eastAsia="en-GB"/>
        </w:rPr>
        <w:t>.</w:t>
      </w:r>
      <w:r w:rsidRPr="003D4F85">
        <w:rPr>
          <w:rFonts w:eastAsia="Times New Roman" w:cs="Times New Roman"/>
          <w:color w:val="4A4A4A"/>
          <w:sz w:val="21"/>
          <w:szCs w:val="21"/>
          <w:lang w:eastAsia="en-GB"/>
        </w:rPr>
        <w:t xml:space="preserve"> For instance, it fails to account for the fact that some people may be living just below the poverty line, while others experience far greater shortfalls. Policymakers seeking to make the largest possible impact on the headcount measure might be tempted to direct their poverty alleviation resources to those closest to the poverty line (and therefore least poor).</w:t>
      </w:r>
    </w:p>
    <w:p w14:paraId="09994510" w14:textId="77777777" w:rsidR="00B43F0B" w:rsidRPr="00D7317F"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D7317F">
        <w:rPr>
          <w:rFonts w:eastAsia="Times New Roman" w:cs="Times New Roman"/>
          <w:color w:val="4A4A4A"/>
          <w:sz w:val="21"/>
          <w:szCs w:val="21"/>
          <w:lang w:eastAsia="en-GB"/>
        </w:rPr>
        <w:t>Issues may also</w:t>
      </w:r>
      <w:r w:rsidRPr="003D4F85">
        <w:rPr>
          <w:rFonts w:eastAsia="Times New Roman" w:cs="Times New Roman"/>
          <w:color w:val="4A4A4A"/>
          <w:sz w:val="21"/>
          <w:szCs w:val="21"/>
          <w:lang w:eastAsia="en-GB"/>
        </w:rPr>
        <w:t xml:space="preserve"> arise when comparing poverty measures within countries when urban and rural poverty lines represent different purchasing powers. For example, the cost of living is typically higher in urban than in rural areas. One reason is that food staples tend to be more expensive in urban areas. </w:t>
      </w:r>
      <w:proofErr w:type="gramStart"/>
      <w:r w:rsidRPr="003D4F85">
        <w:rPr>
          <w:rFonts w:eastAsia="Times New Roman" w:cs="Times New Roman"/>
          <w:color w:val="4A4A4A"/>
          <w:sz w:val="21"/>
          <w:szCs w:val="21"/>
          <w:lang w:eastAsia="en-GB"/>
        </w:rPr>
        <w:t>So</w:t>
      </w:r>
      <w:proofErr w:type="gramEnd"/>
      <w:r w:rsidRPr="003D4F85">
        <w:rPr>
          <w:rFonts w:eastAsia="Times New Roman" w:cs="Times New Roman"/>
          <w:color w:val="4A4A4A"/>
          <w:sz w:val="21"/>
          <w:szCs w:val="21"/>
          <w:lang w:eastAsia="en-GB"/>
        </w:rPr>
        <w:t xml:space="preserve"> the urban monetary poverty line should be higher than the rural poverty line. But it is not always clear that the difference between urban and rural poverty lines found in practice reflects only differences in the cost of living. In some countries the urban poverty line in common use has a higher real value—meaning that it allows the purchase of more commodities for consumption—than does the rural poverty line. Sometimes the difference has been so large as to imply that the incidence of poverty is greater in urban than in rural areas, even though the reverse is found when adjustments are made only for differences in the cost of living. As with international comparisons, when the real value of the poverty line varies it is not clear how meaningful such urban-rural comparisons are.</w:t>
      </w:r>
    </w:p>
    <w:p w14:paraId="57FB2E1C" w14:textId="77777777" w:rsidR="00B43F0B" w:rsidRPr="00D7317F"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D7317F">
        <w:rPr>
          <w:rFonts w:eastAsia="Times New Roman" w:cs="Times New Roman"/>
          <w:color w:val="4A4A4A"/>
          <w:sz w:val="21"/>
          <w:szCs w:val="21"/>
          <w:lang w:eastAsia="en-GB"/>
        </w:rPr>
        <w:t>Lastly, the</w:t>
      </w:r>
      <w:r w:rsidRPr="003D4F85">
        <w:rPr>
          <w:rFonts w:eastAsia="Times New Roman" w:cs="Times New Roman"/>
          <w:color w:val="4A4A4A"/>
          <w:sz w:val="21"/>
          <w:szCs w:val="21"/>
          <w:lang w:eastAsia="en-GB"/>
        </w:rPr>
        <w:t>s</w:t>
      </w:r>
      <w:r w:rsidRPr="00D7317F">
        <w:rPr>
          <w:rFonts w:eastAsia="Times New Roman" w:cs="Times New Roman"/>
          <w:color w:val="4A4A4A"/>
          <w:sz w:val="21"/>
          <w:szCs w:val="21"/>
          <w:lang w:eastAsia="en-GB"/>
        </w:rPr>
        <w:t>e</w:t>
      </w:r>
      <w:r w:rsidRPr="003D4F85">
        <w:rPr>
          <w:rFonts w:eastAsia="Times New Roman" w:cs="Times New Roman"/>
          <w:color w:val="4A4A4A"/>
          <w:sz w:val="21"/>
          <w:szCs w:val="21"/>
          <w:lang w:eastAsia="en-GB"/>
        </w:rPr>
        <w:t xml:space="preserve"> income/</w:t>
      </w:r>
      <w:proofErr w:type="gramStart"/>
      <w:r w:rsidRPr="003D4F85">
        <w:rPr>
          <w:rFonts w:eastAsia="Times New Roman" w:cs="Times New Roman"/>
          <w:color w:val="4A4A4A"/>
          <w:sz w:val="21"/>
          <w:szCs w:val="21"/>
          <w:lang w:eastAsia="en-GB"/>
        </w:rPr>
        <w:t>consumption based</w:t>
      </w:r>
      <w:proofErr w:type="gramEnd"/>
      <w:r w:rsidRPr="003D4F85">
        <w:rPr>
          <w:rFonts w:eastAsia="Times New Roman" w:cs="Times New Roman"/>
          <w:color w:val="4A4A4A"/>
          <w:sz w:val="21"/>
          <w:szCs w:val="21"/>
          <w:lang w:eastAsia="en-GB"/>
        </w:rPr>
        <w:t xml:space="preserve"> poverty indicator</w:t>
      </w:r>
      <w:r w:rsidRPr="00D7317F">
        <w:rPr>
          <w:rFonts w:eastAsia="Times New Roman" w:cs="Times New Roman"/>
          <w:color w:val="4A4A4A"/>
          <w:sz w:val="21"/>
          <w:szCs w:val="21"/>
          <w:lang w:eastAsia="en-GB"/>
        </w:rPr>
        <w:t>s do</w:t>
      </w:r>
      <w:r w:rsidRPr="003D4F85">
        <w:rPr>
          <w:rFonts w:eastAsia="Times New Roman" w:cs="Times New Roman"/>
          <w:color w:val="4A4A4A"/>
          <w:sz w:val="21"/>
          <w:szCs w:val="21"/>
          <w:lang w:eastAsia="en-GB"/>
        </w:rPr>
        <w:t xml:space="preserve"> not fully reflect the other dimensions of poverty such as inequality, vulnerability, and lack of voice and power of the poor.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6891CE5B" w14:textId="760DA80D" w:rsidR="005F775A" w:rsidRDefault="005F775A" w:rsidP="00345D2B">
      <w:pPr>
        <w:spacing w:after="0" w:line="240" w:lineRule="auto"/>
        <w:jc w:val="both"/>
        <w:rPr>
          <w:rFonts w:eastAsia="Times New Roman" w:cs="Times New Roman"/>
          <w:color w:val="4A4A4A"/>
          <w:sz w:val="21"/>
          <w:szCs w:val="21"/>
          <w:lang w:eastAsia="en-GB"/>
        </w:rPr>
      </w:pPr>
      <w:r w:rsidRPr="007537B3">
        <w:rPr>
          <w:rFonts w:eastAsia="Times New Roman" w:cs="Times New Roman"/>
          <w:color w:val="4A4A4A"/>
          <w:sz w:val="21"/>
          <w:szCs w:val="21"/>
          <w:lang w:eastAsia="en-GB"/>
        </w:rPr>
        <w:t>The formula for calculating the proportion of the total, urban and rural population living below the national poverty line, or headcount index, is as follows:</w:t>
      </w:r>
    </w:p>
    <w:p w14:paraId="04F501F9" w14:textId="77777777" w:rsidR="00345D2B" w:rsidRDefault="00345D2B" w:rsidP="00F978AF">
      <w:pPr>
        <w:spacing w:after="0" w:line="240" w:lineRule="auto"/>
        <w:jc w:val="both"/>
        <w:rPr>
          <w:rFonts w:eastAsia="Times New Roman" w:cs="Times New Roman"/>
          <w:color w:val="4A4A4A"/>
          <w:sz w:val="21"/>
          <w:szCs w:val="21"/>
          <w:lang w:eastAsia="en-GB"/>
        </w:rPr>
      </w:pPr>
    </w:p>
    <w:p w14:paraId="3CA673F1" w14:textId="77777777" w:rsidR="005F775A" w:rsidRPr="007537B3" w:rsidRDefault="003136F6" w:rsidP="005F775A">
      <w:pPr>
        <w:spacing w:after="0" w:line="240" w:lineRule="auto"/>
        <w:rPr>
          <w:rFonts w:eastAsia="Times New Roman" w:cs="Times New Roman"/>
          <w:color w:val="4A4A4A"/>
          <w:sz w:val="21"/>
          <w:szCs w:val="21"/>
          <w:lang w:eastAsia="en-GB"/>
        </w:rPr>
      </w:pPr>
      <m:oMathPara>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P</m:t>
              </m:r>
            </m:e>
            <m:sub>
              <m:r>
                <w:rPr>
                  <w:rFonts w:ascii="Cambria Math" w:eastAsia="Times New Roman" w:hAnsi="Cambria Math" w:cs="Times New Roman"/>
                  <w:color w:val="4A4A4A"/>
                  <w:sz w:val="21"/>
                  <w:szCs w:val="21"/>
                  <w:lang w:eastAsia="en-GB"/>
                </w:rPr>
                <m:t>0</m:t>
              </m:r>
            </m:sub>
          </m:sSub>
          <m:r>
            <w:rPr>
              <w:rFonts w:ascii="Cambria Math" w:eastAsia="Times New Roman" w:hAnsi="Cambria Math" w:cs="Times New Roman"/>
              <w:color w:val="4A4A4A"/>
              <w:sz w:val="21"/>
              <w:szCs w:val="21"/>
              <w:lang w:eastAsia="en-GB"/>
            </w:rPr>
            <m:t>=</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1</m:t>
              </m:r>
            </m:num>
            <m:den>
              <m:r>
                <w:rPr>
                  <w:rFonts w:ascii="Cambria Math" w:eastAsia="Times New Roman" w:hAnsi="Cambria Math" w:cs="Times New Roman"/>
                  <w:color w:val="4A4A4A"/>
                  <w:sz w:val="21"/>
                  <w:szCs w:val="21"/>
                  <w:lang w:eastAsia="en-GB"/>
                </w:rPr>
                <m:t>N</m:t>
              </m:r>
            </m:den>
          </m:f>
          <m:nary>
            <m:naryPr>
              <m:chr m:val="∑"/>
              <m:limLoc m:val="undOvr"/>
              <m:ctrlPr>
                <w:rPr>
                  <w:rFonts w:ascii="Cambria Math" w:eastAsia="Times New Roman" w:hAnsi="Cambria Math" w:cs="Times New Roman"/>
                  <w:i/>
                  <w:color w:val="4A4A4A"/>
                  <w:sz w:val="21"/>
                  <w:szCs w:val="21"/>
                  <w:lang w:eastAsia="en-GB"/>
                </w:rPr>
              </m:ctrlPr>
            </m:naryPr>
            <m:sub>
              <m:eqArr>
                <m:eqArrPr>
                  <m:ctrlPr>
                    <w:rPr>
                      <w:rFonts w:ascii="Cambria Math" w:eastAsia="Times New Roman" w:hAnsi="Cambria Math" w:cs="Times New Roman"/>
                      <w:i/>
                      <w:color w:val="4A4A4A"/>
                      <w:sz w:val="21"/>
                      <w:szCs w:val="21"/>
                      <w:lang w:eastAsia="en-GB"/>
                    </w:rPr>
                  </m:ctrlPr>
                </m:eqArrPr>
                <m:e>
                  <m:r>
                    <w:rPr>
                      <w:rFonts w:ascii="Cambria Math" w:eastAsia="Times New Roman" w:hAnsi="Cambria Math" w:cs="Times New Roman"/>
                      <w:color w:val="4A4A4A"/>
                      <w:sz w:val="21"/>
                      <w:szCs w:val="21"/>
                      <w:lang w:eastAsia="en-GB"/>
                    </w:rPr>
                    <m:t>i</m:t>
                  </m:r>
                </m:e>
                <m:e>
                  <m:ctrlPr>
                    <w:rPr>
                      <w:rFonts w:ascii="Cambria Math" w:eastAsia="Cambria Math" w:hAnsi="Cambria Math" w:cs="Cambria Math"/>
                      <w:i/>
                      <w:color w:val="4A4A4A"/>
                      <w:sz w:val="21"/>
                      <w:szCs w:val="21"/>
                    </w:rPr>
                  </m:ctrlPr>
                </m:e>
                <m:e>
                  <m:r>
                    <w:rPr>
                      <w:rFonts w:ascii="Cambria Math" w:eastAsia="Times New Roman" w:hAnsi="Cambria Math" w:cs="Times New Roman"/>
                      <w:color w:val="4A4A4A"/>
                      <w:sz w:val="21"/>
                      <w:szCs w:val="21"/>
                      <w:lang w:eastAsia="en-GB"/>
                    </w:rPr>
                    <m:t>=1</m:t>
                  </m:r>
                </m:e>
              </m:eqArr>
            </m:sub>
            <m:sup>
              <m:r>
                <w:rPr>
                  <w:rFonts w:ascii="Cambria Math" w:eastAsia="Times New Roman" w:hAnsi="Cambria Math" w:cs="Times New Roman"/>
                  <w:color w:val="4A4A4A"/>
                  <w:sz w:val="21"/>
                  <w:szCs w:val="21"/>
                  <w:lang w:eastAsia="en-GB"/>
                </w:rPr>
                <m:t>N</m:t>
              </m:r>
            </m:sup>
            <m:e>
              <m:r>
                <w:rPr>
                  <w:rFonts w:ascii="Cambria Math" w:eastAsia="Times New Roman" w:hAnsi="Cambria Math" w:cs="Times New Roman"/>
                  <w:color w:val="4A4A4A"/>
                  <w:sz w:val="21"/>
                  <w:szCs w:val="21"/>
                  <w:lang w:eastAsia="en-GB"/>
                </w:rPr>
                <m:t>I</m:t>
              </m:r>
              <m:d>
                <m:dPr>
                  <m:ctrlPr>
                    <w:rPr>
                      <w:rFonts w:ascii="Cambria Math" w:eastAsia="Times New Roman" w:hAnsi="Cambria Math" w:cs="Times New Roman"/>
                      <w:i/>
                      <w:color w:val="4A4A4A"/>
                      <w:sz w:val="21"/>
                      <w:szCs w:val="21"/>
                      <w:lang w:eastAsia="en-GB"/>
                    </w:rPr>
                  </m:ctrlPr>
                </m:dPr>
                <m:e>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y</m:t>
                      </m:r>
                    </m:e>
                    <m:sub>
                      <m:r>
                        <w:rPr>
                          <w:rFonts w:ascii="Cambria Math" w:eastAsia="Times New Roman" w:hAnsi="Cambria Math" w:cs="Times New Roman"/>
                          <w:color w:val="4A4A4A"/>
                          <w:sz w:val="21"/>
                          <w:szCs w:val="21"/>
                          <w:lang w:eastAsia="en-GB"/>
                        </w:rPr>
                        <m:t>i</m:t>
                      </m:r>
                    </m:sub>
                  </m:sSub>
                  <m:r>
                    <w:rPr>
                      <w:rFonts w:ascii="Cambria Math" w:eastAsia="Times New Roman" w:hAnsi="Cambria Math" w:cs="Times New Roman"/>
                      <w:color w:val="4A4A4A"/>
                      <w:sz w:val="21"/>
                      <w:szCs w:val="21"/>
                      <w:lang w:eastAsia="en-GB"/>
                    </w:rPr>
                    <m:t>&lt;z</m:t>
                  </m:r>
                </m:e>
              </m:d>
              <m:r>
                <w:rPr>
                  <w:rFonts w:ascii="Cambria Math" w:eastAsia="Times New Roman" w:hAnsi="Cambria Math" w:cs="Times New Roman"/>
                  <w:color w:val="4A4A4A"/>
                  <w:sz w:val="21"/>
                  <w:szCs w:val="21"/>
                  <w:lang w:eastAsia="en-GB"/>
                </w:rPr>
                <m:t>=</m:t>
              </m:r>
              <m:f>
                <m:fPr>
                  <m:ctrlPr>
                    <w:rPr>
                      <w:rFonts w:ascii="Cambria Math" w:eastAsia="Times New Roman" w:hAnsi="Cambria Math" w:cs="Times New Roman"/>
                      <w:i/>
                      <w:color w:val="4A4A4A"/>
                      <w:sz w:val="21"/>
                      <w:szCs w:val="21"/>
                      <w:lang w:eastAsia="en-GB"/>
                    </w:rPr>
                  </m:ctrlPr>
                </m:fPr>
                <m:num>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N</m:t>
                      </m:r>
                    </m:e>
                    <m:sub>
                      <m:r>
                        <w:rPr>
                          <w:rFonts w:ascii="Cambria Math" w:eastAsia="Times New Roman" w:hAnsi="Cambria Math" w:cs="Times New Roman"/>
                          <w:color w:val="4A4A4A"/>
                          <w:sz w:val="21"/>
                          <w:szCs w:val="21"/>
                          <w:lang w:eastAsia="en-GB"/>
                        </w:rPr>
                        <m:t>p</m:t>
                      </m:r>
                    </m:sub>
                  </m:sSub>
                </m:num>
                <m:den>
                  <m:r>
                    <w:rPr>
                      <w:rFonts w:ascii="Cambria Math" w:eastAsia="Times New Roman" w:hAnsi="Cambria Math" w:cs="Times New Roman"/>
                      <w:color w:val="4A4A4A"/>
                      <w:sz w:val="21"/>
                      <w:szCs w:val="21"/>
                      <w:lang w:eastAsia="en-GB"/>
                    </w:rPr>
                    <m:t>N</m:t>
                  </m:r>
                </m:den>
              </m:f>
            </m:e>
          </m:nary>
        </m:oMath>
      </m:oMathPara>
    </w:p>
    <w:p w14:paraId="58BABA31" w14:textId="77777777" w:rsidR="005F775A" w:rsidRPr="007537B3" w:rsidRDefault="005F775A" w:rsidP="005F775A">
      <w:pPr>
        <w:spacing w:before="100" w:beforeAutospacing="1" w:after="100" w:afterAutospacing="1" w:line="240" w:lineRule="auto"/>
        <w:jc w:val="both"/>
        <w:rPr>
          <w:rFonts w:eastAsia="Times New Roman" w:cs="Times New Roman"/>
          <w:color w:val="4A4A4A"/>
          <w:sz w:val="21"/>
          <w:szCs w:val="21"/>
          <w:lang w:eastAsia="en-GB"/>
        </w:rPr>
      </w:pPr>
      <w:r w:rsidRPr="007537B3">
        <w:rPr>
          <w:rFonts w:eastAsia="Times New Roman" w:cs="Times New Roman"/>
          <w:color w:val="4A4A4A"/>
          <w:sz w:val="21"/>
          <w:szCs w:val="21"/>
          <w:lang w:eastAsia="en-GB"/>
        </w:rPr>
        <w:lastRenderedPageBreak/>
        <w:t xml:space="preserve">Where </w:t>
      </w:r>
      <m:oMath>
        <m:r>
          <w:rPr>
            <w:rFonts w:ascii="Cambria Math" w:eastAsia="Times New Roman" w:hAnsi="Cambria Math" w:cs="Times New Roman"/>
            <w:color w:val="4A4A4A"/>
            <w:sz w:val="21"/>
            <w:szCs w:val="21"/>
            <w:lang w:eastAsia="en-GB"/>
          </w:rPr>
          <m:t>I</m:t>
        </m:r>
        <m:d>
          <m:dPr>
            <m:ctrlPr>
              <w:rPr>
                <w:rFonts w:ascii="Cambria Math" w:eastAsia="Times New Roman" w:hAnsi="Cambria Math" w:cs="Times New Roman"/>
                <w:i/>
                <w:color w:val="4A4A4A"/>
                <w:sz w:val="21"/>
                <w:szCs w:val="21"/>
                <w:lang w:eastAsia="en-GB"/>
              </w:rPr>
            </m:ctrlPr>
          </m:dPr>
          <m:e>
            <m:r>
              <w:rPr>
                <w:rFonts w:ascii="Cambria Math" w:eastAsia="Times New Roman" w:hAnsi="Cambria Math" w:cs="Times New Roman"/>
                <w:color w:val="4A4A4A"/>
                <w:sz w:val="21"/>
                <w:szCs w:val="21"/>
                <w:lang w:eastAsia="en-GB"/>
              </w:rPr>
              <m:t>.</m:t>
            </m:r>
          </m:e>
        </m:d>
      </m:oMath>
      <w:r w:rsidRPr="007537B3">
        <w:rPr>
          <w:rFonts w:eastAsia="Times New Roman" w:cs="Times New Roman"/>
          <w:color w:val="4A4A4A"/>
          <w:sz w:val="21"/>
          <w:szCs w:val="21"/>
          <w:lang w:eastAsia="en-GB"/>
        </w:rPr>
        <w:t xml:space="preserve"> is an indicator function that takes on a value of 1 if the bracketed expression is true, and 0 </w:t>
      </w:r>
      <w:proofErr w:type="gramStart"/>
      <w:r w:rsidRPr="007537B3">
        <w:rPr>
          <w:rFonts w:eastAsia="Times New Roman" w:cs="Times New Roman"/>
          <w:color w:val="4A4A4A"/>
          <w:sz w:val="21"/>
          <w:szCs w:val="21"/>
          <w:lang w:eastAsia="en-GB"/>
        </w:rPr>
        <w:t>otherwise.</w:t>
      </w:r>
      <w:proofErr w:type="gramEnd"/>
      <w:r w:rsidRPr="007537B3">
        <w:rPr>
          <w:rFonts w:eastAsia="Times New Roman" w:cs="Times New Roman"/>
          <w:color w:val="4A4A4A"/>
          <w:sz w:val="21"/>
          <w:szCs w:val="21"/>
          <w:lang w:eastAsia="en-GB"/>
        </w:rPr>
        <w:t xml:space="preserve"> If individual consumption or income </w:t>
      </w: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y</m:t>
            </m:r>
          </m:e>
          <m:sub>
            <m:r>
              <w:rPr>
                <w:rFonts w:ascii="Cambria Math" w:eastAsia="Times New Roman" w:hAnsi="Cambria Math" w:cs="Times New Roman"/>
                <w:color w:val="4A4A4A"/>
                <w:sz w:val="21"/>
                <w:szCs w:val="21"/>
                <w:lang w:eastAsia="en-GB"/>
              </w:rPr>
              <m:t>i</m:t>
            </m:r>
          </m:sub>
        </m:sSub>
      </m:oMath>
      <w:r w:rsidRPr="007537B3">
        <w:rPr>
          <w:rFonts w:eastAsia="Times New Roman" w:cs="Times New Roman"/>
          <w:color w:val="4A4A4A"/>
          <w:sz w:val="21"/>
          <w:szCs w:val="21"/>
          <w:lang w:eastAsia="en-GB"/>
        </w:rPr>
        <w:t xml:space="preserve"> is less than the </w:t>
      </w:r>
      <w:r>
        <w:rPr>
          <w:rFonts w:eastAsia="Times New Roman" w:cs="Times New Roman"/>
          <w:color w:val="4A4A4A"/>
          <w:sz w:val="21"/>
          <w:szCs w:val="21"/>
          <w:lang w:eastAsia="en-GB"/>
        </w:rPr>
        <w:t xml:space="preserve">national </w:t>
      </w:r>
      <w:r w:rsidRPr="007537B3">
        <w:rPr>
          <w:rFonts w:eastAsia="Times New Roman" w:cs="Times New Roman"/>
          <w:color w:val="4A4A4A"/>
          <w:sz w:val="21"/>
          <w:szCs w:val="21"/>
          <w:lang w:eastAsia="en-GB"/>
        </w:rPr>
        <w:t>poverty line</w:t>
      </w:r>
      <m:oMath>
        <m:r>
          <w:rPr>
            <w:rFonts w:ascii="Cambria Math" w:eastAsia="Times New Roman" w:hAnsi="Cambria Math" w:cs="Times New Roman"/>
            <w:color w:val="4A4A4A"/>
            <w:sz w:val="21"/>
            <w:szCs w:val="21"/>
            <w:lang w:eastAsia="en-GB"/>
          </w:rPr>
          <m:t xml:space="preserve"> z</m:t>
        </m:r>
      </m:oMath>
      <w:r>
        <w:rPr>
          <w:rFonts w:eastAsia="Times New Roman" w:cs="Times New Roman"/>
          <w:color w:val="4A4A4A"/>
          <w:sz w:val="21"/>
          <w:szCs w:val="21"/>
          <w:lang w:eastAsia="en-GB"/>
        </w:rPr>
        <w:t xml:space="preserve"> (for example, in absolute terms the line could be the price of a consumption bundle or in relative terms a percentage of the income distribution)</w:t>
      </w:r>
      <w:r w:rsidRPr="007537B3">
        <w:rPr>
          <w:rFonts w:eastAsia="Times New Roman" w:cs="Times New Roman"/>
          <w:color w:val="4A4A4A"/>
          <w:sz w:val="21"/>
          <w:szCs w:val="21"/>
          <w:lang w:eastAsia="en-GB"/>
        </w:rPr>
        <w:t xml:space="preserve">, then </w:t>
      </w:r>
      <m:oMath>
        <m:r>
          <w:rPr>
            <w:rFonts w:ascii="Cambria Math" w:eastAsia="Times New Roman" w:hAnsi="Cambria Math" w:cs="Times New Roman"/>
            <w:color w:val="4A4A4A"/>
            <w:sz w:val="21"/>
            <w:szCs w:val="21"/>
            <w:lang w:eastAsia="en-GB"/>
          </w:rPr>
          <m:t>I</m:t>
        </m:r>
        <m:d>
          <m:dPr>
            <m:ctrlPr>
              <w:rPr>
                <w:rFonts w:ascii="Cambria Math" w:eastAsia="Times New Roman" w:hAnsi="Cambria Math" w:cs="Times New Roman"/>
                <w:i/>
                <w:color w:val="4A4A4A"/>
                <w:sz w:val="21"/>
                <w:szCs w:val="21"/>
                <w:lang w:eastAsia="en-GB"/>
              </w:rPr>
            </m:ctrlPr>
          </m:dPr>
          <m:e>
            <m:r>
              <w:rPr>
                <w:rFonts w:ascii="Cambria Math" w:eastAsia="Times New Roman" w:hAnsi="Cambria Math" w:cs="Times New Roman"/>
                <w:color w:val="4A4A4A"/>
                <w:sz w:val="21"/>
                <w:szCs w:val="21"/>
                <w:lang w:eastAsia="en-GB"/>
              </w:rPr>
              <m:t>.</m:t>
            </m:r>
          </m:e>
        </m:d>
      </m:oMath>
      <w:r w:rsidRPr="007537B3">
        <w:rPr>
          <w:rFonts w:eastAsia="Times New Roman" w:cs="Times New Roman"/>
          <w:color w:val="4A4A4A"/>
          <w:sz w:val="21"/>
          <w:szCs w:val="21"/>
          <w:lang w:eastAsia="en-GB"/>
        </w:rPr>
        <w:t xml:space="preserve"> is equal to 1 and the individual is counted as poor. </w:t>
      </w: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N</m:t>
            </m:r>
          </m:e>
          <m:sub>
            <m:r>
              <w:rPr>
                <w:rFonts w:ascii="Cambria Math" w:eastAsia="Times New Roman" w:hAnsi="Cambria Math" w:cs="Times New Roman"/>
                <w:color w:val="4A4A4A"/>
                <w:sz w:val="21"/>
                <w:szCs w:val="21"/>
                <w:lang w:eastAsia="en-GB"/>
              </w:rPr>
              <m:t>p</m:t>
            </m:r>
          </m:sub>
        </m:sSub>
      </m:oMath>
      <w:r w:rsidRPr="007537B3">
        <w:rPr>
          <w:rFonts w:eastAsia="Times New Roman" w:cs="Times New Roman"/>
          <w:color w:val="4A4A4A"/>
          <w:sz w:val="21"/>
          <w:szCs w:val="21"/>
          <w:lang w:eastAsia="en-GB"/>
        </w:rPr>
        <w:t xml:space="preserve"> is the total, urban or rural number of poor.</w:t>
      </w:r>
      <m:oMath>
        <m:r>
          <w:rPr>
            <w:rFonts w:ascii="Cambria Math" w:eastAsia="Times New Roman" w:hAnsi="Cambria Math" w:cs="Times New Roman"/>
            <w:color w:val="4A4A4A"/>
            <w:sz w:val="21"/>
            <w:szCs w:val="21"/>
            <w:lang w:eastAsia="en-GB"/>
          </w:rPr>
          <m:t xml:space="preserve"> N</m:t>
        </m:r>
      </m:oMath>
      <w:r w:rsidRPr="007537B3">
        <w:rPr>
          <w:rFonts w:eastAsia="Times New Roman" w:cs="Times New Roman"/>
          <w:color w:val="4A4A4A"/>
          <w:sz w:val="21"/>
          <w:szCs w:val="21"/>
          <w:lang w:eastAsia="en-GB"/>
        </w:rPr>
        <w:t xml:space="preserve"> is the total, urban or rural population. </w:t>
      </w:r>
    </w:p>
    <w:p w14:paraId="0E85DB3F" w14:textId="77777777" w:rsidR="005F775A" w:rsidRPr="007537B3" w:rsidRDefault="005F775A" w:rsidP="005F775A">
      <w:pPr>
        <w:spacing w:before="100" w:beforeAutospacing="1" w:after="100" w:afterAutospacing="1" w:line="240" w:lineRule="auto"/>
        <w:jc w:val="both"/>
        <w:rPr>
          <w:rFonts w:eastAsia="Times New Roman" w:cs="Times New Roman"/>
          <w:color w:val="4A4A4A"/>
          <w:sz w:val="21"/>
          <w:szCs w:val="21"/>
          <w:lang w:eastAsia="en-GB"/>
        </w:rPr>
      </w:pPr>
      <w:r w:rsidRPr="007537B3">
        <w:rPr>
          <w:rFonts w:eastAsia="Times New Roman" w:cs="Times New Roman"/>
          <w:color w:val="4A4A4A"/>
          <w:sz w:val="21"/>
          <w:szCs w:val="21"/>
          <w:lang w:eastAsia="en-GB"/>
        </w:rPr>
        <w:t xml:space="preserve">Consumption or income data are gathered from nationally representative household surveys, which contain detailed responses to questions regarding spending habits and sources of income. Consumption, including consumption from own production, or income is calculated for the entire household. In some cases, an “effective” household size is calculated from the actual household size to reflect assumed efficiencies in consumption; adjustments may also be made to reflect the number of children in a household. The number of people in those households is aggregated to estimate the number of poor persons. </w:t>
      </w:r>
    </w:p>
    <w:p w14:paraId="6A89839E" w14:textId="3E2AD75D" w:rsidR="00576CFA" w:rsidRPr="005F775A" w:rsidRDefault="005F775A" w:rsidP="005F775A">
      <w:pPr>
        <w:spacing w:before="100" w:beforeAutospacing="1" w:after="100" w:afterAutospacing="1" w:line="240" w:lineRule="auto"/>
        <w:jc w:val="both"/>
        <w:rPr>
          <w:rFonts w:eastAsia="Times New Roman" w:cs="Times New Roman"/>
          <w:color w:val="4A4A4A"/>
          <w:sz w:val="21"/>
          <w:szCs w:val="21"/>
          <w:lang w:eastAsia="en-GB"/>
        </w:rPr>
      </w:pPr>
      <w:r w:rsidRPr="007537B3">
        <w:rPr>
          <w:rFonts w:eastAsia="Times New Roman" w:cs="Times New Roman"/>
          <w:color w:val="4A4A4A"/>
          <w:sz w:val="21"/>
          <w:szCs w:val="21"/>
          <w:lang w:eastAsia="en-GB"/>
        </w:rPr>
        <w:t xml:space="preserve">National poverty rates use a country specific poverty line, reflecting the country’s economic and social circumstances. In some case, the national poverty line is adjusted for different areas (such as urban and rural) within the country, to account for differences in prices or the availability of goods and services. </w:t>
      </w:r>
      <w:proofErr w:type="gramStart"/>
      <w:r w:rsidRPr="007537B3">
        <w:rPr>
          <w:rFonts w:eastAsia="Times New Roman" w:cs="Times New Roman"/>
          <w:color w:val="4A4A4A"/>
          <w:sz w:val="21"/>
          <w:szCs w:val="21"/>
          <w:lang w:eastAsia="en-GB"/>
        </w:rPr>
        <w:t>Typically</w:t>
      </w:r>
      <w:proofErr w:type="gramEnd"/>
      <w:r w:rsidRPr="007537B3">
        <w:rPr>
          <w:rFonts w:eastAsia="Times New Roman" w:cs="Times New Roman"/>
          <w:color w:val="4A4A4A"/>
          <w:sz w:val="21"/>
          <w:szCs w:val="21"/>
          <w:lang w:eastAsia="en-GB"/>
        </w:rPr>
        <w:t xml:space="preserve"> the urban poverty line is set higher than the rural poverty line; reflecting the relatively higher costs of living in urban areas.</w:t>
      </w:r>
    </w:p>
    <w:p w14:paraId="514CE3C0" w14:textId="3F3F7A53" w:rsidR="00E1050F" w:rsidRPr="00A96255" w:rsidRDefault="00576CFA" w:rsidP="00F719A8">
      <w:pPr>
        <w:pStyle w:val="MHeader2"/>
      </w:pPr>
      <w:r w:rsidRPr="00A96255">
        <w:t>4.d. Validation</w:t>
      </w:r>
    </w:p>
    <w:p w14:paraId="0025F830" w14:textId="507B65D3" w:rsidR="00F719A8" w:rsidRDefault="00F719A8" w:rsidP="00576CFA">
      <w:pPr>
        <w:pStyle w:val="MText"/>
      </w:pPr>
    </w:p>
    <w:p w14:paraId="28FE1DBB" w14:textId="77777777" w:rsidR="00C55F99" w:rsidRPr="00A96255" w:rsidRDefault="00C55F99" w:rsidP="00576CFA">
      <w:pPr>
        <w:pStyle w:val="MText"/>
      </w:pPr>
    </w:p>
    <w:p w14:paraId="2CF2A343" w14:textId="0A7F0CBE" w:rsidR="00E1050F" w:rsidRPr="00A96255" w:rsidRDefault="00E1050F" w:rsidP="00F719A8">
      <w:pPr>
        <w:pStyle w:val="MHeader2"/>
      </w:pPr>
      <w:r w:rsidRPr="00A96255">
        <w:t>4.e. Adjustments</w:t>
      </w:r>
    </w:p>
    <w:p w14:paraId="7FBAEBBA" w14:textId="175E0732" w:rsidR="00EC2915" w:rsidRDefault="00EC2915" w:rsidP="00576CFA">
      <w:pPr>
        <w:pStyle w:val="MText"/>
      </w:pPr>
    </w:p>
    <w:p w14:paraId="0D46BA05" w14:textId="77777777" w:rsidR="00C55F99" w:rsidRPr="00A96255" w:rsidRDefault="00C55F99" w:rsidP="00576CFA">
      <w:pPr>
        <w:pStyle w:val="MText"/>
      </w:pPr>
    </w:p>
    <w:p w14:paraId="67043C18" w14:textId="6E881355" w:rsidR="00D51E7C" w:rsidRDefault="00576CFA" w:rsidP="005F775A">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30EB0C1D" w:rsidR="00D51E7C" w:rsidRPr="00F978AF" w:rsidRDefault="00D51E7C" w:rsidP="00D51E7C">
      <w:pPr>
        <w:pStyle w:val="MText"/>
        <w:rPr>
          <w:b/>
          <w:bCs/>
        </w:rPr>
      </w:pPr>
      <w:r w:rsidRPr="00F978AF">
        <w:rPr>
          <w:b/>
          <w:bCs/>
        </w:rPr>
        <w:t>•</w:t>
      </w:r>
      <w:r w:rsidRPr="00F978AF">
        <w:rPr>
          <w:b/>
          <w:bCs/>
        </w:rPr>
        <w:tab/>
        <w:t>At country level</w:t>
      </w:r>
    </w:p>
    <w:p w14:paraId="5FE744CC" w14:textId="77777777" w:rsidR="005F775A" w:rsidRPr="00A61D74" w:rsidRDefault="005F775A" w:rsidP="005F775A">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Missing values in consumption of </w:t>
      </w:r>
      <w:proofErr w:type="gramStart"/>
      <w:r>
        <w:rPr>
          <w:rFonts w:eastAsia="Times New Roman" w:cs="Times New Roman"/>
          <w:color w:val="4A4A4A"/>
          <w:sz w:val="21"/>
          <w:szCs w:val="21"/>
          <w:lang w:eastAsia="en-GB"/>
        </w:rPr>
        <w:t>particular items</w:t>
      </w:r>
      <w:proofErr w:type="gramEnd"/>
      <w:r>
        <w:rPr>
          <w:rFonts w:eastAsia="Times New Roman" w:cs="Times New Roman"/>
          <w:color w:val="4A4A4A"/>
          <w:sz w:val="21"/>
          <w:szCs w:val="21"/>
          <w:lang w:eastAsia="en-GB"/>
        </w:rPr>
        <w:t xml:space="preserve"> are counted as zero. This is a standard practice in processing survey data. If the consumption is not reported, it is taken as zero consumption, and thus the consumption expenditure is zero. </w:t>
      </w:r>
    </w:p>
    <w:p w14:paraId="1B6182A5" w14:textId="54983DC5" w:rsidR="00D51E7C" w:rsidRPr="00C019E5" w:rsidRDefault="00D51E7C" w:rsidP="00D51E7C">
      <w:pPr>
        <w:pStyle w:val="MText"/>
        <w:rPr>
          <w:highlight w:val="cyan"/>
        </w:rPr>
      </w:pPr>
    </w:p>
    <w:p w14:paraId="06DDC253" w14:textId="3E2335DF" w:rsidR="00D51E7C" w:rsidRPr="00F978AF" w:rsidRDefault="00D51E7C" w:rsidP="00D51E7C">
      <w:pPr>
        <w:pStyle w:val="MText"/>
        <w:rPr>
          <w:b/>
          <w:bCs/>
        </w:rPr>
      </w:pPr>
      <w:r w:rsidRPr="00F978AF">
        <w:rPr>
          <w:b/>
          <w:bCs/>
        </w:rPr>
        <w:t>•</w:t>
      </w:r>
      <w:r w:rsidRPr="00F978AF">
        <w:rPr>
          <w:b/>
          <w:bCs/>
        </w:rPr>
        <w:tab/>
        <w:t>At regional and global levels</w:t>
      </w:r>
    </w:p>
    <w:p w14:paraId="04748E1F" w14:textId="755A8EB9" w:rsidR="00D51E7C" w:rsidRPr="005F775A" w:rsidRDefault="005F775A" w:rsidP="005F775A">
      <w:pPr>
        <w:shd w:val="clear" w:color="auto" w:fill="FFFFFF"/>
        <w:spacing w:after="0"/>
        <w:ind w:left="135"/>
        <w:rPr>
          <w:rFonts w:eastAsia="Times New Roman" w:cs="Times New Roman"/>
          <w:color w:val="4A4A4A"/>
          <w:sz w:val="21"/>
          <w:szCs w:val="21"/>
          <w:lang w:eastAsia="en-GB"/>
        </w:rPr>
      </w:pPr>
      <w:r>
        <w:rPr>
          <w:rFonts w:eastAsia="Times New Roman" w:cs="Times New Roman"/>
          <w:color w:val="4A4A4A"/>
          <w:sz w:val="21"/>
          <w:szCs w:val="21"/>
          <w:lang w:eastAsia="en-GB"/>
        </w:rPr>
        <w:t xml:space="preserve">Because national poverty lines are </w:t>
      </w:r>
      <w:proofErr w:type="gramStart"/>
      <w:r>
        <w:rPr>
          <w:rFonts w:eastAsia="Times New Roman" w:cs="Times New Roman"/>
          <w:color w:val="4A4A4A"/>
          <w:sz w:val="21"/>
          <w:szCs w:val="21"/>
          <w:lang w:eastAsia="en-GB"/>
        </w:rPr>
        <w:t>country-specific</w:t>
      </w:r>
      <w:proofErr w:type="gramEnd"/>
      <w:r>
        <w:rPr>
          <w:rFonts w:eastAsia="Times New Roman" w:cs="Times New Roman"/>
          <w:color w:val="4A4A4A"/>
          <w:sz w:val="21"/>
          <w:szCs w:val="21"/>
          <w:lang w:eastAsia="en-GB"/>
        </w:rPr>
        <w:t xml:space="preserve">. There is no aggregation at the regional or global level.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756FBF56" w14:textId="77777777" w:rsidR="005F775A" w:rsidRPr="00573631" w:rsidRDefault="005F775A" w:rsidP="005F775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54F70F43" w:rsidR="00EC2915" w:rsidRDefault="00EC2915" w:rsidP="00576CFA">
      <w:pPr>
        <w:pStyle w:val="MText"/>
      </w:pPr>
    </w:p>
    <w:p w14:paraId="25114D4A" w14:textId="77777777" w:rsidR="00C55F99" w:rsidRPr="00A96255" w:rsidRDefault="00C55F99"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04F8F305" w:rsidR="00EC2915" w:rsidRDefault="00EC2915" w:rsidP="00576CFA">
      <w:pPr>
        <w:pStyle w:val="MText"/>
      </w:pPr>
    </w:p>
    <w:p w14:paraId="5D8FB738" w14:textId="77777777" w:rsidR="00C55F99" w:rsidRPr="00A96255" w:rsidRDefault="00C55F99" w:rsidP="00576CFA">
      <w:pPr>
        <w:pStyle w:val="MText"/>
      </w:pPr>
    </w:p>
    <w:p w14:paraId="17B979CA" w14:textId="449C0153" w:rsidR="00E1050F" w:rsidRPr="00A96255" w:rsidRDefault="00E1050F" w:rsidP="00F719A8">
      <w:pPr>
        <w:pStyle w:val="MHeader2"/>
      </w:pPr>
      <w:r w:rsidRPr="00A96255">
        <w:t>4.j Quality assurance</w:t>
      </w:r>
    </w:p>
    <w:p w14:paraId="03EF3244" w14:textId="19D3C96D" w:rsidR="00EC2915" w:rsidRDefault="00EC2915" w:rsidP="00576CFA">
      <w:pPr>
        <w:pStyle w:val="MText"/>
      </w:pPr>
    </w:p>
    <w:p w14:paraId="6CE322FA" w14:textId="77777777" w:rsidR="00C55F99" w:rsidRPr="00A96255" w:rsidRDefault="00C55F99"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678EFA6F" w:rsidR="00576CFA" w:rsidRDefault="00576CFA" w:rsidP="00576CFA">
      <w:pPr>
        <w:pStyle w:val="MText"/>
      </w:pPr>
    </w:p>
    <w:p w14:paraId="732A544E" w14:textId="77777777" w:rsidR="00C55F99" w:rsidRPr="00A96255" w:rsidRDefault="00C55F99" w:rsidP="00576CFA">
      <w:pPr>
        <w:pStyle w:val="MText"/>
      </w:pPr>
    </w:p>
    <w:p w14:paraId="4CD8F3EF" w14:textId="6C4BE8BA" w:rsidR="00F719A8" w:rsidRPr="005F775A" w:rsidRDefault="00576CFA" w:rsidP="005F775A">
      <w:pPr>
        <w:pStyle w:val="MHeader"/>
        <w:spacing w:after="100"/>
      </w:pPr>
      <w:r w:rsidRPr="00A96255">
        <w:t>5. Data availability and disaggregation</w:t>
      </w:r>
    </w:p>
    <w:p w14:paraId="464A8CCF" w14:textId="0B424CF1" w:rsidR="00576CFA" w:rsidRPr="00F978AF" w:rsidRDefault="00D51E7C" w:rsidP="00576CFA">
      <w:pPr>
        <w:pStyle w:val="MText"/>
        <w:rPr>
          <w:b/>
          <w:bCs/>
        </w:rPr>
      </w:pPr>
      <w:r w:rsidRPr="00F978AF">
        <w:rPr>
          <w:b/>
          <w:bCs/>
        </w:rPr>
        <w:t>Data availability:</w:t>
      </w:r>
    </w:p>
    <w:p w14:paraId="098E6F5A" w14:textId="2F81A964" w:rsidR="00B43F0B" w:rsidRPr="00B43F0B" w:rsidRDefault="00B43F0B" w:rsidP="0E15B102">
      <w:pPr>
        <w:shd w:val="clear" w:color="auto" w:fill="FFFFFF" w:themeFill="background1"/>
        <w:spacing w:after="0" w:line="240" w:lineRule="auto"/>
        <w:jc w:val="both"/>
        <w:rPr>
          <w:rFonts w:eastAsia="Times New Roman" w:cs="Times New Roman"/>
          <w:color w:val="4A4A4A"/>
          <w:sz w:val="21"/>
          <w:szCs w:val="21"/>
          <w:lang w:eastAsia="en-GB"/>
        </w:rPr>
      </w:pPr>
      <w:r w:rsidRPr="0E15B102">
        <w:rPr>
          <w:rFonts w:eastAsia="Times New Roman" w:cs="Times New Roman"/>
          <w:color w:val="4A4A4A"/>
          <w:sz w:val="21"/>
          <w:szCs w:val="21"/>
          <w:lang w:eastAsia="en-GB"/>
        </w:rPr>
        <w:t>Data availability depends on the availability of household surveys and analysis of survey data. Data for total</w:t>
      </w:r>
      <w:r w:rsidR="13450845" w:rsidRPr="0E15B102">
        <w:rPr>
          <w:rFonts w:eastAsia="Times New Roman" w:cs="Times New Roman"/>
          <w:color w:val="4A4A4A"/>
          <w:sz w:val="21"/>
          <w:szCs w:val="21"/>
          <w:lang w:eastAsia="en-GB"/>
        </w:rPr>
        <w:t xml:space="preserve"> </w:t>
      </w:r>
      <w:r w:rsidRPr="0E15B102">
        <w:rPr>
          <w:rFonts w:eastAsia="Times New Roman" w:cs="Times New Roman"/>
          <w:color w:val="4A4A4A"/>
          <w:sz w:val="21"/>
          <w:szCs w:val="21"/>
          <w:lang w:eastAsia="en-GB"/>
        </w:rPr>
        <w:t xml:space="preserve">poverty are currently available for </w:t>
      </w:r>
      <w:r w:rsidR="34A62631" w:rsidRPr="0E15B102">
        <w:rPr>
          <w:rFonts w:eastAsia="Times New Roman" w:cs="Times New Roman"/>
          <w:color w:val="4A4A4A"/>
          <w:sz w:val="21"/>
          <w:szCs w:val="21"/>
          <w:lang w:eastAsia="en-GB"/>
        </w:rPr>
        <w:t>156</w:t>
      </w:r>
      <w:r w:rsidRPr="0E15B102">
        <w:rPr>
          <w:rFonts w:eastAsia="Times New Roman" w:cs="Times New Roman"/>
          <w:color w:val="4A4A4A"/>
          <w:sz w:val="21"/>
          <w:szCs w:val="21"/>
          <w:lang w:eastAsia="en-GB"/>
        </w:rPr>
        <w:t xml:space="preserve"> countries.</w:t>
      </w:r>
    </w:p>
    <w:p w14:paraId="2D0542F7" w14:textId="3DE6BFAB" w:rsidR="00D51E7C" w:rsidRPr="00C019E5" w:rsidRDefault="00D51E7C" w:rsidP="00576CFA">
      <w:pPr>
        <w:pStyle w:val="MText"/>
        <w:rPr>
          <w:highlight w:val="cyan"/>
        </w:rPr>
      </w:pPr>
    </w:p>
    <w:p w14:paraId="5853D6F7" w14:textId="7377A2B7" w:rsidR="00D51E7C" w:rsidRPr="00F978AF" w:rsidRDefault="00D51E7C" w:rsidP="00576CFA">
      <w:pPr>
        <w:pStyle w:val="MText"/>
        <w:rPr>
          <w:b/>
          <w:bCs/>
        </w:rPr>
      </w:pPr>
      <w:r w:rsidRPr="00F978AF">
        <w:rPr>
          <w:b/>
          <w:bCs/>
        </w:rPr>
        <w:t>Time series:</w:t>
      </w:r>
    </w:p>
    <w:p w14:paraId="504A11A2" w14:textId="31EBA4CA" w:rsidR="00B43F0B" w:rsidRPr="00E16300" w:rsidRDefault="00B43F0B" w:rsidP="0E15B102">
      <w:pPr>
        <w:shd w:val="clear" w:color="auto" w:fill="FFFFFF" w:themeFill="background1"/>
        <w:spacing w:after="0" w:line="240" w:lineRule="auto"/>
        <w:jc w:val="both"/>
        <w:rPr>
          <w:rFonts w:eastAsia="Times New Roman" w:cs="Times New Roman"/>
          <w:color w:val="4A4A4A"/>
          <w:sz w:val="21"/>
          <w:szCs w:val="21"/>
          <w:lang w:eastAsia="en-GB"/>
        </w:rPr>
      </w:pPr>
      <w:r w:rsidRPr="0E15B102">
        <w:rPr>
          <w:rFonts w:eastAsia="Times New Roman" w:cs="Times New Roman"/>
          <w:color w:val="4A4A4A"/>
          <w:sz w:val="21"/>
          <w:szCs w:val="21"/>
          <w:lang w:eastAsia="en-GB"/>
        </w:rPr>
        <w:t>Data are available from 198</w:t>
      </w:r>
      <w:r w:rsidR="0AE9B460" w:rsidRPr="0E15B102">
        <w:rPr>
          <w:rFonts w:eastAsia="Times New Roman" w:cs="Times New Roman"/>
          <w:color w:val="4A4A4A"/>
          <w:sz w:val="21"/>
          <w:szCs w:val="21"/>
          <w:lang w:eastAsia="en-GB"/>
        </w:rPr>
        <w:t>4</w:t>
      </w:r>
      <w:r w:rsidRPr="0E15B102">
        <w:rPr>
          <w:rFonts w:eastAsia="Times New Roman" w:cs="Times New Roman"/>
          <w:color w:val="4A4A4A"/>
          <w:sz w:val="21"/>
          <w:szCs w:val="21"/>
          <w:lang w:eastAsia="en-GB"/>
        </w:rPr>
        <w:t xml:space="preserve"> to 201</w:t>
      </w:r>
      <w:r w:rsidR="0CCCCAD9" w:rsidRPr="0E15B102">
        <w:rPr>
          <w:rFonts w:eastAsia="Times New Roman" w:cs="Times New Roman"/>
          <w:color w:val="4A4A4A"/>
          <w:sz w:val="21"/>
          <w:szCs w:val="21"/>
          <w:lang w:eastAsia="en-GB"/>
        </w:rPr>
        <w:t>9</w:t>
      </w:r>
      <w:r w:rsidRPr="0E15B102">
        <w:rPr>
          <w:rFonts w:eastAsia="Times New Roman" w:cs="Times New Roman"/>
          <w:color w:val="4A4A4A"/>
          <w:sz w:val="21"/>
          <w:szCs w:val="21"/>
          <w:lang w:eastAsia="en-GB"/>
        </w:rPr>
        <w:t xml:space="preserve">. Because the effort and capacity of collecting and analysing survey data are different for each country, the length of the time series for each country varies greatly.  </w:t>
      </w:r>
    </w:p>
    <w:p w14:paraId="760C013A" w14:textId="4597FCBD" w:rsidR="00D51E7C" w:rsidRPr="00C019E5" w:rsidRDefault="00D51E7C" w:rsidP="00576CFA">
      <w:pPr>
        <w:pStyle w:val="MText"/>
        <w:rPr>
          <w:highlight w:val="cyan"/>
        </w:rPr>
      </w:pPr>
    </w:p>
    <w:p w14:paraId="098FCA2D" w14:textId="77777777" w:rsidR="005F775A" w:rsidRPr="00F978AF" w:rsidRDefault="00D51E7C" w:rsidP="005F775A">
      <w:pPr>
        <w:pStyle w:val="MText"/>
        <w:rPr>
          <w:b/>
          <w:bCs/>
        </w:rPr>
      </w:pPr>
      <w:r w:rsidRPr="00F978AF">
        <w:rPr>
          <w:b/>
          <w:bCs/>
        </w:rPr>
        <w:t>Disaggregation:</w:t>
      </w:r>
    </w:p>
    <w:p w14:paraId="7818D581" w14:textId="620F8C8C" w:rsidR="005F775A" w:rsidRPr="007537B3" w:rsidRDefault="005F775A" w:rsidP="005F775A">
      <w:pPr>
        <w:pStyle w:val="MText"/>
      </w:pPr>
      <w:r w:rsidRPr="000D3158">
        <w:t>The only aggregation is by rural and urban areas.</w:t>
      </w:r>
    </w:p>
    <w:p w14:paraId="42E8CA56" w14:textId="77777777" w:rsidR="00D51E7C" w:rsidRPr="00A96255" w:rsidRDefault="00D51E7C" w:rsidP="00576CFA">
      <w:pPr>
        <w:pStyle w:val="MText"/>
      </w:pPr>
    </w:p>
    <w:p w14:paraId="33CAB7BE" w14:textId="18736139" w:rsidR="00EC2915" w:rsidRDefault="00B31E2C" w:rsidP="005F775A">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Pr="00F978AF" w:rsidRDefault="00D51E7C" w:rsidP="00576CFA">
      <w:pPr>
        <w:pStyle w:val="MText"/>
        <w:rPr>
          <w:b/>
          <w:bCs/>
        </w:rPr>
      </w:pPr>
      <w:r w:rsidRPr="00F978AF">
        <w:rPr>
          <w:b/>
          <w:bCs/>
        </w:rPr>
        <w:t>Sources of discrepancies:</w:t>
      </w:r>
    </w:p>
    <w:p w14:paraId="2FC7633E" w14:textId="77777777" w:rsidR="005F775A" w:rsidRDefault="005F775A" w:rsidP="005F775A">
      <w:pPr>
        <w:shd w:val="clear" w:color="auto" w:fill="FFFFFF"/>
        <w:spacing w:after="0"/>
        <w:jc w:val="both"/>
        <w:rPr>
          <w:rFonts w:eastAsia="Times New Roman" w:cs="Times New Roman"/>
          <w:color w:val="4A4A4A"/>
          <w:sz w:val="21"/>
          <w:szCs w:val="21"/>
          <w:lang w:eastAsia="en-GB"/>
        </w:rPr>
      </w:pPr>
      <w:r w:rsidRPr="000D3158">
        <w:rPr>
          <w:rFonts w:eastAsia="Times New Roman" w:cs="Times New Roman"/>
          <w:color w:val="4A4A4A"/>
          <w:sz w:val="21"/>
          <w:szCs w:val="21"/>
          <w:lang w:eastAsia="en-GB"/>
        </w:rPr>
        <w:t xml:space="preserve">National poverty estimates </w:t>
      </w:r>
      <w:proofErr w:type="gramStart"/>
      <w:r w:rsidRPr="000D3158">
        <w:rPr>
          <w:rFonts w:eastAsia="Times New Roman" w:cs="Times New Roman"/>
          <w:color w:val="4A4A4A"/>
          <w:sz w:val="21"/>
          <w:szCs w:val="21"/>
          <w:lang w:eastAsia="en-GB"/>
        </w:rPr>
        <w:t>is</w:t>
      </w:r>
      <w:proofErr w:type="gramEnd"/>
      <w:r w:rsidRPr="000D3158">
        <w:rPr>
          <w:rFonts w:eastAsia="Times New Roman" w:cs="Times New Roman"/>
          <w:color w:val="4A4A4A"/>
          <w:sz w:val="21"/>
          <w:szCs w:val="21"/>
          <w:lang w:eastAsia="en-GB"/>
        </w:rPr>
        <w:t xml:space="preserve"> a different concept</w:t>
      </w:r>
      <w:r>
        <w:rPr>
          <w:rFonts w:eastAsia="Times New Roman" w:cs="Times New Roman"/>
          <w:color w:val="4A4A4A"/>
          <w:sz w:val="21"/>
          <w:szCs w:val="21"/>
          <w:lang w:eastAsia="en-GB"/>
        </w:rPr>
        <w:t xml:space="preserve"> from international poverty estimates</w:t>
      </w:r>
      <w:r w:rsidRPr="000D3158">
        <w:rPr>
          <w:rFonts w:eastAsia="Times New Roman" w:cs="Times New Roman"/>
          <w:color w:val="4A4A4A"/>
          <w:sz w:val="21"/>
          <w:szCs w:val="21"/>
          <w:lang w:eastAsia="en-GB"/>
        </w:rPr>
        <w:t>.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698B100" w14:textId="77777777" w:rsidR="00B43F0B" w:rsidRDefault="00B43F0B" w:rsidP="00B43F0B">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URL:</w:t>
      </w:r>
    </w:p>
    <w:p w14:paraId="2ACB0100" w14:textId="77777777" w:rsidR="00B43F0B" w:rsidRPr="00573631" w:rsidRDefault="00B43F0B" w:rsidP="00B43F0B">
      <w:pPr>
        <w:shd w:val="clear" w:color="auto" w:fill="FFFFFF"/>
        <w:spacing w:after="0"/>
        <w:rPr>
          <w:rFonts w:eastAsia="Times New Roman" w:cs="Times New Roman"/>
          <w:color w:val="4A4A4A"/>
          <w:sz w:val="21"/>
          <w:szCs w:val="21"/>
          <w:lang w:eastAsia="en-GB"/>
        </w:rPr>
      </w:pPr>
      <w:r w:rsidRPr="00B37C51">
        <w:rPr>
          <w:rFonts w:eastAsia="Times New Roman" w:cs="Times New Roman"/>
          <w:color w:val="4A4A4A"/>
          <w:sz w:val="21"/>
          <w:szCs w:val="21"/>
          <w:lang w:eastAsia="en-GB"/>
        </w:rPr>
        <w:t>Poverty and Equity Data Portal</w:t>
      </w:r>
    </w:p>
    <w:p w14:paraId="48F23916" w14:textId="77777777" w:rsidR="00B43F0B" w:rsidRDefault="003136F6" w:rsidP="00B43F0B">
      <w:pPr>
        <w:shd w:val="clear" w:color="auto" w:fill="FFFFFF"/>
        <w:spacing w:after="0"/>
        <w:rPr>
          <w:rFonts w:eastAsia="Times New Roman" w:cs="Times New Roman"/>
          <w:color w:val="4A4A4A"/>
          <w:sz w:val="21"/>
          <w:szCs w:val="21"/>
          <w:lang w:eastAsia="en-GB"/>
        </w:rPr>
      </w:pPr>
      <w:hyperlink r:id="rId11" w:history="1">
        <w:r w:rsidR="00B43F0B" w:rsidRPr="00693C3B">
          <w:rPr>
            <w:rStyle w:val="Hyperlink"/>
            <w:rFonts w:eastAsia="Times New Roman" w:cs="Times New Roman"/>
            <w:sz w:val="21"/>
            <w:szCs w:val="21"/>
            <w:lang w:eastAsia="en-GB"/>
          </w:rPr>
          <w:t>http://povertydata.worldbank.org/poverty/home/</w:t>
        </w:r>
      </w:hyperlink>
    </w:p>
    <w:p w14:paraId="0F84E3E7" w14:textId="77777777" w:rsidR="00B43F0B" w:rsidRPr="00573631" w:rsidRDefault="00B43F0B" w:rsidP="00B43F0B">
      <w:pPr>
        <w:shd w:val="clear" w:color="auto" w:fill="FFFFFF"/>
        <w:spacing w:after="0"/>
        <w:rPr>
          <w:rFonts w:eastAsia="Times New Roman" w:cs="Times New Roman"/>
          <w:color w:val="4A4A4A"/>
          <w:sz w:val="21"/>
          <w:szCs w:val="21"/>
          <w:lang w:eastAsia="en-GB"/>
        </w:rPr>
      </w:pPr>
    </w:p>
    <w:p w14:paraId="7827BF66" w14:textId="77777777" w:rsidR="00B43F0B" w:rsidRPr="00573631" w:rsidRDefault="00B43F0B" w:rsidP="00B43F0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p>
    <w:p w14:paraId="27E6ABE2" w14:textId="77777777" w:rsidR="00B43F0B" w:rsidRDefault="00B43F0B" w:rsidP="00B43F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Deaton, Angus. </w:t>
      </w:r>
      <w:r w:rsidRPr="002E4CA8">
        <w:rPr>
          <w:rFonts w:eastAsia="Times New Roman" w:cs="Times New Roman"/>
          <w:color w:val="4A4A4A"/>
          <w:sz w:val="21"/>
          <w:szCs w:val="21"/>
          <w:lang w:eastAsia="en-GB"/>
        </w:rPr>
        <w:t>2003. “Household Surveys, Consumption, and the Measurement of Poverty”. Economic Systems Research, Vol. 15, No. 2, June 2003</w:t>
      </w:r>
    </w:p>
    <w:p w14:paraId="575CD272" w14:textId="77777777" w:rsidR="00B43F0B" w:rsidRDefault="00B43F0B" w:rsidP="00B43F0B">
      <w:pPr>
        <w:shd w:val="clear" w:color="auto" w:fill="FFFFFF"/>
        <w:spacing w:after="0"/>
        <w:rPr>
          <w:rFonts w:eastAsia="Times New Roman" w:cs="Times New Roman"/>
          <w:color w:val="4A4A4A"/>
          <w:sz w:val="21"/>
          <w:szCs w:val="21"/>
          <w:lang w:eastAsia="en-GB"/>
        </w:rPr>
      </w:pPr>
      <w:r w:rsidRPr="00556BEF">
        <w:rPr>
          <w:rFonts w:eastAsia="Times New Roman" w:cs="Times New Roman"/>
          <w:color w:val="4A4A4A"/>
          <w:sz w:val="21"/>
          <w:szCs w:val="21"/>
          <w:lang w:eastAsia="en-GB"/>
        </w:rPr>
        <w:t>Deaton, Angus; Zaidi, Salman. 2002. Guidelines for Constructing Consumption Aggregates for Welfare Analysis. LSMS Working Paper;</w:t>
      </w:r>
      <w:r>
        <w:rPr>
          <w:rFonts w:eastAsia="Times New Roman" w:cs="Times New Roman"/>
          <w:color w:val="4A4A4A"/>
          <w:sz w:val="21"/>
          <w:szCs w:val="21"/>
          <w:lang w:eastAsia="en-GB"/>
        </w:rPr>
        <w:t xml:space="preserve"> </w:t>
      </w:r>
      <w:r w:rsidRPr="00556BEF">
        <w:rPr>
          <w:rFonts w:eastAsia="Times New Roman" w:cs="Times New Roman"/>
          <w:color w:val="4A4A4A"/>
          <w:sz w:val="21"/>
          <w:szCs w:val="21"/>
          <w:lang w:eastAsia="en-GB"/>
        </w:rPr>
        <w:t xml:space="preserve">No. 135. World Bank. </w:t>
      </w:r>
    </w:p>
    <w:p w14:paraId="1F0234FC" w14:textId="77777777" w:rsidR="00B43F0B" w:rsidRDefault="00B43F0B" w:rsidP="00B43F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World Bank 2008. </w:t>
      </w:r>
      <w:r w:rsidRPr="00452D42">
        <w:rPr>
          <w:rFonts w:eastAsia="Times New Roman" w:cs="Times New Roman"/>
          <w:i/>
          <w:color w:val="4A4A4A"/>
          <w:sz w:val="21"/>
          <w:szCs w:val="21"/>
          <w:lang w:eastAsia="en-GB"/>
        </w:rPr>
        <w:t>Poverty data: A supplement to World Development Indicators 2008</w:t>
      </w:r>
      <w:r>
        <w:rPr>
          <w:rFonts w:eastAsia="Times New Roman" w:cs="Times New Roman"/>
          <w:color w:val="4A4A4A"/>
          <w:sz w:val="21"/>
          <w:szCs w:val="21"/>
          <w:lang w:eastAsia="en-GB"/>
        </w:rPr>
        <w:t xml:space="preserve">. Washington, DC. </w:t>
      </w: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DA6E0" w14:textId="77777777" w:rsidR="003136F6" w:rsidRDefault="003136F6" w:rsidP="00573C0B">
      <w:pPr>
        <w:spacing w:after="0" w:line="240" w:lineRule="auto"/>
      </w:pPr>
      <w:r>
        <w:separator/>
      </w:r>
    </w:p>
  </w:endnote>
  <w:endnote w:type="continuationSeparator" w:id="0">
    <w:p w14:paraId="5EBE0762" w14:textId="77777777" w:rsidR="003136F6" w:rsidRDefault="003136F6" w:rsidP="00573C0B">
      <w:pPr>
        <w:spacing w:after="0" w:line="240" w:lineRule="auto"/>
      </w:pPr>
      <w:r>
        <w:continuationSeparator/>
      </w:r>
    </w:p>
  </w:endnote>
  <w:endnote w:type="continuationNotice" w:id="1">
    <w:p w14:paraId="743A290B" w14:textId="77777777" w:rsidR="003136F6" w:rsidRDefault="003136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A88B0" w14:textId="77777777" w:rsidR="003136F6" w:rsidRDefault="003136F6" w:rsidP="00573C0B">
      <w:pPr>
        <w:spacing w:after="0" w:line="240" w:lineRule="auto"/>
      </w:pPr>
      <w:r>
        <w:separator/>
      </w:r>
    </w:p>
  </w:footnote>
  <w:footnote w:type="continuationSeparator" w:id="0">
    <w:p w14:paraId="6152B532" w14:textId="77777777" w:rsidR="003136F6" w:rsidRDefault="003136F6" w:rsidP="00573C0B">
      <w:pPr>
        <w:spacing w:after="0" w:line="240" w:lineRule="auto"/>
      </w:pPr>
      <w:r>
        <w:continuationSeparator/>
      </w:r>
    </w:p>
  </w:footnote>
  <w:footnote w:type="continuationNotice" w:id="1">
    <w:p w14:paraId="7C4B5EEF" w14:textId="77777777" w:rsidR="003136F6" w:rsidRDefault="003136F6">
      <w:pPr>
        <w:spacing w:after="0" w:line="240" w:lineRule="auto"/>
      </w:pPr>
    </w:p>
  </w:footnote>
  <w:footnote w:id="2">
    <w:p w14:paraId="5A24C3F5" w14:textId="77777777" w:rsidR="00B43F0B" w:rsidRPr="006E63C0" w:rsidRDefault="00B43F0B" w:rsidP="00B43F0B">
      <w:pPr>
        <w:pStyle w:val="FootnoteText"/>
        <w:rPr>
          <w:lang w:val="en-US"/>
        </w:rPr>
      </w:pPr>
      <w:r>
        <w:rPr>
          <w:rStyle w:val="FootnoteReference"/>
        </w:rPr>
        <w:footnoteRef/>
      </w:r>
      <w:r>
        <w:t xml:space="preserve"> For a discussion on reasons consumption is preferred, check: </w:t>
      </w:r>
      <w:r w:rsidRPr="006E63C0">
        <w:t>Deaton, Angus (2003). “Household Surveys, Consumption, and the Measurement of Poverty”. Economic Systems Research, Vol. 15, No. 2, June 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381D9A46"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345D2B">
      <w:rPr>
        <w:color w:val="404040" w:themeColor="text1" w:themeTint="BF"/>
        <w:sz w:val="18"/>
        <w:szCs w:val="18"/>
      </w:rPr>
      <w:t>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4118"/>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136F6"/>
    <w:rsid w:val="003265EB"/>
    <w:rsid w:val="00327284"/>
    <w:rsid w:val="0034329E"/>
    <w:rsid w:val="00343FAA"/>
    <w:rsid w:val="00345D2B"/>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B20BE"/>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D0AF4"/>
    <w:rsid w:val="005E54BD"/>
    <w:rsid w:val="005F6CCA"/>
    <w:rsid w:val="005F775A"/>
    <w:rsid w:val="006104AF"/>
    <w:rsid w:val="00621893"/>
    <w:rsid w:val="006351E1"/>
    <w:rsid w:val="006447B1"/>
    <w:rsid w:val="00662775"/>
    <w:rsid w:val="006852FC"/>
    <w:rsid w:val="006B40AB"/>
    <w:rsid w:val="006B5DC5"/>
    <w:rsid w:val="006C4BFD"/>
    <w:rsid w:val="006C7D30"/>
    <w:rsid w:val="006E3C08"/>
    <w:rsid w:val="006F4DBF"/>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43F0B"/>
    <w:rsid w:val="00B52AFD"/>
    <w:rsid w:val="00B54077"/>
    <w:rsid w:val="00B8087E"/>
    <w:rsid w:val="00BB646E"/>
    <w:rsid w:val="00BD1BA1"/>
    <w:rsid w:val="00C019E5"/>
    <w:rsid w:val="00C16F93"/>
    <w:rsid w:val="00C35BC4"/>
    <w:rsid w:val="00C43F5B"/>
    <w:rsid w:val="00C55F99"/>
    <w:rsid w:val="00CB4371"/>
    <w:rsid w:val="00CC516D"/>
    <w:rsid w:val="00D24330"/>
    <w:rsid w:val="00D40056"/>
    <w:rsid w:val="00D51E7C"/>
    <w:rsid w:val="00D54F29"/>
    <w:rsid w:val="00D7020C"/>
    <w:rsid w:val="00D70AD9"/>
    <w:rsid w:val="00D72152"/>
    <w:rsid w:val="00D85A46"/>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970D1"/>
    <w:rsid w:val="00F978AF"/>
    <w:rsid w:val="00FB24E8"/>
    <w:rsid w:val="00FB3B2B"/>
    <w:rsid w:val="00FC18DA"/>
    <w:rsid w:val="00FC3917"/>
    <w:rsid w:val="00FD60DA"/>
    <w:rsid w:val="00FF07B4"/>
    <w:rsid w:val="0AE9B460"/>
    <w:rsid w:val="0CCCCAD9"/>
    <w:rsid w:val="0E15B102"/>
    <w:rsid w:val="13450845"/>
    <w:rsid w:val="1526EC3A"/>
    <w:rsid w:val="247FE152"/>
    <w:rsid w:val="28D19856"/>
    <w:rsid w:val="2C82C734"/>
    <w:rsid w:val="34A62631"/>
    <w:rsid w:val="372F725C"/>
    <w:rsid w:val="39DB7F13"/>
    <w:rsid w:val="3C274A68"/>
    <w:rsid w:val="3F5EEB2A"/>
    <w:rsid w:val="6324C683"/>
    <w:rsid w:val="668793E6"/>
    <w:rsid w:val="68EF56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unhideWhenUsed/>
    <w:rsid w:val="00B43F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B43F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F0B"/>
    <w:rPr>
      <w:sz w:val="20"/>
      <w:szCs w:val="20"/>
    </w:rPr>
  </w:style>
  <w:style w:type="character" w:styleId="FootnoteReference">
    <w:name w:val="footnote reference"/>
    <w:basedOn w:val="DefaultParagraphFont"/>
    <w:uiPriority w:val="99"/>
    <w:semiHidden/>
    <w:unhideWhenUsed/>
    <w:rsid w:val="00B43F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overtydata.worldbank.org/poverty/hom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2262</Words>
  <Characters>12895</Characters>
  <Application>Microsoft Office Word</Application>
  <DocSecurity>0</DocSecurity>
  <Lines>107</Lines>
  <Paragraphs>30</Paragraphs>
  <ScaleCrop>false</ScaleCrop>
  <Company>United Nations</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2016-07-16T14:25:00Z</cp:lastPrinted>
  <dcterms:created xsi:type="dcterms:W3CDTF">2021-09-07T15:14:00Z</dcterms:created>
  <dcterms:modified xsi:type="dcterms:W3CDTF">2021-09-29T04:23:00Z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