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15FBE40" w:rsidR="00D24330" w:rsidRPr="00A96255" w:rsidRDefault="00F250D3" w:rsidP="002F5F0C">
      <w:pPr>
        <w:pStyle w:val="MGTHeader"/>
      </w:pPr>
      <w:r w:rsidRPr="00F250D3">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776F2BE9" w:rsidR="00D24330" w:rsidRPr="00A96255" w:rsidRDefault="00F250D3" w:rsidP="00D24330">
      <w:pPr>
        <w:pStyle w:val="MGTHeader"/>
      </w:pPr>
      <w:r w:rsidRPr="00F250D3">
        <w:t xml:space="preserve">Target 2.1: By 2030, end hunger and ensure access by all people, </w:t>
      </w:r>
      <w:proofErr w:type="gramStart"/>
      <w:r w:rsidRPr="00F250D3">
        <w:t>in particular the</w:t>
      </w:r>
      <w:proofErr w:type="gramEnd"/>
      <w:r w:rsidRPr="00F250D3">
        <w:t xml:space="preserve"> poor and people in vulnerable situations, including infants, to safe, nutritious and sufficient food all year round</w:t>
      </w:r>
    </w:p>
    <w:p w14:paraId="3E67E7E0" w14:textId="77777777" w:rsidR="00D24330" w:rsidRPr="00A96255" w:rsidRDefault="00D24330" w:rsidP="00D24330">
      <w:pPr>
        <w:pStyle w:val="MIndHeader"/>
      </w:pPr>
      <w:r w:rsidRPr="00A96255">
        <w:t>0.c. Indicator</w:t>
      </w:r>
    </w:p>
    <w:p w14:paraId="6045F6C3" w14:textId="07E4A55C" w:rsidR="00D24330" w:rsidRPr="00A96255" w:rsidRDefault="00F250D3" w:rsidP="00D24330">
      <w:pPr>
        <w:pStyle w:val="MGTHeader"/>
      </w:pPr>
      <w:r w:rsidRPr="00F250D3">
        <w:t>Indicator 2.1.1: Prevalence of undernourishment</w:t>
      </w:r>
    </w:p>
    <w:p w14:paraId="37E5E4F6" w14:textId="77777777" w:rsidR="00D24330" w:rsidRPr="00BC18A9" w:rsidRDefault="00D24330" w:rsidP="00D24330">
      <w:pPr>
        <w:pStyle w:val="MIndHeader"/>
        <w:rPr>
          <w:lang w:val="it-IT"/>
        </w:rPr>
      </w:pPr>
      <w:r w:rsidRPr="00BC18A9">
        <w:rPr>
          <w:lang w:val="it-IT"/>
        </w:rPr>
        <w:t>0.d. Series</w:t>
      </w:r>
    </w:p>
    <w:p w14:paraId="771888BA" w14:textId="489D8E5D" w:rsidR="00D24330" w:rsidRPr="00BC18A9" w:rsidRDefault="00D24330" w:rsidP="00BC18A9">
      <w:pPr>
        <w:pStyle w:val="MGTHeader"/>
        <w:rPr>
          <w:lang w:val="it-IT"/>
        </w:rPr>
      </w:pPr>
    </w:p>
    <w:p w14:paraId="157DACE7" w14:textId="77777777" w:rsidR="00D24330" w:rsidRPr="00BC18A9" w:rsidRDefault="00D24330" w:rsidP="00D24330">
      <w:pPr>
        <w:pStyle w:val="MIndHeader"/>
        <w:rPr>
          <w:lang w:val="it-IT"/>
        </w:rPr>
      </w:pPr>
      <w:r w:rsidRPr="00BC18A9">
        <w:rPr>
          <w:lang w:val="it-IT"/>
        </w:rPr>
        <w:t>0.e. Metadata update</w:t>
      </w:r>
    </w:p>
    <w:p w14:paraId="03424B60" w14:textId="538BA943" w:rsidR="00D24330" w:rsidRPr="00A96255" w:rsidRDefault="001B67C5" w:rsidP="00D24330">
      <w:pPr>
        <w:pStyle w:val="MGTHeader"/>
      </w:pPr>
      <w:r>
        <w:t>February</w:t>
      </w:r>
      <w:r w:rsidR="00F250D3" w:rsidRPr="00F250D3">
        <w:t xml:space="preserve"> 202</w:t>
      </w:r>
      <w:r>
        <w:t>1</w:t>
      </w:r>
    </w:p>
    <w:p w14:paraId="415C9FF1" w14:textId="77777777" w:rsidR="00D24330" w:rsidRPr="00A96255" w:rsidRDefault="00D24330" w:rsidP="00D24330">
      <w:pPr>
        <w:pStyle w:val="MIndHeader"/>
      </w:pPr>
      <w:r w:rsidRPr="00A96255">
        <w:t>0.f. Related indicators</w:t>
      </w:r>
    </w:p>
    <w:p w14:paraId="2B19D055" w14:textId="2FE94E20" w:rsidR="00F250D3" w:rsidRDefault="0092604B" w:rsidP="00F250D3">
      <w:pPr>
        <w:pStyle w:val="MGTHeader"/>
      </w:pPr>
      <w:r>
        <w:t>2.1.2, 2.2.1, 2.2.2, 2.2.3</w:t>
      </w:r>
      <w:r w:rsidR="00F250D3">
        <w:t xml:space="preserve"> </w:t>
      </w:r>
    </w:p>
    <w:p w14:paraId="54A07D1F" w14:textId="1AFCF6A9" w:rsidR="00F250D3" w:rsidRDefault="00F250D3" w:rsidP="00F250D3">
      <w:pPr>
        <w:pStyle w:val="MGTHeader"/>
      </w:pPr>
      <w:r>
        <w:t xml:space="preserve">Comments: </w:t>
      </w:r>
    </w:p>
    <w:p w14:paraId="21524279" w14:textId="04795EAE" w:rsidR="00D24330" w:rsidRPr="00A96255" w:rsidRDefault="00F250D3" w:rsidP="00F250D3">
      <w:pPr>
        <w:pStyle w:val="MGTHeader"/>
      </w:pPr>
      <w:r>
        <w:t xml:space="preserve">Links with Target 2.2, to the extent that hunger </w:t>
      </w:r>
      <w:r w:rsidR="001B67C5">
        <w:t>may lead to</w:t>
      </w:r>
      <w:r>
        <w:t xml:space="preserve"> malnutrition, and Target 2.2 </w:t>
      </w:r>
      <w:r w:rsidR="001B67C5">
        <w:t xml:space="preserve">may not </w:t>
      </w:r>
      <w:r>
        <w:t xml:space="preserve">be achieved </w:t>
      </w:r>
      <w:r w:rsidR="001B67C5">
        <w:t>if</w:t>
      </w:r>
      <w:r>
        <w:t xml:space="preserve"> Target 2.1 is</w:t>
      </w:r>
      <w:r w:rsidR="001B67C5">
        <w:t xml:space="preserve"> not</w:t>
      </w:r>
      <w:r>
        <w:t xml:space="preserve"> achieved.</w:t>
      </w:r>
    </w:p>
    <w:p w14:paraId="077BC49E" w14:textId="77777777" w:rsidR="00D24330" w:rsidRPr="00A96255" w:rsidRDefault="00D24330" w:rsidP="00D24330">
      <w:pPr>
        <w:pStyle w:val="MIndHeader"/>
      </w:pPr>
      <w:r w:rsidRPr="00A96255">
        <w:t>0.g. International organisations(s) responsible for global monitoring</w:t>
      </w:r>
    </w:p>
    <w:p w14:paraId="0393368E" w14:textId="53899BFF" w:rsidR="00621893" w:rsidRPr="00A96255" w:rsidRDefault="00F250D3" w:rsidP="00D24330">
      <w:pPr>
        <w:pStyle w:val="MGTHeader"/>
        <w:rPr>
          <w:color w:val="4A4A4A"/>
        </w:rPr>
      </w:pPr>
      <w:r w:rsidRPr="00F250D3">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66A0BE5C" w:rsidR="00576CFA" w:rsidRDefault="00F250D3" w:rsidP="00576CFA">
      <w:pPr>
        <w:pStyle w:val="MText"/>
      </w:pPr>
      <w:r w:rsidRPr="00F250D3">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76590E1" w14:textId="77777777" w:rsidR="00F250D3" w:rsidRDefault="00F250D3" w:rsidP="00F250D3">
      <w:pPr>
        <w:pStyle w:val="MText"/>
      </w:pPr>
      <w:r>
        <w:t xml:space="preserve">Definition: </w:t>
      </w:r>
    </w:p>
    <w:p w14:paraId="6E73DDFA" w14:textId="77777777" w:rsidR="00F250D3" w:rsidRDefault="00F250D3" w:rsidP="00F250D3">
      <w:pPr>
        <w:pStyle w:val="MText"/>
      </w:pPr>
    </w:p>
    <w:p w14:paraId="153B09C3" w14:textId="2093137A" w:rsidR="00D51E7C" w:rsidRDefault="00F250D3" w:rsidP="00F250D3">
      <w:pPr>
        <w:pStyle w:val="MText"/>
      </w:pPr>
      <w:r>
        <w:t>The prevalence of undernourishment (</w:t>
      </w:r>
      <w:proofErr w:type="spellStart"/>
      <w:r>
        <w:t>PoU</w:t>
      </w:r>
      <w:proofErr w:type="spellEnd"/>
      <w:r>
        <w:t xml:space="preserve">) (French: </w:t>
      </w:r>
      <w:proofErr w:type="spellStart"/>
      <w:r>
        <w:t>pourcentage</w:t>
      </w:r>
      <w:proofErr w:type="spellEnd"/>
      <w:r>
        <w:t xml:space="preserve"> de sous-alimentation; Spanish: </w:t>
      </w:r>
      <w:proofErr w:type="spellStart"/>
      <w:r>
        <w:t>porcentaje</w:t>
      </w:r>
      <w:proofErr w:type="spellEnd"/>
      <w:r>
        <w:t xml:space="preserve"> de sub-</w:t>
      </w:r>
      <w:proofErr w:type="spellStart"/>
      <w:r>
        <w:t>alimentación</w:t>
      </w:r>
      <w:proofErr w:type="spellEnd"/>
      <w:r>
        <w:t xml:space="preserve">; Italian: </w:t>
      </w:r>
      <w:proofErr w:type="spellStart"/>
      <w:r>
        <w:t>prevalenza</w:t>
      </w:r>
      <w:proofErr w:type="spellEnd"/>
      <w:r>
        <w:t xml:space="preserve"> di sotto-</w:t>
      </w:r>
      <w:proofErr w:type="spellStart"/>
      <w:r>
        <w:t>alimentazione</w:t>
      </w:r>
      <w:proofErr w:type="spellEnd"/>
      <w:r>
        <w:t>) is an estimate of the proportion of the population whose habitual food consumption is insufficient to provide the dietary energy levels that are required to maintain a normal active and healthy life. It is expressed as a percentage.</w:t>
      </w:r>
    </w:p>
    <w:p w14:paraId="455EF993" w14:textId="67995677" w:rsidR="00F250D3" w:rsidRDefault="00F250D3" w:rsidP="00F250D3">
      <w:pPr>
        <w:pStyle w:val="MText"/>
      </w:pPr>
    </w:p>
    <w:p w14:paraId="0C86C753" w14:textId="77777777" w:rsidR="00F250D3" w:rsidRDefault="00F250D3" w:rsidP="00F250D3">
      <w:pPr>
        <w:pStyle w:val="MText"/>
      </w:pPr>
      <w:r>
        <w:t xml:space="preserve">Concepts: </w:t>
      </w:r>
    </w:p>
    <w:p w14:paraId="2999712D" w14:textId="77777777" w:rsidR="00F250D3" w:rsidRDefault="00F250D3" w:rsidP="00F250D3">
      <w:pPr>
        <w:pStyle w:val="MText"/>
      </w:pPr>
    </w:p>
    <w:p w14:paraId="7E97A3C2" w14:textId="3F31E87E" w:rsidR="00F250D3" w:rsidRDefault="00F250D3" w:rsidP="00F250D3">
      <w:pPr>
        <w:pStyle w:val="MText"/>
      </w:pPr>
      <w:r>
        <w:t xml:space="preserve">Undernourishment is defined as the condition by which a person has access, on a regular basis, to </w:t>
      </w:r>
      <w:r w:rsidR="001B67C5">
        <w:t xml:space="preserve">the </w:t>
      </w:r>
      <w:r>
        <w:t xml:space="preserve">amount of food that are insufficient to provide the energy required for conducting a normal, healthy and active life, given his or her own dietary energy requirements. </w:t>
      </w:r>
    </w:p>
    <w:p w14:paraId="1A725692" w14:textId="77777777" w:rsidR="00F250D3" w:rsidRDefault="00F250D3" w:rsidP="00F250D3">
      <w:pPr>
        <w:pStyle w:val="MText"/>
      </w:pPr>
    </w:p>
    <w:p w14:paraId="2F6FD3B7" w14:textId="77777777" w:rsidR="00F250D3" w:rsidRDefault="00F250D3" w:rsidP="00F250D3">
      <w:pPr>
        <w:pStyle w:val="MText"/>
      </w:pPr>
      <w: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w:t>
      </w:r>
      <w:proofErr w:type="gramStart"/>
      <w:r>
        <w:t>by the use of</w:t>
      </w:r>
      <w:proofErr w:type="gramEnd"/>
      <w:r>
        <w:t xml:space="preserve"> the terms alimentation, </w:t>
      </w:r>
      <w:proofErr w:type="spellStart"/>
      <w:r>
        <w:t>alimentación</w:t>
      </w:r>
      <w:proofErr w:type="spellEnd"/>
      <w:r>
        <w:t xml:space="preserve">, or </w:t>
      </w:r>
      <w:proofErr w:type="spellStart"/>
      <w:r>
        <w:t>alimentazione</w:t>
      </w:r>
      <w:proofErr w:type="spellEnd"/>
      <w:r>
        <w:t xml:space="preserve">, instead of nutrition, </w:t>
      </w:r>
      <w:proofErr w:type="spellStart"/>
      <w:r>
        <w:t>nutrición</w:t>
      </w:r>
      <w:proofErr w:type="spellEnd"/>
      <w:r>
        <w:t xml:space="preserve"> or </w:t>
      </w:r>
      <w:proofErr w:type="spellStart"/>
      <w:r>
        <w:t>nutrizione</w:t>
      </w:r>
      <w:proofErr w:type="spellEnd"/>
      <w:r>
        <w:t xml:space="preserve">, in the name of the indicator. A more appropriate expression in English that would render the precise meaning of the indicator might have been “prevalence of under-feeding” but by now the term “undernourishment” has long been associated with the indicator. </w:t>
      </w:r>
    </w:p>
    <w:p w14:paraId="7019E18E" w14:textId="77777777" w:rsidR="00F250D3" w:rsidRDefault="00F250D3" w:rsidP="00F250D3">
      <w:pPr>
        <w:pStyle w:val="MText"/>
      </w:pPr>
    </w:p>
    <w:p w14:paraId="0096F9D0" w14:textId="34E29E3D" w:rsidR="00F250D3" w:rsidRPr="00A96255" w:rsidRDefault="00F250D3" w:rsidP="00F250D3">
      <w:pPr>
        <w:pStyle w:val="MText"/>
      </w:pPr>
      <w: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F6ECFC2" w:rsidR="00576CFA" w:rsidRPr="00A96255" w:rsidRDefault="001B67C5" w:rsidP="00576CFA">
      <w:pPr>
        <w:pStyle w:val="MText"/>
      </w:pPr>
      <w:r w:rsidRPr="000C1341">
        <w:t xml:space="preserve">The </w:t>
      </w:r>
      <w:r w:rsidRPr="00046941">
        <w:t xml:space="preserve">unit of </w:t>
      </w:r>
      <w:r w:rsidRPr="000C1341">
        <w:t>the prevalence of undernourishment is percentage of the total population. A related indicator, the</w:t>
      </w:r>
      <w:r w:rsidRPr="00046941">
        <w:t xml:space="preserve"> number of </w:t>
      </w:r>
      <w:r w:rsidRPr="000C1341">
        <w:t xml:space="preserve">undernourished </w:t>
      </w:r>
      <w:r w:rsidRPr="00046941">
        <w:t xml:space="preserve">people, </w:t>
      </w:r>
      <w:r w:rsidRPr="000C1341">
        <w:t>is measured</w:t>
      </w:r>
      <w:r>
        <w:t xml:space="preserve"> as millions of people.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69D75009" w:rsidR="00EC2915" w:rsidRDefault="001B67C5" w:rsidP="00576CFA">
      <w:pPr>
        <w:pStyle w:val="MText"/>
      </w:pPr>
      <w:r>
        <w:t>The construction of the regional and global estimates, as well as estimates for specific groups, such as Least Developed Countries, Land Locked Developing countries, Small Island Developing States, Developed Regions, and Developing Regions, of this indicator follow</w:t>
      </w:r>
      <w:r w:rsidR="005203DA">
        <w:t>s</w:t>
      </w:r>
      <w:r>
        <w:t xml:space="preserve"> the UN M49 Standard.</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A658C8C"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ideal source of data to estimate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24CDDF61" w14:textId="77777777" w:rsidR="00F250D3" w:rsidRPr="00F250D3" w:rsidRDefault="00F250D3" w:rsidP="00F250D3">
      <w:pPr>
        <w:pStyle w:val="Default"/>
        <w:rPr>
          <w:rFonts w:asciiTheme="minorHAnsi" w:hAnsiTheme="minorHAnsi" w:cstheme="minorHAnsi"/>
          <w:color w:val="4A4A4A"/>
          <w:sz w:val="21"/>
          <w:szCs w:val="21"/>
        </w:rPr>
      </w:pPr>
    </w:p>
    <w:p w14:paraId="08FF6448"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r>
    </w:p>
    <w:p w14:paraId="48B6E20B" w14:textId="77777777" w:rsidR="00F250D3" w:rsidRPr="00F250D3" w:rsidRDefault="00F250D3" w:rsidP="00F250D3">
      <w:pPr>
        <w:pStyle w:val="Default"/>
        <w:rPr>
          <w:rFonts w:asciiTheme="minorHAnsi" w:hAnsiTheme="minorHAnsi" w:cstheme="minorHAnsi"/>
          <w:color w:val="4A4A4A"/>
          <w:sz w:val="21"/>
          <w:szCs w:val="21"/>
        </w:rPr>
      </w:pPr>
    </w:p>
    <w:p w14:paraId="2B0A8934" w14:textId="77777777" w:rsidR="00F250D3" w:rsidRPr="00F250D3" w:rsidRDefault="00F250D3" w:rsidP="00F250D3">
      <w:pPr>
        <w:pStyle w:val="Default"/>
        <w:numPr>
          <w:ilvl w:val="0"/>
          <w:numId w:val="5"/>
        </w:numPr>
        <w:ind w:left="360"/>
        <w:rPr>
          <w:rFonts w:asciiTheme="minorHAnsi" w:hAnsiTheme="minorHAnsi" w:cstheme="minorHAnsi"/>
          <w:color w:val="4A4A4A"/>
          <w:sz w:val="21"/>
          <w:szCs w:val="21"/>
        </w:rPr>
      </w:pPr>
      <w:r w:rsidRPr="00F250D3">
        <w:rPr>
          <w:rFonts w:asciiTheme="minorHAnsi" w:hAnsiTheme="minorHAnsi" w:cstheme="minorHAnsi"/>
          <w:color w:val="4A4A4A"/>
          <w:sz w:val="21"/>
          <w:szCs w:val="21"/>
        </w:rPr>
        <w:t>All sources of food consumption for all members of the households are properly accounted for, including</w:t>
      </w:r>
      <w:proofErr w:type="gramStart"/>
      <w:r w:rsidRPr="00F250D3">
        <w:rPr>
          <w:rFonts w:asciiTheme="minorHAnsi" w:hAnsiTheme="minorHAnsi" w:cstheme="minorHAnsi"/>
          <w:color w:val="4A4A4A"/>
          <w:sz w:val="21"/>
          <w:szCs w:val="21"/>
        </w:rPr>
        <w:t>, in particular, food</w:t>
      </w:r>
      <w:proofErr w:type="gramEnd"/>
      <w:r w:rsidRPr="00F250D3">
        <w:rPr>
          <w:rFonts w:asciiTheme="minorHAnsi" w:hAnsiTheme="minorHAnsi" w:cstheme="minorHAnsi"/>
          <w:color w:val="4A4A4A"/>
          <w:sz w:val="21"/>
          <w:szCs w:val="21"/>
        </w:rPr>
        <w:t xml:space="preserve"> that is consumed away from home; </w:t>
      </w:r>
    </w:p>
    <w:p w14:paraId="4E3E5520" w14:textId="77777777" w:rsidR="00F250D3" w:rsidRPr="00F250D3" w:rsidRDefault="00F250D3" w:rsidP="00F250D3">
      <w:pPr>
        <w:pStyle w:val="Default"/>
        <w:ind w:left="360"/>
        <w:rPr>
          <w:rFonts w:asciiTheme="minorHAnsi" w:hAnsiTheme="minorHAnsi" w:cstheme="minorHAnsi"/>
          <w:color w:val="4A4A4A"/>
          <w:sz w:val="21"/>
          <w:szCs w:val="21"/>
        </w:rPr>
      </w:pPr>
    </w:p>
    <w:p w14:paraId="4854802B" w14:textId="77777777" w:rsidR="00F250D3" w:rsidRPr="00F250D3" w:rsidRDefault="00F250D3" w:rsidP="00F250D3">
      <w:pPr>
        <w:pStyle w:val="Default"/>
        <w:numPr>
          <w:ilvl w:val="0"/>
          <w:numId w:val="5"/>
        </w:numPr>
        <w:ind w:left="360"/>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Sufficient information is available to convert the data on food consumption or on food expenditures into their contribution to dietary energy intake; </w:t>
      </w:r>
    </w:p>
    <w:p w14:paraId="6CC5DFC3" w14:textId="77777777" w:rsidR="00F250D3" w:rsidRPr="00F250D3" w:rsidRDefault="00F250D3" w:rsidP="00F250D3">
      <w:pPr>
        <w:pStyle w:val="Default"/>
        <w:ind w:left="360"/>
        <w:rPr>
          <w:rFonts w:asciiTheme="minorHAnsi" w:hAnsiTheme="minorHAnsi" w:cstheme="minorHAnsi"/>
          <w:color w:val="4A4A4A"/>
          <w:sz w:val="21"/>
          <w:szCs w:val="21"/>
        </w:rPr>
      </w:pPr>
    </w:p>
    <w:p w14:paraId="7E263C7D" w14:textId="77777777" w:rsidR="00F250D3" w:rsidRPr="00F250D3" w:rsidRDefault="00F250D3" w:rsidP="00F250D3">
      <w:pPr>
        <w:pStyle w:val="Default"/>
        <w:numPr>
          <w:ilvl w:val="0"/>
          <w:numId w:val="5"/>
        </w:numPr>
        <w:ind w:left="360"/>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The proper methods to compute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are used, to control for excess variability in the estimated levels of habitual food consumption across households, allowing for the presence on normal variability in the distribution of food consumption across individuals, induced by the differences in energy requirements of the members of the population. </w:t>
      </w:r>
    </w:p>
    <w:p w14:paraId="1BEB82F8" w14:textId="77777777" w:rsidR="00F250D3" w:rsidRPr="00F250D3" w:rsidRDefault="00F250D3" w:rsidP="00F250D3">
      <w:pPr>
        <w:pStyle w:val="Default"/>
        <w:ind w:left="720"/>
        <w:rPr>
          <w:rFonts w:asciiTheme="minorHAnsi" w:hAnsiTheme="minorHAnsi" w:cstheme="minorHAnsi"/>
          <w:color w:val="4A4A4A"/>
          <w:sz w:val="21"/>
          <w:szCs w:val="21"/>
        </w:rPr>
      </w:pPr>
    </w:p>
    <w:p w14:paraId="350C2BCD"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2EF92ACB" w14:textId="77777777" w:rsidR="00F250D3" w:rsidRPr="00F250D3" w:rsidRDefault="00F250D3" w:rsidP="00F250D3">
      <w:pPr>
        <w:pStyle w:val="Default"/>
        <w:rPr>
          <w:rFonts w:asciiTheme="minorHAnsi" w:hAnsiTheme="minorHAnsi" w:cstheme="minorHAnsi"/>
          <w:color w:val="4A4A4A"/>
          <w:sz w:val="21"/>
          <w:szCs w:val="21"/>
        </w:rPr>
      </w:pPr>
    </w:p>
    <w:p w14:paraId="27EB86FD"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practice, however, it is often impossible, and not advisable, to rely only on data collected through a household survey, as the information needed to estimate the four parameters of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model is either missing or imprecise. </w:t>
      </w:r>
    </w:p>
    <w:p w14:paraId="11A65834" w14:textId="77777777" w:rsidR="00F250D3" w:rsidRPr="00F250D3" w:rsidRDefault="00F250D3" w:rsidP="00F250D3">
      <w:pPr>
        <w:pStyle w:val="Default"/>
        <w:rPr>
          <w:rFonts w:asciiTheme="minorHAnsi" w:hAnsiTheme="minorHAnsi" w:cstheme="minorHAnsi"/>
          <w:color w:val="4A4A4A"/>
          <w:sz w:val="21"/>
          <w:szCs w:val="21"/>
        </w:rPr>
      </w:pPr>
    </w:p>
    <w:p w14:paraId="35927086"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Household Survey food consumption data often must be integrated by </w:t>
      </w:r>
    </w:p>
    <w:p w14:paraId="4DF38FE8"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Data on the demographic structure of the population of interest by sex and age; </w:t>
      </w:r>
    </w:p>
    <w:p w14:paraId="13E49F36"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b) Data or information on the median height of individuals in each sex and age class; </w:t>
      </w:r>
    </w:p>
    <w:p w14:paraId="44BC8B9F"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 Data on the distribution of physical activity levels in the population; </w:t>
      </w:r>
    </w:p>
    <w:p w14:paraId="104524A9"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 Alternative data on the total amounts of food available for human consumption, to correct for biases in the estimate of the national average daily dietary energy consumption in the population. </w:t>
      </w:r>
    </w:p>
    <w:p w14:paraId="479C2F53" w14:textId="77777777" w:rsidR="00F250D3" w:rsidRPr="00F250D3" w:rsidRDefault="00F250D3" w:rsidP="00F250D3">
      <w:pPr>
        <w:pStyle w:val="Default"/>
        <w:rPr>
          <w:rFonts w:asciiTheme="minorHAnsi" w:hAnsiTheme="minorHAnsi" w:cstheme="minorHAnsi"/>
          <w:color w:val="4A4A4A"/>
          <w:sz w:val="21"/>
          <w:szCs w:val="21"/>
        </w:rPr>
      </w:pPr>
    </w:p>
    <w:p w14:paraId="4DD06B61"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Data for a), b) and c) could be available through the same multipurpose survey that provides food consumption data, but are more likely available from other sources, such as National Demographic and Health Surveys (for a) and b</w:t>
      </w:r>
      <w:proofErr w:type="gramStart"/>
      <w:r w:rsidRPr="00F250D3">
        <w:rPr>
          <w:rFonts w:asciiTheme="minorHAnsi" w:hAnsiTheme="minorHAnsi" w:cstheme="minorHAnsi"/>
          <w:color w:val="4A4A4A"/>
          <w:sz w:val="21"/>
          <w:szCs w:val="21"/>
        </w:rPr>
        <w:t>) )</w:t>
      </w:r>
      <w:proofErr w:type="gramEnd"/>
      <w:r w:rsidRPr="00F250D3">
        <w:rPr>
          <w:rFonts w:asciiTheme="minorHAnsi" w:hAnsiTheme="minorHAnsi" w:cstheme="minorHAnsi"/>
          <w:color w:val="4A4A4A"/>
          <w:sz w:val="21"/>
          <w:szCs w:val="21"/>
        </w:rPr>
        <w:t xml:space="preserve"> and Time Use Surveys (for c) ). </w:t>
      </w:r>
    </w:p>
    <w:p w14:paraId="4FB4351D" w14:textId="77777777" w:rsidR="00F250D3" w:rsidRPr="00F250D3" w:rsidRDefault="00F250D3" w:rsidP="00F250D3">
      <w:pPr>
        <w:pStyle w:val="Default"/>
        <w:rPr>
          <w:rFonts w:asciiTheme="minorHAnsi" w:hAnsiTheme="minorHAnsi" w:cstheme="minorHAnsi"/>
          <w:color w:val="4A4A4A"/>
          <w:sz w:val="21"/>
          <w:szCs w:val="21"/>
        </w:rPr>
      </w:pPr>
    </w:p>
    <w:p w14:paraId="4F66814F"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Correcting for bias in the estimated average daily dietary energy consumption might need to be based on alternative sources on food consumption, such as aggregate food supply and utilization accounts and food balance sheets. </w:t>
      </w:r>
    </w:p>
    <w:p w14:paraId="2A7BA37E" w14:textId="77777777" w:rsidR="00F250D3" w:rsidRPr="00F250D3" w:rsidRDefault="00F250D3" w:rsidP="00F250D3">
      <w:pPr>
        <w:pStyle w:val="Default"/>
        <w:rPr>
          <w:rFonts w:asciiTheme="minorHAnsi" w:hAnsiTheme="minorHAnsi" w:cstheme="minorHAnsi"/>
          <w:color w:val="4A4A4A"/>
          <w:sz w:val="21"/>
          <w:szCs w:val="21"/>
        </w:rPr>
      </w:pPr>
    </w:p>
    <w:p w14:paraId="643BF2E9"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To inform its estimate of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at national, regional and global level, in addition to all household surveys for which it is possible to obtain micro data on food consumption, FAO relies on: </w:t>
      </w:r>
    </w:p>
    <w:p w14:paraId="6AE2C230"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UN Population Division’s World Population Prospects (https://esa.un.org/unpd/wpp/Download/Standard/Population/), which provide updated estimates of the structures of the national population by sex and age every two years for most countries in the world; </w:t>
      </w:r>
    </w:p>
    <w:p w14:paraId="18409AB5" w14:textId="31BD34D2"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b) FAO Food Balance Sheets (</w:t>
      </w:r>
      <w:r w:rsidR="0092604B" w:rsidRPr="0092604B">
        <w:rPr>
          <w:rFonts w:asciiTheme="minorHAnsi" w:hAnsiTheme="minorHAnsi" w:cstheme="minorHAnsi"/>
          <w:color w:val="4A4A4A"/>
          <w:sz w:val="21"/>
          <w:szCs w:val="21"/>
        </w:rPr>
        <w:t>http://www.fao.org/faostat/en/#data</w:t>
      </w:r>
      <w:r w:rsidRPr="00F250D3">
        <w:rPr>
          <w:rFonts w:asciiTheme="minorHAnsi" w:hAnsiTheme="minorHAnsi" w:cstheme="minorHAnsi"/>
          <w:color w:val="4A4A4A"/>
          <w:sz w:val="21"/>
          <w:szCs w:val="21"/>
        </w:rPr>
        <w:t>), which provides updated estimates of the national availability of food every year for most countries in the world.</w:t>
      </w:r>
    </w:p>
    <w:p w14:paraId="017BE18F" w14:textId="77777777" w:rsidR="00F250D3" w:rsidRPr="00F250D3" w:rsidRDefault="00F250D3" w:rsidP="00F250D3">
      <w:pPr>
        <w:pStyle w:val="Default"/>
        <w:rPr>
          <w:rFonts w:asciiTheme="minorHAnsi" w:hAnsiTheme="minorHAnsi" w:cstheme="minorHAnsi"/>
          <w:color w:val="4A4A4A"/>
          <w:sz w:val="21"/>
          <w:szCs w:val="21"/>
        </w:rPr>
      </w:pPr>
    </w:p>
    <w:p w14:paraId="08E1C3DF" w14:textId="311A4072" w:rsidR="00576CFA"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Micro data from household surveys that collect food consumption data are sourced by FAO directly through the National Statistical Agencies’ websites, or through specific bilateral agreements."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C8304F6"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r>
    </w:p>
    <w:p w14:paraId="19620898" w14:textId="77777777" w:rsidR="00F250D3" w:rsidRPr="00F250D3" w:rsidRDefault="00F250D3" w:rsidP="00F250D3">
      <w:pPr>
        <w:pStyle w:val="Default"/>
        <w:rPr>
          <w:rFonts w:asciiTheme="minorHAnsi" w:hAnsiTheme="minorHAnsi" w:cstheme="minorHAnsi"/>
          <w:color w:val="4A4A4A"/>
          <w:sz w:val="21"/>
          <w:szCs w:val="21"/>
        </w:rPr>
      </w:pPr>
    </w:p>
    <w:p w14:paraId="60F05DAC"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r>
    </w:p>
    <w:p w14:paraId="00468101" w14:textId="77777777" w:rsidR="00F250D3" w:rsidRPr="00F250D3" w:rsidRDefault="00F250D3" w:rsidP="00F250D3">
      <w:pPr>
        <w:pStyle w:val="Default"/>
        <w:rPr>
          <w:rFonts w:asciiTheme="minorHAnsi" w:hAnsiTheme="minorHAnsi" w:cstheme="minorHAnsi"/>
          <w:color w:val="4A4A4A"/>
          <w:sz w:val="21"/>
          <w:szCs w:val="21"/>
        </w:rPr>
      </w:pPr>
    </w:p>
    <w:p w14:paraId="5823FBC8" w14:textId="10586C4A" w:rsidR="00576CFA" w:rsidRPr="00F250D3" w:rsidRDefault="00F250D3" w:rsidP="00F250D3">
      <w:pPr>
        <w:pStyle w:val="Default"/>
        <w:rPr>
          <w:rFonts w:asciiTheme="minorHAnsi" w:hAnsiTheme="minorHAnsi" w:cstheme="minorHAnsi"/>
          <w:sz w:val="21"/>
          <w:szCs w:val="21"/>
        </w:rPr>
      </w:pPr>
      <w:r w:rsidRPr="00F250D3">
        <w:rPr>
          <w:rFonts w:asciiTheme="minorHAnsi" w:hAnsiTheme="minorHAnsi" w:cstheme="minorHAnsi"/>
          <w:color w:val="4A4A4A"/>
          <w:sz w:val="21"/>
          <w:szCs w:val="21"/>
        </w:rPr>
        <w:t xml:space="preserve">Data on the population size and structure for all monitored countries is obtained from the UN Population Division’s World Population Prospects.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3.c. Data collection calendar</w:t>
      </w:r>
    </w:p>
    <w:p w14:paraId="777F0337" w14:textId="2FD3C76B" w:rsidR="00576CFA" w:rsidRPr="00A96255" w:rsidRDefault="00F250D3" w:rsidP="00576CFA">
      <w:pPr>
        <w:pStyle w:val="MText"/>
      </w:pPr>
      <w:r>
        <w:rPr>
          <w:rFonts w:cstheme="minorHAnsi"/>
        </w:rPr>
        <w:t>Continuing</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42A02904" w:rsidR="00576CFA" w:rsidRPr="00F250D3" w:rsidRDefault="00EB5620" w:rsidP="00F250D3">
      <w:pPr>
        <w:pStyle w:val="MText"/>
      </w:pPr>
      <w:r>
        <w:t>July 2021</w:t>
      </w:r>
      <w:r w:rsidR="00F250D3">
        <w:t xml:space="preserve">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41DF687C" w14:textId="77777777" w:rsidR="00F250D3" w:rsidRDefault="00F250D3" w:rsidP="00F250D3">
      <w:pPr>
        <w:pStyle w:val="MText"/>
      </w:pPr>
    </w:p>
    <w:p w14:paraId="6DBC0025" w14:textId="32B83876" w:rsidR="00576CFA" w:rsidRPr="00A96255" w:rsidRDefault="00F250D3" w:rsidP="00F250D3">
      <w:pPr>
        <w:pStyle w:val="MText"/>
      </w:pPr>
      <w:r>
        <w:t>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313D8348" w:rsidR="00EC2915" w:rsidRDefault="00F250D3" w:rsidP="00576CFA">
      <w:pPr>
        <w:pStyle w:val="MText"/>
      </w:pPr>
      <w:r w:rsidRPr="00F250D3">
        <w:t>Food and Agriculture Organization of the United Nations, Statistics Division, Food Security and Nutrition Statistics Team</w:t>
      </w:r>
    </w:p>
    <w:p w14:paraId="1FE2347B" w14:textId="77777777" w:rsidR="00F250D3" w:rsidRPr="00A96255" w:rsidRDefault="00F250D3" w:rsidP="00576CFA">
      <w:pPr>
        <w:pStyle w:val="MText"/>
      </w:pPr>
    </w:p>
    <w:p w14:paraId="5655E768" w14:textId="5429F32E" w:rsidR="00E46D96" w:rsidRPr="00A96255" w:rsidRDefault="00E46D96" w:rsidP="00F719A8">
      <w:pPr>
        <w:pStyle w:val="MHeader2"/>
      </w:pPr>
      <w:r w:rsidRPr="00A96255">
        <w:t>3.g. Institutional mandate</w:t>
      </w:r>
    </w:p>
    <w:p w14:paraId="46DB9886" w14:textId="2168C671" w:rsidR="0092604B" w:rsidRPr="00A96255" w:rsidRDefault="0092604B" w:rsidP="00576CFA">
      <w:pPr>
        <w:pStyle w:val="MText"/>
      </w:pPr>
      <w:r w:rsidRPr="000C1341">
        <w:t>The Office</w:t>
      </w:r>
      <w:r w:rsidRPr="00046941">
        <w:t xml:space="preserve"> of the </w:t>
      </w:r>
      <w:r w:rsidRPr="000C1341">
        <w:t>Chief Statistician</w:t>
      </w:r>
      <w:r w:rsidRPr="00046941">
        <w:t xml:space="preserve"> of </w:t>
      </w:r>
      <w:r w:rsidRPr="000C1341">
        <w:t>FAO manages the Interdepartmental Working Group on SDG indicators under the FAO custodianship, and identifies a focal point for each</w:t>
      </w:r>
      <w:r w:rsidRPr="00046941">
        <w:t xml:space="preserve"> of </w:t>
      </w:r>
      <w:r w:rsidRPr="000C1341">
        <w:t>them. The team leader of the Food Security and Nutrition Statistics Team of the Statistics Division is formally appointed</w:t>
      </w:r>
      <w:r w:rsidRPr="00046941">
        <w:t xml:space="preserve"> as </w:t>
      </w:r>
      <w:r w:rsidRPr="000C1341">
        <w:t>the focal person</w:t>
      </w:r>
      <w:r w:rsidRPr="00046941">
        <w:t xml:space="preserve"> for </w:t>
      </w:r>
      <w:r w:rsidR="00961362" w:rsidRPr="00046941">
        <w:t xml:space="preserve">the collection, processing, and dissemination of statistics for </w:t>
      </w:r>
      <w:r w:rsidRPr="00046941">
        <w:t>this</w:t>
      </w:r>
      <w:r w:rsidR="00961362" w:rsidRPr="00046941">
        <w:t xml:space="preserve"> indicator</w:t>
      </w:r>
      <w:r w:rsidRPr="00046941">
        <w:t>.</w:t>
      </w:r>
      <w:bookmarkStart w:id="5" w:name="_GoBack"/>
      <w:bookmarkEnd w:id="5"/>
      <w: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3DB3056" w14:textId="77777777" w:rsidR="00F250D3" w:rsidRDefault="00F250D3" w:rsidP="00F250D3">
      <w:pPr>
        <w:pStyle w:val="MText"/>
      </w:pPr>
      <w:r>
        <w:t xml:space="preserve">The indicator has been used by FAO to monitor the World Food Summit Target and the MDG Target 1C, at national, regional and global level, since 1999. It allows monitoring trends in the extent of dietary energy inadequacy in a population over time, generated </w:t>
      </w:r>
      <w:proofErr w:type="gramStart"/>
      <w:r>
        <w:t>as a result of</w:t>
      </w:r>
      <w:proofErr w:type="gramEnd"/>
      <w:r>
        <w:t xml:space="preserve"> the combination of changes in the overall availability of food, in the households’ ability to access it, and in the socio-demographic characteristics of the population, as well as differences across countries and regions in any given moment in time. </w:t>
      </w:r>
    </w:p>
    <w:p w14:paraId="6ADA4CC6" w14:textId="77777777" w:rsidR="00F250D3" w:rsidRDefault="00F250D3" w:rsidP="00F250D3">
      <w:pPr>
        <w:pStyle w:val="MText"/>
      </w:pPr>
    </w:p>
    <w:p w14:paraId="0AD7EEA2" w14:textId="53C03998" w:rsidR="00576CFA" w:rsidRPr="00A96255" w:rsidRDefault="00F250D3" w:rsidP="00F250D3">
      <w:pPr>
        <w:pStyle w:val="MText"/>
      </w:pPr>
      <w:r>
        <w:t>The parametric approach adopted by FAO allows obtaining reliable estimated for relatively large population groups. As it reflects a severe condition of lack of food, it is fully consistent with the spirit of a Goal that aims at reducing hunger.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A5D2BDA" w14:textId="77777777" w:rsidR="00F250D3" w:rsidRDefault="00F250D3" w:rsidP="00F250D3">
      <w:pPr>
        <w:pStyle w:val="MText"/>
      </w:pPr>
      <w:r>
        <w:t xml:space="preserve">Over the years, the parametric approach informing the computation of the </w:t>
      </w:r>
      <w:proofErr w:type="spellStart"/>
      <w:r>
        <w:t>PoU</w:t>
      </w:r>
      <w:proofErr w:type="spellEnd"/>
      <w:r>
        <w:t xml:space="preserve">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w:t>
      </w:r>
      <w:r>
        <w:lastRenderedPageBreak/>
        <w:t xml:space="preserve">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to infer on the undernourishment condition at individual level, unless integrated by the observation on the physical status (body mass index) and of its dynamic over time, of the same individual. </w:t>
      </w:r>
    </w:p>
    <w:p w14:paraId="53680311" w14:textId="77777777" w:rsidR="00F250D3" w:rsidRDefault="00F250D3" w:rsidP="00F250D3">
      <w:pPr>
        <w:pStyle w:val="MText"/>
      </w:pPr>
    </w:p>
    <w:p w14:paraId="584A77D8" w14:textId="77777777" w:rsidR="00F250D3" w:rsidRDefault="00F250D3" w:rsidP="00F250D3">
      <w:pPr>
        <w:pStyle w:val="MText"/>
      </w:pPr>
      <w:r>
        <w:t xml:space="preserve">The model based approach to estimate the </w:t>
      </w:r>
      <w:proofErr w:type="spellStart"/>
      <w:r>
        <w:t>PoU</w:t>
      </w:r>
      <w:proofErr w:type="spellEnd"/>
      <w: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3BE47D0D" w14:textId="77777777" w:rsidR="00F250D3" w:rsidRDefault="00F250D3" w:rsidP="00F250D3">
      <w:pPr>
        <w:pStyle w:val="MText"/>
      </w:pPr>
    </w:p>
    <w:p w14:paraId="479E1E8F" w14:textId="77777777" w:rsidR="00F250D3" w:rsidRDefault="00F250D3" w:rsidP="00F250D3">
      <w:pPr>
        <w:pStyle w:val="MText"/>
      </w:pPr>
      <w:r>
        <w:t xml:space="preserve">Further specific consideration </w:t>
      </w:r>
    </w:p>
    <w:p w14:paraId="18072EB1" w14:textId="77777777" w:rsidR="00F250D3" w:rsidRDefault="00F250D3" w:rsidP="00F250D3">
      <w:pPr>
        <w:pStyle w:val="MText"/>
      </w:pPr>
    </w:p>
    <w:p w14:paraId="6696EE80" w14:textId="77777777" w:rsidR="00F250D3" w:rsidRDefault="00F250D3" w:rsidP="00F250D3">
      <w:pPr>
        <w:pStyle w:val="MText"/>
      </w:pPr>
      <w:r>
        <w:t>1.</w:t>
      </w:r>
      <w:r>
        <w:tab/>
        <w:t xml:space="preserve">Feasibility </w:t>
      </w:r>
    </w:p>
    <w:p w14:paraId="4748992A" w14:textId="77777777" w:rsidR="00F250D3" w:rsidRDefault="00F250D3" w:rsidP="00F250D3">
      <w:pPr>
        <w:pStyle w:val="MText"/>
      </w:pPr>
    </w:p>
    <w:p w14:paraId="4728B2FB" w14:textId="77777777" w:rsidR="00F250D3" w:rsidRDefault="00F250D3" w:rsidP="00F250D3">
      <w:pPr>
        <w:pStyle w:val="MText"/>
      </w:pPr>
      <w:r>
        <w:t xml:space="preserve">Estimation of </w:t>
      </w:r>
      <w:proofErr w:type="spellStart"/>
      <w:r>
        <w:t>PoU</w:t>
      </w:r>
      <w:proofErr w:type="spellEnd"/>
      <w:r>
        <w:t xml:space="preserve"> at national level has been feasible for most countries in the world since 1999. In the worst case scenario, when no data on food consumption was available from a recent household survey, the model-based estimate of the </w:t>
      </w:r>
      <w:proofErr w:type="spellStart"/>
      <w:r>
        <w:t>PoU</w:t>
      </w:r>
      <w:proofErr w:type="spellEnd"/>
      <w: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7F670F09" w14:textId="77777777" w:rsidR="00F250D3" w:rsidRDefault="00F250D3" w:rsidP="00F250D3">
      <w:pPr>
        <w:pStyle w:val="MText"/>
      </w:pPr>
    </w:p>
    <w:p w14:paraId="2FB8D3E4" w14:textId="77777777" w:rsidR="00F250D3" w:rsidRDefault="00F250D3" w:rsidP="00F250D3">
      <w:pPr>
        <w:pStyle w:val="MText"/>
      </w:pPr>
      <w:r>
        <w:t>2.</w:t>
      </w:r>
      <w:r>
        <w:tab/>
        <w:t xml:space="preserve">Reliability </w:t>
      </w:r>
    </w:p>
    <w:p w14:paraId="60A5A2F9" w14:textId="77777777" w:rsidR="00F250D3" w:rsidRDefault="00F250D3" w:rsidP="00F250D3">
      <w:pPr>
        <w:pStyle w:val="MText"/>
      </w:pPr>
    </w:p>
    <w:p w14:paraId="4D6A1FCB" w14:textId="77777777" w:rsidR="00F250D3" w:rsidRDefault="00F250D3" w:rsidP="00F250D3">
      <w:pPr>
        <w:pStyle w:val="MText"/>
      </w:pPr>
      <w:r>
        <w:t xml:space="preserve">Reliability mostly depends on the quality of the data used to inform the estimation of the model’s parameters. </w:t>
      </w:r>
    </w:p>
    <w:p w14:paraId="7B5299D1" w14:textId="77777777" w:rsidR="00F250D3" w:rsidRDefault="00F250D3" w:rsidP="00F250D3">
      <w:pPr>
        <w:pStyle w:val="MText"/>
      </w:pPr>
    </w:p>
    <w:p w14:paraId="2AE3D66C" w14:textId="77777777" w:rsidR="00F250D3" w:rsidRDefault="00F250D3" w:rsidP="00F250D3">
      <w:pPr>
        <w:pStyle w:val="MText"/>
      </w:pPr>
      <w:r>
        <w:t xml:space="preserve">DEC could be estimated either from survey data or from food balances. Neither source is devoid of problems. When comparing estimates of national DEC from FBS and from surveys, differences are frequently noted. </w:t>
      </w:r>
    </w:p>
    <w:p w14:paraId="01A5AB81" w14:textId="77777777" w:rsidR="00F250D3" w:rsidRDefault="00F250D3" w:rsidP="00F250D3">
      <w:pPr>
        <w:pStyle w:val="MText"/>
      </w:pPr>
    </w:p>
    <w:p w14:paraId="4BB1252A" w14:textId="77777777" w:rsidR="00F250D3" w:rsidRDefault="00F250D3" w:rsidP="00F250D3">
      <w:pPr>
        <w:pStyle w:val="MText"/>
      </w:pPr>
      <w: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(See De </w:t>
      </w:r>
      <w:proofErr w:type="spellStart"/>
      <w:r>
        <w:t>Weerdt</w:t>
      </w:r>
      <w:proofErr w:type="spellEnd"/>
      <w:r>
        <w:t xml:space="preserve"> et al., 2015, Table 2, </w:t>
      </w:r>
      <w:proofErr w:type="gramStart"/>
      <w:r>
        <w:t>https://feb.kuleuven.be/drc/licos/publications/dp/DP%20365%20Complete.pdf )</w:t>
      </w:r>
      <w:proofErr w:type="gramEnd"/>
      <w:r>
        <w:t xml:space="preserve">. A detailed analysis of a recent Household Budget Survey in Brazil revealed how food provided for free through the school meals program and consumed by children while at school, had not been accounted among the sources of </w:t>
      </w:r>
      <w:r>
        <w:lastRenderedPageBreak/>
        <w:t xml:space="preserve">household food consumption, accounting for a downward bias of the average per capita daily dietary energy consumption of 674 kcal. (See </w:t>
      </w:r>
      <w:proofErr w:type="spellStart"/>
      <w:r>
        <w:t>Borlizzi</w:t>
      </w:r>
      <w:proofErr w:type="spellEnd"/>
      <w:r>
        <w:t xml:space="preserve">, </w:t>
      </w:r>
      <w:proofErr w:type="spellStart"/>
      <w:r>
        <w:t>Cafiero</w:t>
      </w:r>
      <w:proofErr w:type="spellEnd"/>
      <w:r>
        <w:t xml:space="preserve"> &amp; Del </w:t>
      </w:r>
      <w:proofErr w:type="spellStart"/>
      <w:r>
        <w:t>Grossi</w:t>
      </w:r>
      <w:proofErr w:type="spellEnd"/>
      <w:r>
        <w:t xml:space="preserve">, forthcoming.) </w:t>
      </w:r>
    </w:p>
    <w:p w14:paraId="65EBAA07" w14:textId="77777777" w:rsidR="00F250D3" w:rsidRDefault="00F250D3" w:rsidP="00F250D3">
      <w:pPr>
        <w:pStyle w:val="MText"/>
      </w:pPr>
    </w:p>
    <w:p w14:paraId="1CE6B7D2" w14:textId="77777777" w:rsidR="00F250D3" w:rsidRDefault="00F250D3" w:rsidP="00F250D3">
      <w:pPr>
        <w:pStyle w:val="MText"/>
      </w:pPr>
      <w: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5A26AEA2" w14:textId="77777777" w:rsidR="00F250D3" w:rsidRDefault="00F250D3" w:rsidP="00F250D3">
      <w:pPr>
        <w:pStyle w:val="MText"/>
      </w:pPr>
    </w:p>
    <w:p w14:paraId="1906514C" w14:textId="77777777" w:rsidR="00F250D3" w:rsidRDefault="00F250D3" w:rsidP="00F250D3">
      <w:pPr>
        <w:pStyle w:val="MText"/>
      </w:pPr>
      <w:r>
        <w:t xml:space="preserve">To limit the impact of such errors, FAO has traditionally presented estimates of </w:t>
      </w:r>
      <w:proofErr w:type="spellStart"/>
      <w:r>
        <w:t>PoU</w:t>
      </w:r>
      <w:proofErr w:type="spellEnd"/>
      <w:r>
        <w:t xml:space="preserve"> at national level as three-year averages, on the presumption that errors induced by imprecise recording of stocks variations in each single year might be highly reduced when considering an average over three consecutive years. </w:t>
      </w:r>
    </w:p>
    <w:p w14:paraId="22699F49" w14:textId="77777777" w:rsidR="00F250D3" w:rsidRDefault="00F250D3" w:rsidP="00F250D3">
      <w:pPr>
        <w:pStyle w:val="MText"/>
      </w:pPr>
    </w:p>
    <w:p w14:paraId="491082B8" w14:textId="3238F94C" w:rsidR="00F250D3" w:rsidRDefault="00F250D3" w:rsidP="00F250D3">
      <w:pPr>
        <w:pStyle w:val="MText"/>
      </w:pPr>
      <w:r>
        <w:t xml:space="preserve">Survey data are the only source to estimate the CV.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1973A676" w14:textId="77777777" w:rsidR="00F250D3" w:rsidRDefault="00F250D3" w:rsidP="00F250D3">
      <w:pPr>
        <w:pStyle w:val="MText"/>
      </w:pPr>
    </w:p>
    <w:p w14:paraId="04C5B9A3" w14:textId="77777777" w:rsidR="00F250D3" w:rsidRDefault="00F250D3" w:rsidP="00F250D3">
      <w:pPr>
        <w:pStyle w:val="MText"/>
      </w:pPr>
      <w:r>
        <w:t>3.</w:t>
      </w:r>
      <w:r>
        <w:tab/>
        <w:t xml:space="preserve">Comparability </w:t>
      </w:r>
    </w:p>
    <w:p w14:paraId="306F619B" w14:textId="77777777" w:rsidR="00F250D3" w:rsidRDefault="00F250D3" w:rsidP="00F250D3">
      <w:pPr>
        <w:pStyle w:val="MText"/>
      </w:pPr>
    </w:p>
    <w:p w14:paraId="3C004469" w14:textId="77777777" w:rsidR="00F250D3" w:rsidRDefault="00F250D3" w:rsidP="00F250D3">
      <w:pPr>
        <w:pStyle w:val="MText"/>
      </w:pPr>
      <w:r>
        <w:t xml:space="preserve">If the same method of computation is used, comparability across time and space is relatively high, with the only potential cause of inhomogeneity found in the different quality of the background data. </w:t>
      </w:r>
    </w:p>
    <w:p w14:paraId="714D4676" w14:textId="77777777" w:rsidR="00F250D3" w:rsidRDefault="00F250D3" w:rsidP="00F250D3">
      <w:pPr>
        <w:pStyle w:val="MText"/>
      </w:pPr>
    </w:p>
    <w:p w14:paraId="3C95004C" w14:textId="77777777" w:rsidR="00F250D3" w:rsidRDefault="00F250D3" w:rsidP="00F250D3">
      <w:pPr>
        <w:pStyle w:val="MText"/>
      </w:pPr>
      <w:r>
        <w:t>4.</w:t>
      </w:r>
      <w:r>
        <w:tab/>
        <w:t xml:space="preserve">Limitations </w:t>
      </w:r>
    </w:p>
    <w:p w14:paraId="3B393EF3" w14:textId="77777777" w:rsidR="00F250D3" w:rsidRDefault="00F250D3" w:rsidP="00F250D3">
      <w:pPr>
        <w:pStyle w:val="MText"/>
      </w:pPr>
    </w:p>
    <w:p w14:paraId="1E30B3DD" w14:textId="77777777" w:rsidR="00F250D3" w:rsidRDefault="00F250D3" w:rsidP="00F250D3">
      <w:pPr>
        <w:pStyle w:val="MText"/>
      </w:pPr>
      <w:r>
        <w:t xml:space="preserve">Due to the probabilistic nature of the inference and the margins of uncertainty associated with estimates of each of the parameters in the model, the precision of the </w:t>
      </w:r>
      <w:proofErr w:type="spellStart"/>
      <w:r>
        <w:t>PoU</w:t>
      </w:r>
      <w:proofErr w:type="spellEnd"/>
      <w:r>
        <w:t xml:space="preserve"> estimates is generally low. Even though it is not possible to compute theoretical Margins of Error (</w:t>
      </w:r>
      <w:proofErr w:type="spellStart"/>
      <w:r>
        <w:t>MoE</w:t>
      </w:r>
      <w:proofErr w:type="spellEnd"/>
      <w:r>
        <w:t xml:space="preserve">) for </w:t>
      </w:r>
      <w:proofErr w:type="spellStart"/>
      <w:r>
        <w:t>PoU</w:t>
      </w:r>
      <w:proofErr w:type="spellEnd"/>
      <w:r>
        <w:t xml:space="preserve"> estimates, these would very likely exceed plus or minus 2.5% in most cases. For this reason, FAO publishes national level </w:t>
      </w:r>
      <w:proofErr w:type="spellStart"/>
      <w:r>
        <w:t>PoU</w:t>
      </w:r>
      <w:proofErr w:type="spellEnd"/>
      <w:r>
        <w:t xml:space="preserve"> estimates only when they are larger than 2.5%. This also suggests that 2.5% is the lowest feasible target that can be set for the </w:t>
      </w:r>
      <w:proofErr w:type="spellStart"/>
      <w:r>
        <w:t>PoU</w:t>
      </w:r>
      <w:proofErr w:type="spellEnd"/>
      <w:r>
        <w:t xml:space="preserve"> indicator, a value that is unsatisfactorily large when the ambition is to fully eradicate the scourge of hunger. </w:t>
      </w:r>
    </w:p>
    <w:p w14:paraId="4D70F8FB" w14:textId="77777777" w:rsidR="00F250D3" w:rsidRDefault="00F250D3" w:rsidP="00F250D3">
      <w:pPr>
        <w:pStyle w:val="MText"/>
      </w:pPr>
    </w:p>
    <w:p w14:paraId="762049F5" w14:textId="020C8AE8" w:rsidR="00576CFA" w:rsidRPr="00A96255" w:rsidRDefault="00F250D3" w:rsidP="00F250D3">
      <w:pPr>
        <w:pStyle w:val="MText"/>
      </w:pPr>
      <w:r>
        <w:t>If no survey is available that collects food consumption data and that is representative at subnational level, the indicator can only be computed at national level."</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6DD5B459"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r>
    </w:p>
    <w:p w14:paraId="3A749ED0" w14:textId="77777777" w:rsidR="00F250D3" w:rsidRPr="00F250D3" w:rsidRDefault="00F250D3" w:rsidP="00F250D3">
      <w:pPr>
        <w:pStyle w:val="Default"/>
        <w:rPr>
          <w:rFonts w:asciiTheme="minorHAnsi" w:hAnsiTheme="minorHAnsi" w:cstheme="minorHAnsi"/>
          <w:color w:val="4A4A4A"/>
          <w:sz w:val="21"/>
          <w:szCs w:val="21"/>
        </w:rPr>
      </w:pPr>
    </w:p>
    <w:p w14:paraId="26FD5B5E"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r>
    </w:p>
    <w:p w14:paraId="60A6FBC4" w14:textId="77777777" w:rsidR="00F250D3" w:rsidRPr="00F250D3" w:rsidRDefault="00F250D3" w:rsidP="00F250D3">
      <w:pPr>
        <w:pStyle w:val="Default"/>
        <w:rPr>
          <w:rFonts w:asciiTheme="minorHAnsi" w:hAnsiTheme="minorHAnsi" w:cstheme="minorHAnsi"/>
          <w:color w:val="4A4A4A"/>
          <w:sz w:val="21"/>
          <w:szCs w:val="21"/>
        </w:rPr>
      </w:pPr>
    </w:p>
    <w:p w14:paraId="01156726" w14:textId="4EC0B299" w:rsidR="00F250D3" w:rsidRPr="00F250D3" w:rsidRDefault="00F250D3" w:rsidP="00F250D3">
      <w:pPr>
        <w:pStyle w:val="Default"/>
        <w:rPr>
          <w:rFonts w:asciiTheme="minorHAnsi" w:hAnsiTheme="minorHAnsi" w:cstheme="minorHAnsi"/>
          <w:color w:val="4A4A4A"/>
          <w:sz w:val="21"/>
          <w:szCs w:val="21"/>
        </w:rPr>
      </w:pP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∫_(x&lt;MDER) </w:t>
      </w:r>
      <w:proofErr w:type="gramStart"/>
      <w:r w:rsidRPr="00F250D3">
        <w:rPr>
          <w:rFonts w:asciiTheme="minorHAnsi" w:hAnsiTheme="minorHAnsi" w:cstheme="minorHAnsi"/>
          <w:color w:val="4A4A4A"/>
          <w:sz w:val="21"/>
          <w:szCs w:val="21"/>
        </w:rPr>
        <w:t>f(</w:t>
      </w:r>
      <w:proofErr w:type="gramEnd"/>
      <w:r w:rsidRPr="00F250D3">
        <w:rPr>
          <w:rFonts w:asciiTheme="minorHAnsi" w:hAnsiTheme="minorHAnsi" w:cstheme="minorHAnsi"/>
          <w:color w:val="4A4A4A"/>
          <w:sz w:val="21"/>
          <w:szCs w:val="21"/>
        </w:rPr>
        <w:t xml:space="preserve">x | DEC; CV) dx </w:t>
      </w:r>
    </w:p>
    <w:p w14:paraId="2D22C139" w14:textId="77777777" w:rsidR="00F250D3" w:rsidRPr="00F250D3" w:rsidRDefault="00F250D3" w:rsidP="00F250D3">
      <w:pPr>
        <w:pStyle w:val="Default"/>
        <w:rPr>
          <w:rFonts w:asciiTheme="minorHAnsi" w:hAnsiTheme="minorHAnsi" w:cstheme="minorHAnsi"/>
          <w:color w:val="4A4A4A"/>
          <w:sz w:val="21"/>
          <w:szCs w:val="21"/>
        </w:rPr>
      </w:pPr>
    </w:p>
    <w:p w14:paraId="295B65D3" w14:textId="5093F252"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where DEC</w:t>
      </w:r>
      <w:r w:rsidR="00961362">
        <w:rPr>
          <w:rFonts w:asciiTheme="minorHAnsi" w:hAnsiTheme="minorHAnsi" w:cstheme="minorHAnsi"/>
          <w:color w:val="4A4A4A"/>
          <w:sz w:val="21"/>
          <w:szCs w:val="21"/>
        </w:rPr>
        <w:t xml:space="preserve"> and</w:t>
      </w:r>
      <w:r w:rsidRPr="00F250D3">
        <w:rPr>
          <w:rFonts w:asciiTheme="minorHAnsi" w:hAnsiTheme="minorHAnsi" w:cstheme="minorHAnsi"/>
          <w:color w:val="4A4A4A"/>
          <w:sz w:val="21"/>
          <w:szCs w:val="21"/>
        </w:rPr>
        <w:t xml:space="preserve"> CV are the mean</w:t>
      </w:r>
      <w:r w:rsidR="00961362">
        <w:rPr>
          <w:rFonts w:asciiTheme="minorHAnsi" w:hAnsiTheme="minorHAnsi" w:cstheme="minorHAnsi"/>
          <w:color w:val="4A4A4A"/>
          <w:sz w:val="21"/>
          <w:szCs w:val="21"/>
        </w:rPr>
        <w:t xml:space="preserve"> and</w:t>
      </w:r>
      <w:r w:rsidRPr="00F250D3">
        <w:rPr>
          <w:rFonts w:asciiTheme="minorHAnsi" w:hAnsiTheme="minorHAnsi" w:cstheme="minorHAnsi"/>
          <w:color w:val="4A4A4A"/>
          <w:sz w:val="21"/>
          <w:szCs w:val="21"/>
        </w:rPr>
        <w:t xml:space="preserve"> coefficient of variation that characterize the distribution of habitual dietary energy consumption levels in the population. </w:t>
      </w:r>
    </w:p>
    <w:p w14:paraId="325E24E2" w14:textId="44D655DE" w:rsidR="00F250D3" w:rsidRPr="00F250D3" w:rsidRDefault="00F250D3" w:rsidP="00F250D3">
      <w:pPr>
        <w:pStyle w:val="Default"/>
        <w:rPr>
          <w:rFonts w:asciiTheme="minorHAnsi" w:hAnsiTheme="minorHAnsi" w:cstheme="minorHAnsi"/>
          <w:color w:val="4A4A4A"/>
          <w:sz w:val="21"/>
          <w:szCs w:val="21"/>
        </w:rPr>
      </w:pPr>
    </w:p>
    <w:p w14:paraId="537CB687" w14:textId="77777777" w:rsidR="00F250D3" w:rsidRPr="00F250D3" w:rsidRDefault="00F250D3" w:rsidP="00F250D3">
      <w:pPr>
        <w:pStyle w:val="Default"/>
        <w:rPr>
          <w:rFonts w:asciiTheme="minorHAnsi" w:hAnsiTheme="minorHAnsi" w:cstheme="minorHAnsi"/>
          <w:color w:val="4A4A4A"/>
          <w:sz w:val="21"/>
          <w:szCs w:val="21"/>
        </w:rPr>
      </w:pPr>
    </w:p>
    <w:p w14:paraId="7273368D" w14:textId="075B503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custom R function is available from the Statistics Division at FAO to compute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given the </w:t>
      </w:r>
      <w:r w:rsidR="00961362">
        <w:rPr>
          <w:rFonts w:asciiTheme="minorHAnsi" w:hAnsiTheme="minorHAnsi" w:cstheme="minorHAnsi"/>
          <w:color w:val="4A4A4A"/>
          <w:sz w:val="21"/>
          <w:szCs w:val="21"/>
        </w:rPr>
        <w:t>three</w:t>
      </w:r>
      <w:r w:rsidRPr="00F250D3">
        <w:rPr>
          <w:rFonts w:asciiTheme="minorHAnsi" w:hAnsiTheme="minorHAnsi" w:cstheme="minorHAnsi"/>
          <w:color w:val="4A4A4A"/>
          <w:sz w:val="21"/>
          <w:szCs w:val="21"/>
        </w:rPr>
        <w:t xml:space="preserve"> parameters DEC, CV, and MDER. </w:t>
      </w:r>
    </w:p>
    <w:p w14:paraId="4900B370" w14:textId="77777777" w:rsidR="00F250D3" w:rsidRPr="00F250D3" w:rsidRDefault="00F250D3" w:rsidP="00F250D3">
      <w:pPr>
        <w:pStyle w:val="Default"/>
        <w:rPr>
          <w:rFonts w:asciiTheme="minorHAnsi" w:hAnsiTheme="minorHAnsi" w:cstheme="minorHAnsi"/>
          <w:color w:val="4A4A4A"/>
          <w:sz w:val="21"/>
          <w:szCs w:val="21"/>
        </w:rPr>
      </w:pPr>
    </w:p>
    <w:p w14:paraId="3AF09F0A"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Different data sources can be used to estimate the different parameters of the model. </w:t>
      </w:r>
    </w:p>
    <w:p w14:paraId="3C1203D2" w14:textId="77777777" w:rsidR="00F250D3" w:rsidRPr="00F250D3" w:rsidRDefault="00F250D3" w:rsidP="00F250D3">
      <w:pPr>
        <w:pStyle w:val="Default"/>
        <w:rPr>
          <w:rFonts w:asciiTheme="minorHAnsi" w:hAnsiTheme="minorHAnsi" w:cstheme="minorHAnsi"/>
          <w:color w:val="4A4A4A"/>
          <w:sz w:val="21"/>
          <w:szCs w:val="21"/>
        </w:rPr>
      </w:pPr>
    </w:p>
    <w:p w14:paraId="1A296A2E"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DEC </w:t>
      </w:r>
    </w:p>
    <w:p w14:paraId="41DB26DA" w14:textId="07231DE8"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mean of the distribution of dietary energy consumption levels for the average individual in a population (DEC) corresponds, by definition, to the average, daily per capita food consumption level in the population. </w:t>
      </w:r>
    </w:p>
    <w:p w14:paraId="0F6E3F42" w14:textId="77777777" w:rsidR="00F250D3" w:rsidRPr="00F250D3" w:rsidRDefault="00F250D3" w:rsidP="00F250D3">
      <w:pPr>
        <w:pStyle w:val="Default"/>
        <w:rPr>
          <w:rFonts w:asciiTheme="minorHAnsi" w:hAnsiTheme="minorHAnsi" w:cstheme="minorHAnsi"/>
          <w:color w:val="4A4A4A"/>
          <w:sz w:val="21"/>
          <w:szCs w:val="21"/>
        </w:rPr>
      </w:pPr>
    </w:p>
    <w:p w14:paraId="137D7416"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r>
    </w:p>
    <w:p w14:paraId="4EDB30CE" w14:textId="77777777" w:rsidR="00F250D3" w:rsidRPr="00F250D3" w:rsidRDefault="00F250D3" w:rsidP="00F250D3">
      <w:pPr>
        <w:pStyle w:val="Default"/>
        <w:rPr>
          <w:rFonts w:asciiTheme="minorHAnsi" w:hAnsiTheme="minorHAnsi" w:cstheme="minorHAnsi"/>
          <w:color w:val="4A4A4A"/>
          <w:sz w:val="21"/>
          <w:szCs w:val="21"/>
        </w:rPr>
      </w:pPr>
    </w:p>
    <w:p w14:paraId="49EC2D3F" w14:textId="6ED170B5"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http://www.fao.org/economic/ess/fbs/en/), informed by official data reported by member countries, and disseminated through FAOSTAT (</w:t>
      </w:r>
      <w:r w:rsidR="00961362" w:rsidRPr="0092604B">
        <w:rPr>
          <w:rFonts w:asciiTheme="minorHAnsi" w:hAnsiTheme="minorHAnsi" w:cstheme="minorHAnsi"/>
          <w:color w:val="4A4A4A"/>
          <w:sz w:val="21"/>
          <w:szCs w:val="21"/>
        </w:rPr>
        <w:t>http://www.fao.org/faostat/en/#data</w:t>
      </w:r>
      <w:r w:rsidRPr="00F250D3">
        <w:rPr>
          <w:rFonts w:asciiTheme="minorHAnsi" w:hAnsiTheme="minorHAnsi" w:cstheme="minorHAnsi"/>
          <w:color w:val="4A4A4A"/>
          <w:sz w:val="21"/>
          <w:szCs w:val="21"/>
        </w:rPr>
        <w:t xml:space="preserve">) </w:t>
      </w:r>
    </w:p>
    <w:p w14:paraId="04909EA2" w14:textId="77777777" w:rsidR="00F250D3" w:rsidRPr="00F250D3" w:rsidRDefault="00F250D3" w:rsidP="00F250D3">
      <w:pPr>
        <w:pStyle w:val="Default"/>
        <w:rPr>
          <w:rFonts w:asciiTheme="minorHAnsi" w:hAnsiTheme="minorHAnsi" w:cstheme="minorHAnsi"/>
          <w:color w:val="4A4A4A"/>
          <w:sz w:val="21"/>
          <w:szCs w:val="21"/>
        </w:rPr>
      </w:pPr>
    </w:p>
    <w:p w14:paraId="3B227109"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CV </w:t>
      </w:r>
    </w:p>
    <w:p w14:paraId="33574B59"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r>
    </w:p>
    <w:p w14:paraId="36F27072" w14:textId="77777777" w:rsidR="00F250D3" w:rsidRPr="00F250D3" w:rsidRDefault="00F250D3" w:rsidP="00F250D3">
      <w:pPr>
        <w:pStyle w:val="Default"/>
        <w:rPr>
          <w:rFonts w:asciiTheme="minorHAnsi" w:hAnsiTheme="minorHAnsi" w:cstheme="minorHAnsi"/>
          <w:color w:val="4A4A4A"/>
          <w:sz w:val="21"/>
          <w:szCs w:val="21"/>
        </w:rPr>
      </w:pPr>
    </w:p>
    <w:p w14:paraId="0DD09A76"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principle, repeated observations of daily consumption for </w:t>
      </w:r>
      <w:proofErr w:type="gramStart"/>
      <w:r w:rsidRPr="00F250D3">
        <w:rPr>
          <w:rFonts w:asciiTheme="minorHAnsi" w:hAnsiTheme="minorHAnsi" w:cstheme="minorHAnsi"/>
          <w:color w:val="4A4A4A"/>
          <w:sz w:val="21"/>
          <w:szCs w:val="21"/>
        </w:rPr>
        <w:t>each individual</w:t>
      </w:r>
      <w:proofErr w:type="gramEnd"/>
      <w:r w:rsidRPr="00F250D3">
        <w:rPr>
          <w:rFonts w:asciiTheme="minorHAnsi" w:hAnsiTheme="minorHAnsi" w:cstheme="minorHAnsi"/>
          <w:color w:val="4A4A4A"/>
          <w:sz w:val="21"/>
          <w:szCs w:val="21"/>
        </w:rPr>
        <w:t xml:space="preserve">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w:t>
      </w:r>
      <w:proofErr w:type="gramStart"/>
      <w:r w:rsidRPr="00F250D3">
        <w:rPr>
          <w:rFonts w:asciiTheme="minorHAnsi" w:hAnsiTheme="minorHAnsi" w:cstheme="minorHAnsi"/>
          <w:color w:val="4A4A4A"/>
          <w:sz w:val="21"/>
          <w:szCs w:val="21"/>
        </w:rPr>
        <w:t>As a consequence</w:t>
      </w:r>
      <w:proofErr w:type="gramEnd"/>
      <w:r w:rsidRPr="00F250D3">
        <w:rPr>
          <w:rFonts w:asciiTheme="minorHAnsi" w:hAnsiTheme="minorHAnsi" w:cstheme="minorHAnsi"/>
          <w:color w:val="4A4A4A"/>
          <w:sz w:val="21"/>
          <w:szCs w:val="21"/>
        </w:rPr>
        <w:t xml:space="preserv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r>
    </w:p>
    <w:p w14:paraId="16C25A91" w14:textId="77777777" w:rsidR="00F250D3" w:rsidRPr="00F250D3" w:rsidRDefault="00F250D3" w:rsidP="00F250D3">
      <w:pPr>
        <w:pStyle w:val="Default"/>
        <w:rPr>
          <w:rFonts w:asciiTheme="minorHAnsi" w:hAnsiTheme="minorHAnsi" w:cstheme="minorHAnsi"/>
          <w:color w:val="4A4A4A"/>
          <w:sz w:val="21"/>
          <w:szCs w:val="21"/>
        </w:rPr>
      </w:pPr>
    </w:p>
    <w:p w14:paraId="39191AE8"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variability in dietary energy consumption in the population associated with individual characteristics of the household members (such as sex, age, body mass and physical activity levels). </w:t>
      </w:r>
    </w:p>
    <w:p w14:paraId="132A12E5" w14:textId="77777777" w:rsidR="00F250D3" w:rsidRPr="00F250D3" w:rsidRDefault="00F250D3" w:rsidP="00F250D3">
      <w:pPr>
        <w:pStyle w:val="Default"/>
        <w:rPr>
          <w:rFonts w:asciiTheme="minorHAnsi" w:hAnsiTheme="minorHAnsi" w:cstheme="minorHAnsi"/>
          <w:color w:val="4A4A4A"/>
          <w:sz w:val="21"/>
          <w:szCs w:val="21"/>
        </w:rPr>
      </w:pPr>
    </w:p>
    <w:p w14:paraId="5023A226"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w:t>
      </w:r>
      <w:proofErr w:type="gramStart"/>
      <w:r w:rsidRPr="00F250D3">
        <w:rPr>
          <w:rFonts w:asciiTheme="minorHAnsi" w:hAnsiTheme="minorHAnsi" w:cstheme="minorHAnsi"/>
          <w:color w:val="4A4A4A"/>
          <w:sz w:val="21"/>
          <w:szCs w:val="21"/>
        </w:rPr>
        <w:t>households</w:t>
      </w:r>
      <w:proofErr w:type="gramEnd"/>
      <w:r w:rsidRPr="00F250D3">
        <w:rPr>
          <w:rFonts w:asciiTheme="minorHAnsi" w:hAnsiTheme="minorHAnsi" w:cstheme="minorHAnsi"/>
          <w:color w:val="4A4A4A"/>
          <w:sz w:val="21"/>
          <w:szCs w:val="21"/>
        </w:rPr>
        <w:t xml:space="preserve"> component of CV, labelled CV_H. An estimate of the inter-</w:t>
      </w:r>
      <w:proofErr w:type="gramStart"/>
      <w:r w:rsidRPr="00F250D3">
        <w:rPr>
          <w:rFonts w:asciiTheme="minorHAnsi" w:hAnsiTheme="minorHAnsi" w:cstheme="minorHAnsi"/>
          <w:color w:val="4A4A4A"/>
          <w:sz w:val="21"/>
          <w:szCs w:val="21"/>
        </w:rPr>
        <w:t>individuals</w:t>
      </w:r>
      <w:proofErr w:type="gramEnd"/>
      <w:r w:rsidRPr="00F250D3">
        <w:rPr>
          <w:rFonts w:asciiTheme="minorHAnsi" w:hAnsiTheme="minorHAnsi" w:cstheme="minorHAnsi"/>
          <w:color w:val="4A4A4A"/>
          <w:sz w:val="21"/>
          <w:szCs w:val="21"/>
        </w:rPr>
        <w:t xml:space="preserve"> component of the CV, labelled CV_I, is obtained, for each population, from its structure by sex, age and body masses, and the two components are combined to obtain the needed estimate as: </w:t>
      </w:r>
    </w:p>
    <w:p w14:paraId="0210662C" w14:textId="77777777" w:rsidR="00F250D3" w:rsidRPr="00F250D3" w:rsidRDefault="00F250D3" w:rsidP="00F250D3">
      <w:pPr>
        <w:pStyle w:val="Default"/>
        <w:rPr>
          <w:rFonts w:asciiTheme="minorHAnsi" w:hAnsiTheme="minorHAnsi" w:cstheme="minorHAnsi"/>
          <w:color w:val="4A4A4A"/>
          <w:sz w:val="21"/>
          <w:szCs w:val="21"/>
        </w:rPr>
      </w:pPr>
    </w:p>
    <w:p w14:paraId="4A2C5BB5"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CV^ = v[(CV_</w:t>
      </w:r>
      <w:proofErr w:type="gramStart"/>
      <w:r w:rsidRPr="00F250D3">
        <w:rPr>
          <w:rFonts w:asciiTheme="minorHAnsi" w:hAnsiTheme="minorHAnsi" w:cstheme="minorHAnsi"/>
          <w:color w:val="4A4A4A"/>
          <w:sz w:val="21"/>
          <w:szCs w:val="21"/>
        </w:rPr>
        <w:t>H)^</w:t>
      </w:r>
      <w:proofErr w:type="gramEnd"/>
      <w:r w:rsidRPr="00F250D3">
        <w:rPr>
          <w:rFonts w:asciiTheme="minorHAnsi" w:hAnsiTheme="minorHAnsi" w:cstheme="minorHAnsi"/>
          <w:color w:val="4A4A4A"/>
          <w:sz w:val="21"/>
          <w:szCs w:val="21"/>
        </w:rPr>
        <w:t xml:space="preserve">2+(CV_I)^2 )]. </w:t>
      </w:r>
    </w:p>
    <w:p w14:paraId="22C711AA" w14:textId="77777777" w:rsidR="00F250D3" w:rsidRPr="00F250D3" w:rsidRDefault="00F250D3" w:rsidP="00F250D3">
      <w:pPr>
        <w:pStyle w:val="Default"/>
        <w:rPr>
          <w:rFonts w:asciiTheme="minorHAnsi" w:hAnsiTheme="minorHAnsi" w:cstheme="minorHAnsi"/>
          <w:color w:val="4A4A4A"/>
          <w:sz w:val="21"/>
          <w:szCs w:val="21"/>
        </w:rPr>
      </w:pPr>
    </w:p>
    <w:p w14:paraId="49FD683F"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r>
    </w:p>
    <w:p w14:paraId="1995094A" w14:textId="77777777" w:rsidR="00F250D3" w:rsidRPr="00F250D3" w:rsidRDefault="00F250D3" w:rsidP="00F250D3">
      <w:pPr>
        <w:pStyle w:val="Default"/>
        <w:rPr>
          <w:rFonts w:asciiTheme="minorHAnsi" w:hAnsiTheme="minorHAnsi" w:cstheme="minorHAnsi"/>
          <w:color w:val="4A4A4A"/>
          <w:sz w:val="21"/>
          <w:szCs w:val="21"/>
        </w:rPr>
      </w:pPr>
    </w:p>
    <w:p w14:paraId="05920B8B" w14:textId="77777777" w:rsidR="00F250D3" w:rsidRPr="00F250D3" w:rsidRDefault="00F250D3" w:rsidP="00F250D3">
      <w:pPr>
        <w:pStyle w:val="Default"/>
        <w:rPr>
          <w:rFonts w:asciiTheme="minorHAnsi" w:hAnsiTheme="minorHAnsi" w:cstheme="minorHAnsi"/>
          <w:color w:val="4A4A4A"/>
          <w:sz w:val="21"/>
          <w:szCs w:val="21"/>
          <w:lang w:val="de-DE"/>
        </w:rPr>
      </w:pPr>
      <w:r w:rsidRPr="00F250D3">
        <w:rPr>
          <w:rFonts w:asciiTheme="minorHAnsi" w:hAnsiTheme="minorHAnsi" w:cstheme="minorHAnsi"/>
          <w:color w:val="4A4A4A"/>
          <w:sz w:val="21"/>
          <w:szCs w:val="21"/>
          <w:lang w:val="de-DE"/>
        </w:rPr>
        <w:t xml:space="preserve">CV^_IND=ß_0+ß_1 GDP+ ß_2 GINI+ ß_3 FPI+ß_4 REG. </w:t>
      </w:r>
    </w:p>
    <w:p w14:paraId="4ED174B0" w14:textId="77777777" w:rsidR="00F250D3" w:rsidRPr="00F250D3" w:rsidRDefault="00F250D3" w:rsidP="00F250D3">
      <w:pPr>
        <w:pStyle w:val="Default"/>
        <w:rPr>
          <w:rFonts w:asciiTheme="minorHAnsi" w:hAnsiTheme="minorHAnsi" w:cstheme="minorHAnsi"/>
          <w:color w:val="4A4A4A"/>
          <w:sz w:val="21"/>
          <w:szCs w:val="21"/>
          <w:lang w:val="de-DE"/>
        </w:rPr>
      </w:pPr>
    </w:p>
    <w:p w14:paraId="54766FAF"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Coefficients of the regression are estimated from the set of data and years for which data on CV, GDP, GINI and FPI are available. </w:t>
      </w:r>
    </w:p>
    <w:p w14:paraId="5EA76E0E" w14:textId="77777777" w:rsidR="00F250D3" w:rsidRPr="00F250D3" w:rsidRDefault="00F250D3" w:rsidP="00F250D3">
      <w:pPr>
        <w:pStyle w:val="Default"/>
        <w:rPr>
          <w:rFonts w:asciiTheme="minorHAnsi" w:hAnsiTheme="minorHAnsi" w:cstheme="minorHAnsi"/>
          <w:color w:val="4A4A4A"/>
          <w:sz w:val="21"/>
          <w:szCs w:val="21"/>
        </w:rPr>
      </w:pPr>
    </w:p>
    <w:p w14:paraId="293B005B" w14:textId="77777777" w:rsidR="00F250D3" w:rsidRPr="00F250D3" w:rsidRDefault="00F250D3" w:rsidP="00F250D3">
      <w:pPr>
        <w:pStyle w:val="Default"/>
        <w:rPr>
          <w:rFonts w:asciiTheme="minorHAnsi" w:hAnsiTheme="minorHAnsi" w:cstheme="minorHAnsi"/>
          <w:color w:val="4A4A4A"/>
          <w:sz w:val="21"/>
          <w:szCs w:val="21"/>
        </w:rPr>
      </w:pPr>
    </w:p>
    <w:p w14:paraId="578960E0"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MDER </w:t>
      </w:r>
    </w:p>
    <w:p w14:paraId="4C564598"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Human energy requirements are computed by multiplying normative requirements for basic metabolic rate (BMR, expressed per kg of body mass) by the ideal weight of a healthy person of 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r>
    </w:p>
    <w:p w14:paraId="24B8B85B" w14:textId="77777777" w:rsidR="00F250D3" w:rsidRPr="00F250D3" w:rsidRDefault="00F250D3" w:rsidP="00F250D3">
      <w:pPr>
        <w:pStyle w:val="Default"/>
        <w:rPr>
          <w:rFonts w:asciiTheme="minorHAnsi" w:hAnsiTheme="minorHAnsi" w:cstheme="minorHAnsi"/>
          <w:color w:val="4A4A4A"/>
          <w:sz w:val="21"/>
          <w:szCs w:val="21"/>
        </w:rPr>
      </w:pPr>
    </w:p>
    <w:p w14:paraId="5D853042"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r>
    </w:p>
    <w:p w14:paraId="59992C77"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(See ftp://ftp.fao.org/docrep/fao/007/y5686e/y5686e00.pdf for further details). </w:t>
      </w:r>
    </w:p>
    <w:p w14:paraId="644BBEEC" w14:textId="77777777" w:rsidR="00F250D3" w:rsidRPr="00F250D3" w:rsidRDefault="00F250D3" w:rsidP="00F250D3">
      <w:pPr>
        <w:pStyle w:val="Default"/>
        <w:rPr>
          <w:rFonts w:asciiTheme="minorHAnsi" w:hAnsiTheme="minorHAnsi" w:cstheme="minorHAnsi"/>
          <w:color w:val="4A4A4A"/>
          <w:sz w:val="21"/>
          <w:szCs w:val="21"/>
        </w:rPr>
      </w:pPr>
    </w:p>
    <w:p w14:paraId="48E860F0"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MDER for a given population group, including for the national population, is obtained as the weighted average of the minimums of the energy requirements ranges of each sex and age class, using the population size in each class as weights. </w:t>
      </w:r>
    </w:p>
    <w:p w14:paraId="15DBC509" w14:textId="77777777" w:rsidR="00F250D3" w:rsidRPr="00F250D3" w:rsidRDefault="00F250D3" w:rsidP="00F250D3">
      <w:pPr>
        <w:pStyle w:val="Default"/>
        <w:rPr>
          <w:rFonts w:asciiTheme="minorHAnsi" w:hAnsiTheme="minorHAnsi" w:cstheme="minorHAnsi"/>
          <w:color w:val="4A4A4A"/>
          <w:sz w:val="21"/>
          <w:szCs w:val="21"/>
        </w:rPr>
      </w:pPr>
    </w:p>
    <w:p w14:paraId="4FC242CD" w14:textId="0C2CA461" w:rsidR="00576CFA"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t>
      </w:r>
      <w:r w:rsidRPr="00F250D3">
        <w:rPr>
          <w:rFonts w:asciiTheme="minorHAnsi" w:hAnsiTheme="minorHAnsi" w:cstheme="minorHAnsi"/>
          <w:color w:val="4A4A4A"/>
          <w:sz w:val="21"/>
          <w:szCs w:val="21"/>
        </w:rPr>
        <w:lastRenderedPageBreak/>
        <w:t xml:space="preserve">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58515CD8" w:rsidR="00EC2915" w:rsidRDefault="00961362" w:rsidP="00576CFA">
      <w:pPr>
        <w:pStyle w:val="MText"/>
      </w:pPr>
      <w:r>
        <w:t xml:space="preserve">There are no formal country consultations. Data validation is internal to FAO. This indicator has been in existence since 1999. FAO has produced it to inform the World Food Summit target and the MDG target 1.C without country consultations. Upon request, FAO has provided countries with details on the data used in their specific case.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D4AF202" w14:textId="43C49D5B" w:rsidR="00AB18B5" w:rsidRDefault="00AB18B5" w:rsidP="00576CFA">
      <w:pPr>
        <w:pStyle w:val="MText"/>
      </w:pPr>
      <w:r>
        <w:t xml:space="preserve">None. </w:t>
      </w:r>
    </w:p>
    <w:p w14:paraId="68D58825" w14:textId="77777777" w:rsidR="00FF3A2D" w:rsidRPr="00A96255" w:rsidRDefault="00FF3A2D"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73855793" w14:textId="77777777" w:rsidR="00F250D3" w:rsidRDefault="00F250D3" w:rsidP="00F250D3">
      <w:pPr>
        <w:pStyle w:val="MText"/>
      </w:pPr>
      <w:r>
        <w:t>•</w:t>
      </w:r>
      <w:r>
        <w:tab/>
        <w:t xml:space="preserve">At country level </w:t>
      </w:r>
    </w:p>
    <w:p w14:paraId="5D7DA2D4" w14:textId="77777777" w:rsidR="00F250D3" w:rsidRDefault="00F250D3" w:rsidP="00F250D3">
      <w:pPr>
        <w:pStyle w:val="MText"/>
      </w:pPr>
    </w:p>
    <w:p w14:paraId="37DC85BE" w14:textId="77777777" w:rsidR="00F250D3" w:rsidRDefault="00F250D3" w:rsidP="00F250D3">
      <w:pPr>
        <w:pStyle w:val="MText"/>
      </w:pPr>
      <w:r>
        <w:t xml:space="preserve">When no data on food consumption is available from a recent household survey, the model-based estimate of the </w:t>
      </w:r>
      <w:proofErr w:type="spellStart"/>
      <w:r>
        <w:t>PoU</w:t>
      </w:r>
      <w:proofErr w:type="spellEnd"/>
      <w: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2203A4FD" w14:textId="77777777" w:rsidR="00F250D3" w:rsidRDefault="00F250D3" w:rsidP="00F250D3">
      <w:pPr>
        <w:pStyle w:val="MText"/>
      </w:pPr>
    </w:p>
    <w:p w14:paraId="00DD4505" w14:textId="77777777" w:rsidR="00F250D3" w:rsidRDefault="00F250D3" w:rsidP="00F250D3">
      <w:pPr>
        <w:pStyle w:val="MText"/>
      </w:pPr>
      <w:r>
        <w:t xml:space="preserve">See the section on method of computation for details. </w:t>
      </w:r>
    </w:p>
    <w:p w14:paraId="43AD92C1" w14:textId="77777777" w:rsidR="00F250D3" w:rsidRDefault="00F250D3" w:rsidP="00F250D3">
      <w:pPr>
        <w:pStyle w:val="MText"/>
      </w:pPr>
    </w:p>
    <w:p w14:paraId="74E3C9F5" w14:textId="77777777" w:rsidR="00F250D3" w:rsidRDefault="00F250D3" w:rsidP="00F250D3">
      <w:pPr>
        <w:pStyle w:val="MText"/>
      </w:pPr>
      <w:r>
        <w:t>•</w:t>
      </w:r>
      <w:r>
        <w:tab/>
        <w:t xml:space="preserve">At regional and global levels </w:t>
      </w:r>
    </w:p>
    <w:p w14:paraId="61C7AB1F" w14:textId="77777777" w:rsidR="00F250D3" w:rsidRDefault="00F250D3" w:rsidP="00F250D3">
      <w:pPr>
        <w:pStyle w:val="MText"/>
      </w:pPr>
    </w:p>
    <w:p w14:paraId="27033367" w14:textId="6278E502" w:rsidR="00EC2915" w:rsidRDefault="00F250D3" w:rsidP="00F250D3">
      <w:pPr>
        <w:pStyle w:val="MText"/>
      </w:pPr>
      <w:r>
        <w:t xml:space="preserve">Missing values for individual countries are implicitly imputed to be equal to the population weighted average of the estimated values of the countries present in the same </w:t>
      </w:r>
      <w:proofErr w:type="spellStart"/>
      <w:r w:rsidR="00AB18B5">
        <w:t>sub</w:t>
      </w:r>
      <w:r>
        <w:t>region</w:t>
      </w:r>
      <w:proofErr w:type="spellEnd"/>
      <w:r w:rsidR="00AB18B5">
        <w:t xml:space="preserve"> or region</w:t>
      </w:r>
      <w:r>
        <w:t>.</w:t>
      </w:r>
    </w:p>
    <w:p w14:paraId="641B4C4B" w14:textId="77777777" w:rsidR="00F250D3" w:rsidRPr="00A96255" w:rsidRDefault="00F250D3" w:rsidP="00F250D3">
      <w:pPr>
        <w:pStyle w:val="MText"/>
      </w:pPr>
    </w:p>
    <w:p w14:paraId="51FCD280" w14:textId="0DAB30E3" w:rsidR="00E1050F" w:rsidRPr="00A96255" w:rsidRDefault="00E1050F" w:rsidP="00F719A8">
      <w:pPr>
        <w:pStyle w:val="MHeader2"/>
      </w:pPr>
      <w:r w:rsidRPr="00A96255">
        <w:t>4.g. Regional aggregations</w:t>
      </w:r>
    </w:p>
    <w:p w14:paraId="115B6A1D" w14:textId="77777777" w:rsidR="00F250D3" w:rsidRDefault="00F250D3" w:rsidP="00F250D3">
      <w:pPr>
        <w:pStyle w:val="MText"/>
      </w:pPr>
      <w:r>
        <w:t xml:space="preserve">Regional and global aggregates of the </w:t>
      </w:r>
      <w:proofErr w:type="spellStart"/>
      <w:r>
        <w:t>PoU</w:t>
      </w:r>
      <w:proofErr w:type="spellEnd"/>
      <w:r>
        <w:t xml:space="preserve"> are computed as: </w:t>
      </w:r>
    </w:p>
    <w:p w14:paraId="7B02A037" w14:textId="77777777" w:rsidR="00F250D3" w:rsidRDefault="00F250D3" w:rsidP="00F250D3">
      <w:pPr>
        <w:pStyle w:val="MText"/>
      </w:pPr>
    </w:p>
    <w:p w14:paraId="2EC95B56" w14:textId="77777777" w:rsidR="00F250D3" w:rsidRPr="00BC18A9" w:rsidRDefault="00F250D3" w:rsidP="00F250D3">
      <w:pPr>
        <w:pStyle w:val="MText"/>
        <w:rPr>
          <w:lang w:val="it-IT"/>
        </w:rPr>
      </w:pPr>
      <w:r w:rsidRPr="00BC18A9">
        <w:rPr>
          <w:lang w:val="it-IT"/>
        </w:rPr>
        <w:t xml:space="preserve">PoU_REG = (_i PoU_i × N_i) / (_i N_i) </w:t>
      </w:r>
    </w:p>
    <w:p w14:paraId="7DC1C7BB" w14:textId="77777777" w:rsidR="00F250D3" w:rsidRPr="00BC18A9" w:rsidRDefault="00F250D3" w:rsidP="00F250D3">
      <w:pPr>
        <w:pStyle w:val="MText"/>
        <w:rPr>
          <w:lang w:val="it-IT"/>
        </w:rPr>
      </w:pPr>
    </w:p>
    <w:p w14:paraId="0E185ACE" w14:textId="77777777" w:rsidR="00F250D3" w:rsidRDefault="00F250D3" w:rsidP="00F250D3">
      <w:pPr>
        <w:pStyle w:val="MText"/>
      </w:pPr>
      <w:r>
        <w:t xml:space="preserve">where </w:t>
      </w:r>
      <w:proofErr w:type="spellStart"/>
      <w:r>
        <w:t>PoU_i</w:t>
      </w:r>
      <w:proofErr w:type="spellEnd"/>
      <w:r>
        <w:t xml:space="preserve"> are the values of </w:t>
      </w:r>
      <w:proofErr w:type="spellStart"/>
      <w:r>
        <w:t>PoU</w:t>
      </w:r>
      <w:proofErr w:type="spellEnd"/>
      <w:r>
        <w:t xml:space="preserve"> estimated for all countries in the regions for which available data allow to compute a reliable estimate, and </w:t>
      </w:r>
      <w:proofErr w:type="spellStart"/>
      <w:r>
        <w:t>N_i</w:t>
      </w:r>
      <w:proofErr w:type="spellEnd"/>
      <w:r>
        <w:t xml:space="preserve"> the corresponding population size. </w:t>
      </w:r>
    </w:p>
    <w:p w14:paraId="23327535" w14:textId="110BEBA2" w:rsidR="00576CFA" w:rsidRPr="00A96255" w:rsidRDefault="00576CFA" w:rsidP="00E1050F">
      <w:pPr>
        <w:pStyle w:val="MText"/>
      </w:pPr>
      <w:r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1868667B"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main three sources of data at national level are: </w:t>
      </w:r>
    </w:p>
    <w:p w14:paraId="78303FAB"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w:t>
      </w:r>
      <w:r w:rsidRPr="00F250D3">
        <w:rPr>
          <w:rFonts w:asciiTheme="minorHAnsi" w:hAnsiTheme="minorHAnsi" w:cstheme="minorHAnsi"/>
          <w:color w:val="4A4A4A"/>
          <w:sz w:val="21"/>
          <w:szCs w:val="21"/>
        </w:rPr>
        <w:tab/>
        <w:t xml:space="preserve">Official reports on the production, trade and utilization of the major food crop and livestock productions. </w:t>
      </w:r>
    </w:p>
    <w:p w14:paraId="6E076BCB"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b) </w:t>
      </w:r>
      <w:r w:rsidRPr="00F250D3">
        <w:rPr>
          <w:rFonts w:asciiTheme="minorHAnsi" w:hAnsiTheme="minorHAnsi" w:cstheme="minorHAnsi"/>
          <w:color w:val="4A4A4A"/>
          <w:sz w:val="21"/>
          <w:szCs w:val="21"/>
        </w:rPr>
        <w:tab/>
        <w:t xml:space="preserve">Household survey data on food consumption </w:t>
      </w:r>
    </w:p>
    <w:p w14:paraId="2DBF4182"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 </w:t>
      </w:r>
      <w:r w:rsidRPr="00F250D3">
        <w:rPr>
          <w:rFonts w:asciiTheme="minorHAnsi" w:hAnsiTheme="minorHAnsi" w:cstheme="minorHAnsi"/>
          <w:color w:val="4A4A4A"/>
          <w:sz w:val="21"/>
          <w:szCs w:val="21"/>
        </w:rPr>
        <w:tab/>
        <w:t xml:space="preserve">Demographic characteristics of the national population </w:t>
      </w:r>
    </w:p>
    <w:p w14:paraId="1D40EE52" w14:textId="77777777" w:rsidR="00F250D3" w:rsidRPr="00F250D3" w:rsidRDefault="00F250D3" w:rsidP="00F250D3">
      <w:pPr>
        <w:pStyle w:val="Default"/>
        <w:rPr>
          <w:rFonts w:asciiTheme="minorHAnsi" w:hAnsiTheme="minorHAnsi" w:cstheme="minorHAnsi"/>
          <w:color w:val="4A4A4A"/>
          <w:sz w:val="21"/>
          <w:szCs w:val="21"/>
        </w:rPr>
      </w:pPr>
    </w:p>
    <w:p w14:paraId="5F038E50"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26777AB1" w14:textId="77777777" w:rsidR="00F250D3" w:rsidRPr="00F250D3" w:rsidRDefault="00F250D3" w:rsidP="00F250D3">
      <w:pPr>
        <w:pStyle w:val="Default"/>
        <w:rPr>
          <w:rFonts w:asciiTheme="minorHAnsi" w:hAnsiTheme="minorHAnsi" w:cstheme="minorHAnsi"/>
          <w:color w:val="4A4A4A"/>
          <w:sz w:val="21"/>
          <w:szCs w:val="21"/>
        </w:rPr>
      </w:pPr>
    </w:p>
    <w:p w14:paraId="50AA93CB"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data source for agricultural and food trade is almost exclusively the national customs office (with few exceptions 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w:t>
      </w:r>
      <w:proofErr w:type="gramStart"/>
      <w:r w:rsidRPr="00F250D3">
        <w:rPr>
          <w:rFonts w:asciiTheme="minorHAnsi" w:hAnsiTheme="minorHAnsi" w:cstheme="minorHAnsi"/>
          <w:color w:val="4A4A4A"/>
          <w:sz w:val="21"/>
          <w:szCs w:val="21"/>
        </w:rPr>
        <w:t>‘ mirror</w:t>
      </w:r>
      <w:proofErr w:type="gramEnd"/>
      <w:r w:rsidRPr="00F250D3">
        <w:rPr>
          <w:rFonts w:asciiTheme="minorHAnsi" w:hAnsiTheme="minorHAnsi" w:cstheme="minorHAnsi"/>
          <w:color w:val="4A4A4A"/>
          <w:sz w:val="21"/>
          <w:szCs w:val="21"/>
        </w:rPr>
        <w:t xml:space="preserve">’ trade statistics to cross-check quantities and values). </w:t>
      </w:r>
    </w:p>
    <w:p w14:paraId="3AF4B521" w14:textId="77777777" w:rsidR="00F250D3" w:rsidRPr="00F250D3" w:rsidRDefault="00F250D3" w:rsidP="00F250D3">
      <w:pPr>
        <w:pStyle w:val="Default"/>
        <w:rPr>
          <w:rFonts w:asciiTheme="minorHAnsi" w:hAnsiTheme="minorHAnsi" w:cstheme="minorHAnsi"/>
          <w:color w:val="4A4A4A"/>
          <w:sz w:val="21"/>
          <w:szCs w:val="21"/>
        </w:rPr>
      </w:pPr>
    </w:p>
    <w:p w14:paraId="58D5796B"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r>
    </w:p>
    <w:p w14:paraId="109FF430" w14:textId="77777777" w:rsidR="00F250D3" w:rsidRPr="00F250D3" w:rsidRDefault="00F250D3" w:rsidP="00F250D3">
      <w:pPr>
        <w:pStyle w:val="Default"/>
        <w:rPr>
          <w:rFonts w:asciiTheme="minorHAnsi" w:hAnsiTheme="minorHAnsi" w:cstheme="minorHAnsi"/>
          <w:color w:val="4A4A4A"/>
          <w:sz w:val="21"/>
          <w:szCs w:val="21"/>
        </w:rPr>
      </w:pPr>
    </w:p>
    <w:p w14:paraId="636781A5"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The main result of the compilation of the FBS is the calculation of the Dietary Energy Supply (DES) in kilocalories per person (based on population figures) </w:t>
      </w:r>
      <w:proofErr w:type="gramStart"/>
      <w:r w:rsidRPr="00F250D3">
        <w:rPr>
          <w:rFonts w:asciiTheme="minorHAnsi" w:hAnsiTheme="minorHAnsi" w:cstheme="minorHAnsi"/>
          <w:color w:val="4A4A4A"/>
          <w:sz w:val="21"/>
          <w:szCs w:val="21"/>
        </w:rPr>
        <w:t>in a given</w:t>
      </w:r>
      <w:proofErr w:type="gramEnd"/>
      <w:r w:rsidRPr="00F250D3">
        <w:rPr>
          <w:rFonts w:asciiTheme="minorHAnsi" w:hAnsiTheme="minorHAnsi" w:cstheme="minorHAnsi"/>
          <w:color w:val="4A4A4A"/>
          <w:sz w:val="21"/>
          <w:szCs w:val="21"/>
        </w:rPr>
        <w:t xml:space="preserve"> year (quantities resulting as available for human consumption are converted into their caloric equivalents by using appropriate nutritive conversion factors by commodity). The DES, in the absence of direct consumption data from household surveys, is one of the key components in the calculation of the Prevalence of Undernourishment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FAO is presently embarking on a more focused program of providing FBS capacity to countries, including an updated compilation tool. </w:t>
      </w:r>
    </w:p>
    <w:p w14:paraId="14E5773A" w14:textId="77777777" w:rsidR="00F250D3" w:rsidRPr="00F250D3" w:rsidRDefault="00F250D3" w:rsidP="00F250D3">
      <w:pPr>
        <w:pStyle w:val="Default"/>
        <w:rPr>
          <w:rFonts w:asciiTheme="minorHAnsi" w:hAnsiTheme="minorHAnsi" w:cstheme="minorHAnsi"/>
          <w:color w:val="4A4A4A"/>
          <w:sz w:val="21"/>
          <w:szCs w:val="21"/>
        </w:rPr>
      </w:pPr>
    </w:p>
    <w:p w14:paraId="421BAF35"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FAO obtains crop/livestock primary/processed production data, and principal utilization thereof, through country-tailored 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w:t>
      </w:r>
      <w:r w:rsidRPr="00F250D3">
        <w:rPr>
          <w:rFonts w:asciiTheme="minorHAnsi" w:hAnsiTheme="minorHAnsi" w:cstheme="minorHAnsi"/>
          <w:color w:val="4A4A4A"/>
          <w:sz w:val="21"/>
          <w:szCs w:val="21"/>
        </w:rPr>
        <w:lastRenderedPageBreak/>
        <w:t xml:space="preserve">noted that when data are not officially reported/available (as is frequently the case with commodity utilization data), and hence it is necessary to resort to imputations to fill the data gaps. </w:t>
      </w:r>
    </w:p>
    <w:p w14:paraId="3B1D5481" w14:textId="77777777" w:rsidR="00F250D3" w:rsidRPr="00F250D3" w:rsidRDefault="00F250D3" w:rsidP="00F250D3">
      <w:pPr>
        <w:pStyle w:val="Default"/>
        <w:rPr>
          <w:rFonts w:asciiTheme="minorHAnsi" w:hAnsiTheme="minorHAnsi" w:cstheme="minorHAnsi"/>
          <w:color w:val="4A4A4A"/>
          <w:sz w:val="21"/>
          <w:szCs w:val="21"/>
        </w:rPr>
      </w:pPr>
    </w:p>
    <w:p w14:paraId="6F3FA0F1"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new FBS Guidelines for national compilation (completed recently in collaboration with the Global Strategy) and new compilation tool (R-based ‘shiny’ application). </w:t>
      </w:r>
    </w:p>
    <w:p w14:paraId="770E33B6" w14:textId="77777777" w:rsidR="00F250D3" w:rsidRPr="00F250D3" w:rsidRDefault="00F250D3" w:rsidP="00F250D3">
      <w:pPr>
        <w:pStyle w:val="Default"/>
        <w:rPr>
          <w:rFonts w:asciiTheme="minorHAnsi" w:hAnsiTheme="minorHAnsi" w:cstheme="minorHAnsi"/>
          <w:color w:val="4A4A4A"/>
          <w:sz w:val="21"/>
          <w:szCs w:val="21"/>
        </w:rPr>
      </w:pPr>
    </w:p>
    <w:p w14:paraId="76E2B830" w14:textId="77777777" w:rsidR="00F250D3" w:rsidRDefault="00F250D3" w:rsidP="00F250D3">
      <w:pPr>
        <w:pStyle w:val="Default"/>
        <w:rPr>
          <w:rFonts w:asciiTheme="minorHAnsi" w:hAnsiTheme="minorHAnsi" w:cstheme="minorHAnsi"/>
          <w:sz w:val="21"/>
          <w:szCs w:val="21"/>
        </w:rPr>
      </w:pPr>
      <w:r w:rsidRPr="00F250D3">
        <w:rPr>
          <w:rFonts w:asciiTheme="minorHAnsi" w:hAnsiTheme="minorHAnsi" w:cstheme="minorHAnsi"/>
          <w:color w:val="4A4A4A"/>
          <w:sz w:val="21"/>
          <w:szCs w:val="21"/>
        </w:rPr>
        <w:t xml:space="preserve">Detail on FBS methodology: </w:t>
      </w:r>
      <w:hyperlink r:id="rId11" w:history="1">
        <w:r>
          <w:rPr>
            <w:rStyle w:val="Hyperlink"/>
            <w:rFonts w:asciiTheme="minorHAnsi" w:hAnsiTheme="minorHAnsi" w:cstheme="minorHAnsi"/>
            <w:sz w:val="21"/>
            <w:szCs w:val="21"/>
          </w:rPr>
          <w:t>http://www.fao.org/economic/ess/fbs/ess-fbs02/en/</w:t>
        </w:r>
      </w:hyperlink>
      <w:r>
        <w:rPr>
          <w:rFonts w:asciiTheme="minorHAnsi" w:hAnsiTheme="minorHAnsi" w:cstheme="minorHAnsi"/>
          <w:sz w:val="21"/>
          <w:szCs w:val="21"/>
        </w:rPr>
        <w:t xml:space="preserve">. </w:t>
      </w:r>
    </w:p>
    <w:p w14:paraId="72C0F901"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701D8708" w14:textId="77777777" w:rsidR="00F250D3" w:rsidRPr="00F250D3" w:rsidRDefault="00F250D3" w:rsidP="00F250D3">
      <w:pPr>
        <w:pStyle w:val="Default"/>
        <w:rPr>
          <w:rFonts w:asciiTheme="minorHAnsi" w:hAnsiTheme="minorHAnsi" w:cstheme="minorHAnsi"/>
          <w:color w:val="4A4A4A"/>
          <w:sz w:val="21"/>
          <w:szCs w:val="21"/>
        </w:rPr>
      </w:pPr>
    </w:p>
    <w:p w14:paraId="37D23EDC" w14:textId="77777777" w:rsidR="00F250D3" w:rsidRDefault="00F250D3" w:rsidP="00F250D3">
      <w:pPr>
        <w:pStyle w:val="Default"/>
        <w:rPr>
          <w:rFonts w:asciiTheme="minorHAnsi" w:hAnsiTheme="minorHAnsi" w:cstheme="minorHAnsi"/>
          <w:sz w:val="21"/>
          <w:szCs w:val="21"/>
        </w:rPr>
      </w:pPr>
      <w:r w:rsidRPr="00F250D3">
        <w:rPr>
          <w:rFonts w:asciiTheme="minorHAnsi" w:hAnsiTheme="minorHAnsi" w:cstheme="minorHAnsi"/>
          <w:color w:val="4A4A4A"/>
          <w:sz w:val="21"/>
          <w:szCs w:val="21"/>
        </w:rPr>
        <w:t xml:space="preserve">Some FBS background text also available on FAOSTAT: </w:t>
      </w:r>
      <w:hyperlink r:id="rId12" w:anchor="data/FBS" w:history="1">
        <w:r>
          <w:rPr>
            <w:rStyle w:val="Hyperlink"/>
            <w:rFonts w:asciiTheme="minorHAnsi" w:hAnsiTheme="minorHAnsi" w:cstheme="minorHAnsi"/>
            <w:sz w:val="21"/>
            <w:szCs w:val="21"/>
          </w:rPr>
          <w:t>http://www.fao.org/faostat/en/#data/FBS</w:t>
        </w:r>
      </w:hyperlink>
      <w:r>
        <w:rPr>
          <w:rFonts w:asciiTheme="minorHAnsi" w:hAnsiTheme="minorHAnsi" w:cstheme="minorHAnsi"/>
          <w:sz w:val="21"/>
          <w:szCs w:val="21"/>
        </w:rPr>
        <w:t xml:space="preserve">. </w:t>
      </w:r>
    </w:p>
    <w:p w14:paraId="17C248A1" w14:textId="77777777" w:rsidR="00F250D3" w:rsidRDefault="00F250D3" w:rsidP="00F250D3">
      <w:pPr>
        <w:pStyle w:val="Default"/>
        <w:rPr>
          <w:rFonts w:asciiTheme="minorHAnsi" w:hAnsiTheme="minorHAnsi" w:cstheme="minorHAnsi"/>
          <w:sz w:val="21"/>
          <w:szCs w:val="21"/>
        </w:rPr>
      </w:pPr>
    </w:p>
    <w:p w14:paraId="2939895F" w14:textId="1368FFA3"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3DA38511" w:rsidR="00EC2915" w:rsidRDefault="00050FC4" w:rsidP="00576CFA">
      <w:pPr>
        <w:pStyle w:val="MText"/>
      </w:pPr>
      <w:r>
        <w:t xml:space="preserve">ESS conducts trend analysis of the newly updated indicator with </w:t>
      </w:r>
      <w:r w:rsidR="005D569A">
        <w:t>other relevant indicators. Meanwhile, p</w:t>
      </w:r>
      <w:r>
        <w:t xml:space="preserve">reliminary estimates of each round of the update are circulated among regional offices for review. Because of their knowledge of their regions and countries, they often provide invaluable inputs to the revisions and finalization of the update. </w:t>
      </w:r>
    </w:p>
    <w:p w14:paraId="4534AB07" w14:textId="77777777" w:rsidR="00A876A1" w:rsidRPr="00A96255" w:rsidRDefault="00A876A1" w:rsidP="00576CFA">
      <w:pPr>
        <w:pStyle w:val="MText"/>
      </w:pPr>
    </w:p>
    <w:p w14:paraId="17B979CA" w14:textId="449C0153" w:rsidR="00E1050F" w:rsidRPr="00A96255" w:rsidRDefault="00E1050F" w:rsidP="00F719A8">
      <w:pPr>
        <w:pStyle w:val="MHeader2"/>
      </w:pPr>
      <w:r w:rsidRPr="00A96255">
        <w:t>4.j Quality assurance</w:t>
      </w:r>
    </w:p>
    <w:p w14:paraId="7E6B04E3" w14:textId="4E05177C" w:rsidR="00576CFA" w:rsidRPr="00A96255" w:rsidRDefault="00F250D3" w:rsidP="00576CFA">
      <w:pPr>
        <w:pStyle w:val="MText"/>
      </w:pPr>
      <w:r w:rsidRPr="00F250D3">
        <w:t xml:space="preserve">FBS capacity development programme in cooperation with the Global Strategy (more details may be provided if required); capacity development in cooperation with the ESS Food Security team as a </w:t>
      </w:r>
      <w:proofErr w:type="spellStart"/>
      <w:r w:rsidRPr="00F250D3">
        <w:t>PoU</w:t>
      </w:r>
      <w:proofErr w:type="spellEnd"/>
      <w:r w:rsidRPr="00F250D3">
        <w:t>/FBS package (financed by projects); and direct FBS capacity development based on specific direct country requests.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0322F035" w:rsidR="00576CFA" w:rsidRPr="00A96255" w:rsidRDefault="005D569A" w:rsidP="00576CFA">
      <w:pPr>
        <w:pStyle w:val="MText"/>
      </w:pPr>
      <w:r>
        <w:t>High</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5D4934B4" w14:textId="55B3DA95" w:rsidR="00F250D3" w:rsidRPr="00F250D3" w:rsidRDefault="00D51E7C" w:rsidP="00F250D3">
      <w:pPr>
        <w:pStyle w:val="MText"/>
        <w:rPr>
          <w:rFonts w:eastAsiaTheme="minorEastAsia" w:cstheme="minorHAnsi"/>
          <w:b/>
          <w:bCs/>
          <w:lang w:val="en-US" w:eastAsia="zh-CN"/>
        </w:rPr>
      </w:pPr>
      <w:r w:rsidRPr="00F250D3">
        <w:rPr>
          <w:rFonts w:eastAsiaTheme="minorEastAsia" w:cstheme="minorHAnsi"/>
          <w:b/>
          <w:bCs/>
          <w:lang w:val="en-US" w:eastAsia="zh-CN"/>
        </w:rPr>
        <w:t>Data availability:</w:t>
      </w:r>
    </w:p>
    <w:p w14:paraId="5C77C6AA"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Since 2017 FAO has reported separate estimates of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for 170 countries, distributed as follows: </w:t>
      </w:r>
    </w:p>
    <w:p w14:paraId="7A0D4976" w14:textId="77777777" w:rsidR="00F250D3" w:rsidRPr="00F250D3" w:rsidRDefault="00F250D3" w:rsidP="00F250D3">
      <w:pPr>
        <w:pStyle w:val="Default"/>
        <w:rPr>
          <w:rFonts w:asciiTheme="minorHAnsi" w:hAnsiTheme="minorHAnsi" w:cstheme="minorHAnsi"/>
          <w:color w:val="4A4A4A"/>
          <w:sz w:val="21"/>
          <w:szCs w:val="21"/>
        </w:rPr>
      </w:pPr>
    </w:p>
    <w:p w14:paraId="6AC82EAC"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World 170 </w:t>
      </w:r>
    </w:p>
    <w:p w14:paraId="1CB3719A" w14:textId="35DFB4F4"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Africa </w:t>
      </w:r>
      <w:r w:rsidR="005D569A">
        <w:rPr>
          <w:rFonts w:asciiTheme="minorHAnsi" w:hAnsiTheme="minorHAnsi" w:cstheme="minorHAnsi"/>
          <w:color w:val="4A4A4A"/>
          <w:sz w:val="21"/>
          <w:szCs w:val="21"/>
        </w:rPr>
        <w:t>37</w:t>
      </w:r>
      <w:r w:rsidR="005D569A" w:rsidRPr="00F250D3">
        <w:rPr>
          <w:rFonts w:asciiTheme="minorHAnsi" w:hAnsiTheme="minorHAnsi" w:cstheme="minorHAnsi"/>
          <w:color w:val="4A4A4A"/>
          <w:sz w:val="21"/>
          <w:szCs w:val="21"/>
        </w:rPr>
        <w:t xml:space="preserve"> </w:t>
      </w:r>
    </w:p>
    <w:p w14:paraId="2B19D0D3"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Northern Africa 5 </w:t>
      </w:r>
    </w:p>
    <w:p w14:paraId="186D0B1E" w14:textId="622DCC88"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Sub-Saharan Africa </w:t>
      </w:r>
      <w:r w:rsidR="005D569A">
        <w:rPr>
          <w:rFonts w:asciiTheme="minorHAnsi" w:hAnsiTheme="minorHAnsi" w:cstheme="minorHAnsi"/>
          <w:color w:val="4A4A4A"/>
          <w:sz w:val="21"/>
          <w:szCs w:val="21"/>
        </w:rPr>
        <w:t>32</w:t>
      </w:r>
      <w:r w:rsidR="005D569A" w:rsidRPr="00F250D3">
        <w:rPr>
          <w:rFonts w:asciiTheme="minorHAnsi" w:hAnsiTheme="minorHAnsi" w:cstheme="minorHAnsi"/>
          <w:color w:val="4A4A4A"/>
          <w:sz w:val="21"/>
          <w:szCs w:val="21"/>
        </w:rPr>
        <w:t xml:space="preserve"> </w:t>
      </w:r>
    </w:p>
    <w:p w14:paraId="2A5036EC" w14:textId="120C59B9"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Eastern Africa </w:t>
      </w:r>
      <w:r w:rsidR="005D569A">
        <w:rPr>
          <w:rFonts w:asciiTheme="minorHAnsi" w:hAnsiTheme="minorHAnsi" w:cstheme="minorHAnsi"/>
          <w:color w:val="4A4A4A"/>
          <w:sz w:val="21"/>
          <w:szCs w:val="21"/>
        </w:rPr>
        <w:t>8</w:t>
      </w:r>
      <w:r w:rsidR="005D569A" w:rsidRPr="00F250D3">
        <w:rPr>
          <w:rFonts w:asciiTheme="minorHAnsi" w:hAnsiTheme="minorHAnsi" w:cstheme="minorHAnsi"/>
          <w:color w:val="4A4A4A"/>
          <w:sz w:val="21"/>
          <w:szCs w:val="21"/>
        </w:rPr>
        <w:t xml:space="preserve"> </w:t>
      </w:r>
    </w:p>
    <w:p w14:paraId="6257B7FA" w14:textId="7EDAB94A"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Middle Africa </w:t>
      </w:r>
      <w:r w:rsidR="005D569A">
        <w:rPr>
          <w:rFonts w:asciiTheme="minorHAnsi" w:hAnsiTheme="minorHAnsi" w:cstheme="minorHAnsi"/>
          <w:color w:val="4A4A4A"/>
          <w:sz w:val="21"/>
          <w:szCs w:val="21"/>
        </w:rPr>
        <w:t>6</w:t>
      </w:r>
      <w:r w:rsidR="005D569A" w:rsidRPr="00F250D3">
        <w:rPr>
          <w:rFonts w:asciiTheme="minorHAnsi" w:hAnsiTheme="minorHAnsi" w:cstheme="minorHAnsi"/>
          <w:color w:val="4A4A4A"/>
          <w:sz w:val="21"/>
          <w:szCs w:val="21"/>
        </w:rPr>
        <w:t xml:space="preserve"> </w:t>
      </w:r>
    </w:p>
    <w:p w14:paraId="5A39CD28"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Southern Africa 5 </w:t>
      </w:r>
    </w:p>
    <w:p w14:paraId="7680617A" w14:textId="280336BB"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Western Africa </w:t>
      </w:r>
      <w:r w:rsidR="005D569A" w:rsidRPr="00F250D3">
        <w:rPr>
          <w:rFonts w:asciiTheme="minorHAnsi" w:hAnsiTheme="minorHAnsi" w:cstheme="minorHAnsi"/>
          <w:color w:val="4A4A4A"/>
          <w:sz w:val="21"/>
          <w:szCs w:val="21"/>
        </w:rPr>
        <w:t>1</w:t>
      </w:r>
      <w:r w:rsidR="005D569A">
        <w:rPr>
          <w:rFonts w:asciiTheme="minorHAnsi" w:hAnsiTheme="minorHAnsi" w:cstheme="minorHAnsi"/>
          <w:color w:val="4A4A4A"/>
          <w:sz w:val="21"/>
          <w:szCs w:val="21"/>
        </w:rPr>
        <w:t>3</w:t>
      </w:r>
      <w:r w:rsidR="005D569A" w:rsidRPr="00F250D3">
        <w:rPr>
          <w:rFonts w:asciiTheme="minorHAnsi" w:hAnsiTheme="minorHAnsi" w:cstheme="minorHAnsi"/>
          <w:color w:val="4A4A4A"/>
          <w:sz w:val="21"/>
          <w:szCs w:val="21"/>
        </w:rPr>
        <w:t xml:space="preserve"> </w:t>
      </w:r>
    </w:p>
    <w:p w14:paraId="36287F61" w14:textId="1E577EAD"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Asia </w:t>
      </w:r>
      <w:r w:rsidR="005D569A">
        <w:rPr>
          <w:rFonts w:asciiTheme="minorHAnsi" w:hAnsiTheme="minorHAnsi" w:cstheme="minorHAnsi"/>
          <w:color w:val="4A4A4A"/>
          <w:sz w:val="21"/>
          <w:szCs w:val="21"/>
        </w:rPr>
        <w:t>38</w:t>
      </w:r>
      <w:r w:rsidR="005D569A" w:rsidRPr="00F250D3">
        <w:rPr>
          <w:rFonts w:asciiTheme="minorHAnsi" w:hAnsiTheme="minorHAnsi" w:cstheme="minorHAnsi"/>
          <w:color w:val="4A4A4A"/>
          <w:sz w:val="21"/>
          <w:szCs w:val="21"/>
        </w:rPr>
        <w:t xml:space="preserve"> </w:t>
      </w:r>
    </w:p>
    <w:p w14:paraId="4AAB8208" w14:textId="1DA3650D"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Central Asia </w:t>
      </w:r>
      <w:r w:rsidR="005D569A">
        <w:rPr>
          <w:rFonts w:asciiTheme="minorHAnsi" w:hAnsiTheme="minorHAnsi" w:cstheme="minorHAnsi"/>
          <w:color w:val="4A4A4A"/>
          <w:sz w:val="21"/>
          <w:szCs w:val="21"/>
        </w:rPr>
        <w:t>4</w:t>
      </w:r>
      <w:r w:rsidR="005D569A" w:rsidRPr="00F250D3">
        <w:rPr>
          <w:rFonts w:asciiTheme="minorHAnsi" w:hAnsiTheme="minorHAnsi" w:cstheme="minorHAnsi"/>
          <w:color w:val="4A4A4A"/>
          <w:sz w:val="21"/>
          <w:szCs w:val="21"/>
        </w:rPr>
        <w:t xml:space="preserve"> </w:t>
      </w:r>
    </w:p>
    <w:p w14:paraId="30A845EC"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Eastern Asia 5 </w:t>
      </w:r>
    </w:p>
    <w:p w14:paraId="428F407B" w14:textId="20687206"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Southern Asia </w:t>
      </w:r>
      <w:r w:rsidR="005D569A">
        <w:rPr>
          <w:rFonts w:asciiTheme="minorHAnsi" w:hAnsiTheme="minorHAnsi" w:cstheme="minorHAnsi"/>
          <w:color w:val="4A4A4A"/>
          <w:sz w:val="21"/>
          <w:szCs w:val="21"/>
        </w:rPr>
        <w:t>7</w:t>
      </w:r>
      <w:r w:rsidR="005D569A" w:rsidRPr="00F250D3">
        <w:rPr>
          <w:rFonts w:asciiTheme="minorHAnsi" w:hAnsiTheme="minorHAnsi" w:cstheme="minorHAnsi"/>
          <w:color w:val="4A4A4A"/>
          <w:sz w:val="21"/>
          <w:szCs w:val="21"/>
        </w:rPr>
        <w:t xml:space="preserve"> </w:t>
      </w:r>
    </w:p>
    <w:p w14:paraId="0CA98F0B" w14:textId="61EB22E6"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South-Eastern Asia </w:t>
      </w:r>
      <w:r w:rsidR="005D569A">
        <w:rPr>
          <w:rFonts w:asciiTheme="minorHAnsi" w:hAnsiTheme="minorHAnsi" w:cstheme="minorHAnsi"/>
          <w:color w:val="4A4A4A"/>
          <w:sz w:val="21"/>
          <w:szCs w:val="21"/>
        </w:rPr>
        <w:t>9</w:t>
      </w:r>
      <w:r w:rsidR="005D569A" w:rsidRPr="00F250D3">
        <w:rPr>
          <w:rFonts w:asciiTheme="minorHAnsi" w:hAnsiTheme="minorHAnsi" w:cstheme="minorHAnsi"/>
          <w:color w:val="4A4A4A"/>
          <w:sz w:val="21"/>
          <w:szCs w:val="21"/>
        </w:rPr>
        <w:t xml:space="preserve"> </w:t>
      </w:r>
    </w:p>
    <w:p w14:paraId="5FE16319" w14:textId="14A6BFC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    Western Asia </w:t>
      </w:r>
      <w:r w:rsidR="005D569A" w:rsidRPr="00F250D3">
        <w:rPr>
          <w:rFonts w:asciiTheme="minorHAnsi" w:hAnsiTheme="minorHAnsi" w:cstheme="minorHAnsi"/>
          <w:color w:val="4A4A4A"/>
          <w:sz w:val="21"/>
          <w:szCs w:val="21"/>
        </w:rPr>
        <w:t>1</w:t>
      </w:r>
      <w:r w:rsidR="005D569A">
        <w:rPr>
          <w:rFonts w:asciiTheme="minorHAnsi" w:hAnsiTheme="minorHAnsi" w:cstheme="minorHAnsi"/>
          <w:color w:val="4A4A4A"/>
          <w:sz w:val="21"/>
          <w:szCs w:val="21"/>
        </w:rPr>
        <w:t>3</w:t>
      </w:r>
      <w:r w:rsidR="005D569A" w:rsidRPr="00F250D3">
        <w:rPr>
          <w:rFonts w:asciiTheme="minorHAnsi" w:hAnsiTheme="minorHAnsi" w:cstheme="minorHAnsi"/>
          <w:color w:val="4A4A4A"/>
          <w:sz w:val="21"/>
          <w:szCs w:val="21"/>
        </w:rPr>
        <w:t xml:space="preserve"> </w:t>
      </w:r>
    </w:p>
    <w:p w14:paraId="64A3A892" w14:textId="5C17F02F"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Latin America and the Caribbean </w:t>
      </w:r>
      <w:r w:rsidR="005D569A">
        <w:rPr>
          <w:rFonts w:asciiTheme="minorHAnsi" w:hAnsiTheme="minorHAnsi" w:cstheme="minorHAnsi"/>
          <w:color w:val="4A4A4A"/>
          <w:sz w:val="21"/>
          <w:szCs w:val="21"/>
        </w:rPr>
        <w:t>28</w:t>
      </w:r>
      <w:r w:rsidR="005D569A" w:rsidRPr="00F250D3">
        <w:rPr>
          <w:rFonts w:asciiTheme="minorHAnsi" w:hAnsiTheme="minorHAnsi" w:cstheme="minorHAnsi"/>
          <w:color w:val="4A4A4A"/>
          <w:sz w:val="21"/>
          <w:szCs w:val="21"/>
        </w:rPr>
        <w:t xml:space="preserve"> </w:t>
      </w:r>
    </w:p>
    <w:p w14:paraId="7586D7DB" w14:textId="1D663270" w:rsidR="00F250D3" w:rsidRPr="00BC18A9"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w:t>
      </w:r>
      <w:r w:rsidRPr="00BC18A9">
        <w:rPr>
          <w:rFonts w:asciiTheme="minorHAnsi" w:hAnsiTheme="minorHAnsi" w:cstheme="minorHAnsi"/>
          <w:color w:val="4A4A4A"/>
          <w:sz w:val="21"/>
          <w:szCs w:val="21"/>
        </w:rPr>
        <w:t xml:space="preserve">Caribbean </w:t>
      </w:r>
      <w:r w:rsidR="005D569A" w:rsidRPr="00BC18A9">
        <w:rPr>
          <w:rFonts w:asciiTheme="minorHAnsi" w:hAnsiTheme="minorHAnsi" w:cstheme="minorHAnsi"/>
          <w:color w:val="4A4A4A"/>
          <w:sz w:val="21"/>
          <w:szCs w:val="21"/>
        </w:rPr>
        <w:t xml:space="preserve">8 </w:t>
      </w:r>
    </w:p>
    <w:p w14:paraId="5113DF33" w14:textId="77777777" w:rsidR="00F250D3" w:rsidRPr="00BC18A9" w:rsidRDefault="00F250D3" w:rsidP="00F250D3">
      <w:pPr>
        <w:pStyle w:val="Default"/>
        <w:rPr>
          <w:rFonts w:asciiTheme="minorHAnsi" w:hAnsiTheme="minorHAnsi" w:cstheme="minorHAnsi"/>
          <w:color w:val="4A4A4A"/>
          <w:sz w:val="21"/>
          <w:szCs w:val="21"/>
        </w:rPr>
      </w:pPr>
      <w:r w:rsidRPr="00BC18A9">
        <w:rPr>
          <w:rFonts w:asciiTheme="minorHAnsi" w:hAnsiTheme="minorHAnsi" w:cstheme="minorHAnsi"/>
          <w:color w:val="4A4A4A"/>
          <w:sz w:val="21"/>
          <w:szCs w:val="21"/>
        </w:rPr>
        <w:t xml:space="preserve">    Latin America 20 </w:t>
      </w:r>
    </w:p>
    <w:p w14:paraId="02667E13" w14:textId="77777777" w:rsidR="00F250D3" w:rsidRPr="00BC18A9" w:rsidRDefault="00F250D3" w:rsidP="00F250D3">
      <w:pPr>
        <w:pStyle w:val="Default"/>
        <w:rPr>
          <w:rFonts w:asciiTheme="minorHAnsi" w:hAnsiTheme="minorHAnsi" w:cstheme="minorHAnsi"/>
          <w:color w:val="4A4A4A"/>
          <w:sz w:val="21"/>
          <w:szCs w:val="21"/>
        </w:rPr>
      </w:pPr>
      <w:r w:rsidRPr="00BC18A9">
        <w:rPr>
          <w:rFonts w:asciiTheme="minorHAnsi" w:hAnsiTheme="minorHAnsi" w:cstheme="minorHAnsi"/>
          <w:color w:val="4A4A4A"/>
          <w:sz w:val="21"/>
          <w:szCs w:val="21"/>
        </w:rPr>
        <w:t xml:space="preserve">      Central America 8 </w:t>
      </w:r>
    </w:p>
    <w:p w14:paraId="30FF4A83" w14:textId="77777777" w:rsidR="00F250D3" w:rsidRPr="00F250D3" w:rsidRDefault="00F250D3" w:rsidP="00F250D3">
      <w:pPr>
        <w:pStyle w:val="Default"/>
        <w:rPr>
          <w:rFonts w:asciiTheme="minorHAnsi" w:hAnsiTheme="minorHAnsi" w:cstheme="minorHAnsi"/>
          <w:color w:val="4A4A4A"/>
          <w:sz w:val="21"/>
          <w:szCs w:val="21"/>
        </w:rPr>
      </w:pPr>
      <w:r w:rsidRPr="00BC18A9">
        <w:rPr>
          <w:rFonts w:asciiTheme="minorHAnsi" w:hAnsiTheme="minorHAnsi" w:cstheme="minorHAnsi"/>
          <w:color w:val="4A4A4A"/>
          <w:sz w:val="21"/>
          <w:szCs w:val="21"/>
        </w:rPr>
        <w:t xml:space="preserve">      </w:t>
      </w:r>
      <w:r w:rsidRPr="00F250D3">
        <w:rPr>
          <w:rFonts w:asciiTheme="minorHAnsi" w:hAnsiTheme="minorHAnsi" w:cstheme="minorHAnsi"/>
          <w:color w:val="4A4A4A"/>
          <w:sz w:val="21"/>
          <w:szCs w:val="21"/>
        </w:rPr>
        <w:t xml:space="preserve">South America 12 </w:t>
      </w:r>
    </w:p>
    <w:p w14:paraId="4CDA527E"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Oceania 9</w:t>
      </w:r>
    </w:p>
    <w:p w14:paraId="6E9B8084" w14:textId="77777777"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Australia and New Zealand 2</w:t>
      </w:r>
    </w:p>
    <w:p w14:paraId="5E9E3280" w14:textId="77777777"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Oceania excluding Australia and New Zealand 7</w:t>
      </w:r>
    </w:p>
    <w:p w14:paraId="76043DBA"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Northern America and Europe 42</w:t>
      </w:r>
    </w:p>
    <w:p w14:paraId="1BC0F19F" w14:textId="74A9B3B9"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Northern America </w:t>
      </w:r>
      <w:r w:rsidR="005D569A">
        <w:rPr>
          <w:rFonts w:asciiTheme="minorHAnsi" w:hAnsiTheme="minorHAnsi" w:cstheme="minorHAnsi"/>
          <w:color w:val="4A4A4A"/>
          <w:sz w:val="21"/>
          <w:szCs w:val="21"/>
        </w:rPr>
        <w:t>2</w:t>
      </w:r>
    </w:p>
    <w:p w14:paraId="54022DB6" w14:textId="2D60B386"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Europe 3</w:t>
      </w:r>
      <w:r w:rsidR="005D569A">
        <w:rPr>
          <w:rFonts w:asciiTheme="minorHAnsi" w:hAnsiTheme="minorHAnsi" w:cstheme="minorHAnsi"/>
          <w:color w:val="4A4A4A"/>
          <w:sz w:val="21"/>
          <w:szCs w:val="21"/>
        </w:rPr>
        <w:t>8</w:t>
      </w:r>
    </w:p>
    <w:p w14:paraId="72A08DDC" w14:textId="71D3E422"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Eastern Europe </w:t>
      </w:r>
      <w:r w:rsidR="005D569A">
        <w:rPr>
          <w:rFonts w:asciiTheme="minorHAnsi" w:hAnsiTheme="minorHAnsi" w:cstheme="minorHAnsi"/>
          <w:color w:val="4A4A4A"/>
          <w:sz w:val="21"/>
          <w:szCs w:val="21"/>
        </w:rPr>
        <w:t>9</w:t>
      </w:r>
    </w:p>
    <w:p w14:paraId="146F1C99" w14:textId="77777777"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Northern Europe 10</w:t>
      </w:r>
    </w:p>
    <w:p w14:paraId="05A8CDD0" w14:textId="77777777"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Southern Europe 12</w:t>
      </w:r>
    </w:p>
    <w:p w14:paraId="37EC48D4" w14:textId="77777777" w:rsidR="00F250D3" w:rsidRPr="00F250D3" w:rsidRDefault="00F250D3" w:rsidP="00F250D3">
      <w:pPr>
        <w:pStyle w:val="Default"/>
        <w:ind w:firstLine="195"/>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  Western Europe 7</w:t>
      </w:r>
    </w:p>
    <w:p w14:paraId="7EB2C38E" w14:textId="77777777" w:rsidR="00F250D3" w:rsidRPr="00F250D3" w:rsidRDefault="00F250D3" w:rsidP="00F250D3">
      <w:pPr>
        <w:pStyle w:val="Default"/>
        <w:rPr>
          <w:rFonts w:asciiTheme="minorHAnsi" w:hAnsiTheme="minorHAnsi" w:cstheme="minorHAnsi"/>
          <w:color w:val="4A4A4A"/>
          <w:sz w:val="21"/>
          <w:szCs w:val="21"/>
        </w:rPr>
      </w:pPr>
    </w:p>
    <w:p w14:paraId="2B0516EC"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While country-level estimates are presented as three-year averages, regional and global estimates are yearly estimates. </w:t>
      </w:r>
    </w:p>
    <w:p w14:paraId="7D4D2AC8" w14:textId="77777777" w:rsidR="00F250D3" w:rsidRPr="00F250D3" w:rsidRDefault="00F250D3" w:rsidP="00F250D3">
      <w:pPr>
        <w:pStyle w:val="Default"/>
        <w:rPr>
          <w:rFonts w:asciiTheme="minorHAnsi" w:hAnsiTheme="minorHAnsi" w:cstheme="minorHAnsi"/>
          <w:color w:val="4A4A4A"/>
          <w:sz w:val="21"/>
          <w:szCs w:val="21"/>
        </w:rPr>
      </w:pPr>
    </w:p>
    <w:p w14:paraId="08129431" w14:textId="6ED94C18" w:rsidR="00F250D3" w:rsidRPr="00F250D3" w:rsidRDefault="00F250D3" w:rsidP="00F250D3">
      <w:pPr>
        <w:pStyle w:val="Default"/>
        <w:rPr>
          <w:rFonts w:asciiTheme="minorHAnsi" w:hAnsiTheme="minorHAnsi" w:cstheme="minorHAnsi"/>
          <w:b/>
          <w:bCs/>
          <w:color w:val="4A4A4A"/>
          <w:sz w:val="21"/>
          <w:szCs w:val="21"/>
        </w:rPr>
      </w:pPr>
      <w:r w:rsidRPr="00F250D3">
        <w:rPr>
          <w:rFonts w:asciiTheme="minorHAnsi" w:hAnsiTheme="minorHAnsi" w:cstheme="minorHAnsi"/>
          <w:b/>
          <w:bCs/>
          <w:color w:val="4A4A4A"/>
          <w:sz w:val="21"/>
          <w:szCs w:val="21"/>
        </w:rPr>
        <w:t xml:space="preserve">Time series: </w:t>
      </w:r>
    </w:p>
    <w:p w14:paraId="4BCBC204"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2000 - current </w:t>
      </w:r>
    </w:p>
    <w:p w14:paraId="760C013A" w14:textId="2149305A" w:rsidR="00D51E7C" w:rsidRPr="00C019E5" w:rsidRDefault="00D51E7C" w:rsidP="00576CFA">
      <w:pPr>
        <w:pStyle w:val="MText"/>
        <w:rPr>
          <w:highlight w:val="cyan"/>
        </w:rPr>
      </w:pPr>
    </w:p>
    <w:p w14:paraId="5D2577EB" w14:textId="124E0089" w:rsidR="00F250D3" w:rsidRPr="00F250D3" w:rsidRDefault="00F250D3" w:rsidP="00F250D3">
      <w:pPr>
        <w:pStyle w:val="Default"/>
        <w:rPr>
          <w:rFonts w:asciiTheme="minorHAnsi" w:hAnsiTheme="minorHAnsi" w:cstheme="minorHAnsi"/>
          <w:b/>
          <w:bCs/>
          <w:color w:val="4A4A4A"/>
          <w:sz w:val="21"/>
          <w:szCs w:val="21"/>
        </w:rPr>
      </w:pPr>
      <w:r w:rsidRPr="00F250D3">
        <w:rPr>
          <w:rFonts w:asciiTheme="minorHAnsi" w:hAnsiTheme="minorHAnsi" w:cstheme="minorHAnsi"/>
          <w:b/>
          <w:bCs/>
          <w:color w:val="4A4A4A"/>
          <w:sz w:val="21"/>
          <w:szCs w:val="21"/>
        </w:rPr>
        <w:t xml:space="preserve">Disaggregation: </w:t>
      </w:r>
    </w:p>
    <w:p w14:paraId="01766757"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Due to reliance on national Food Balance Sheets data to estimate mean caloric consumption levels in the population, the global monitoring of MDG Target 1C and of the WFS target has been based on estimates of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at national level only. </w:t>
      </w:r>
    </w:p>
    <w:p w14:paraId="36671679" w14:textId="77777777" w:rsidR="00F250D3" w:rsidRPr="00F250D3" w:rsidRDefault="00F250D3" w:rsidP="00F250D3">
      <w:pPr>
        <w:pStyle w:val="Default"/>
        <w:rPr>
          <w:rFonts w:asciiTheme="minorHAnsi" w:hAnsiTheme="minorHAnsi" w:cstheme="minorHAnsi"/>
          <w:color w:val="4A4A4A"/>
          <w:sz w:val="21"/>
          <w:szCs w:val="21"/>
        </w:rPr>
      </w:pPr>
    </w:p>
    <w:p w14:paraId="2BD5FDB2"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r>
    </w:p>
    <w:p w14:paraId="4B725D85" w14:textId="77777777" w:rsidR="00F250D3" w:rsidRPr="00F250D3" w:rsidRDefault="00F250D3" w:rsidP="00F250D3">
      <w:pPr>
        <w:pStyle w:val="Default"/>
        <w:rPr>
          <w:rFonts w:asciiTheme="minorHAnsi" w:hAnsiTheme="minorHAnsi" w:cstheme="minorHAnsi"/>
          <w:color w:val="4A4A4A"/>
          <w:sz w:val="21"/>
          <w:szCs w:val="21"/>
        </w:rPr>
      </w:pPr>
    </w:p>
    <w:p w14:paraId="72C7C370" w14:textId="7D7A9892" w:rsidR="00D51E7C" w:rsidRPr="00F250D3" w:rsidRDefault="00F250D3" w:rsidP="00F250D3">
      <w:pPr>
        <w:pStyle w:val="MText"/>
      </w:pPr>
      <w:r w:rsidRPr="00F250D3">
        <w:rPr>
          <w:rFonts w:cstheme="minorHAnsi"/>
        </w:rP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rsidRPr="00F250D3">
        <w:rPr>
          <w:rFonts w:cstheme="minorHAnsi"/>
        </w:rPr>
        <w:t>PoU</w:t>
      </w:r>
      <w:proofErr w:type="spellEnd"/>
      <w:r w:rsidRPr="00F250D3">
        <w:rPr>
          <w:rFonts w:cstheme="minorHAnsi"/>
        </w:rPr>
        <w:t xml:space="preserve"> in different income classes of the population. Gender disaggregation is limited by the possibility to identify and group households by gender-related information (such as sex of the head of the household, or male/female ratio).</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96DC48B" w14:textId="77777777" w:rsidR="00F250D3" w:rsidRDefault="00F250D3" w:rsidP="00F250D3">
      <w:pPr>
        <w:pStyle w:val="MText"/>
      </w:pPr>
      <w:r>
        <w:t xml:space="preserve">Sources of discrepancies: </w:t>
      </w:r>
    </w:p>
    <w:p w14:paraId="7319CA5B" w14:textId="77777777" w:rsidR="00F250D3" w:rsidRDefault="00F250D3" w:rsidP="00F250D3">
      <w:pPr>
        <w:pStyle w:val="MText"/>
      </w:pPr>
    </w:p>
    <w:p w14:paraId="3F74F84C" w14:textId="77777777" w:rsidR="00F250D3" w:rsidRDefault="00F250D3" w:rsidP="00F250D3">
      <w:pPr>
        <w:pStyle w:val="MText"/>
      </w:pPr>
      <w: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0566638A" w14:textId="77777777" w:rsidR="00F250D3" w:rsidRDefault="00F250D3" w:rsidP="00F250D3">
      <w:pPr>
        <w:pStyle w:val="MText"/>
      </w:pPr>
    </w:p>
    <w:p w14:paraId="44055623" w14:textId="77777777" w:rsidR="00F250D3" w:rsidRDefault="00F250D3" w:rsidP="00F250D3">
      <w:pPr>
        <w:pStyle w:val="MText"/>
      </w:pPr>
      <w:r>
        <w:lastRenderedPageBreak/>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been used, probably as a reaction to the fact that percentages of households reporting average daily consumption of less than 2,100.00 kcal per capita were implausibly high estimates of the prevalence of undernourishment. </w:t>
      </w:r>
    </w:p>
    <w:p w14:paraId="1BC64E9D" w14:textId="77777777" w:rsidR="00F250D3" w:rsidRDefault="00F250D3" w:rsidP="00F250D3">
      <w:pPr>
        <w:pStyle w:val="MText"/>
      </w:pPr>
    </w:p>
    <w:p w14:paraId="21C2A4F8" w14:textId="77777777" w:rsidR="00F250D3" w:rsidRDefault="00F250D3" w:rsidP="00F250D3">
      <w:pPr>
        <w:pStyle w:val="MText"/>
      </w:pPr>
      <w:r>
        <w:t xml:space="preserve">Almost without exception, no consideration related to the presence of excess variability in the dietary energy consumption data is made, and the reports reveal limited or no progress in the reduction of </w:t>
      </w:r>
      <w:proofErr w:type="spellStart"/>
      <w:r>
        <w:t>PoU</w:t>
      </w:r>
      <w:proofErr w:type="spellEnd"/>
      <w:r>
        <w:t xml:space="preserve"> over time. </w:t>
      </w:r>
    </w:p>
    <w:p w14:paraId="433F7FF5" w14:textId="77777777" w:rsidR="00F250D3" w:rsidRDefault="00F250D3" w:rsidP="00F250D3">
      <w:pPr>
        <w:pStyle w:val="MText"/>
      </w:pPr>
    </w:p>
    <w:p w14:paraId="3C2D4870" w14:textId="761CA6E1" w:rsidR="00D51E7C" w:rsidRDefault="00F250D3" w:rsidP="00F250D3">
      <w:pPr>
        <w:pStyle w:val="MText"/>
      </w:pPr>
      <w:r>
        <w:t>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D137EBE" w14:textId="77777777" w:rsidR="00F250D3" w:rsidRDefault="00F250D3" w:rsidP="00F250D3">
      <w:pPr>
        <w:pStyle w:val="MText"/>
      </w:pPr>
      <w:r>
        <w:t xml:space="preserve">URL: </w:t>
      </w:r>
    </w:p>
    <w:p w14:paraId="2FF216D7" w14:textId="77777777" w:rsidR="00F250D3" w:rsidRDefault="00F250D3" w:rsidP="00F250D3">
      <w:pPr>
        <w:pStyle w:val="MText"/>
      </w:pPr>
    </w:p>
    <w:p w14:paraId="75630B72" w14:textId="77777777" w:rsidR="00F250D3" w:rsidRDefault="00F250D3" w:rsidP="00F250D3">
      <w:pPr>
        <w:pStyle w:val="MText"/>
      </w:pPr>
      <w:r>
        <w:t xml:space="preserve">http://www.fao.org/economic/ess/ess-fs/en/ </w:t>
      </w:r>
    </w:p>
    <w:p w14:paraId="73BB1058" w14:textId="77777777" w:rsidR="00F250D3" w:rsidRDefault="00F250D3" w:rsidP="00F250D3">
      <w:pPr>
        <w:pStyle w:val="MText"/>
      </w:pPr>
    </w:p>
    <w:p w14:paraId="6A6EEA97" w14:textId="77777777" w:rsidR="00F250D3" w:rsidRDefault="00F250D3" w:rsidP="00F250D3">
      <w:pPr>
        <w:pStyle w:val="MText"/>
      </w:pPr>
      <w:r>
        <w:t xml:space="preserve">References: </w:t>
      </w:r>
    </w:p>
    <w:p w14:paraId="3C2A8EFA" w14:textId="77777777" w:rsidR="00F250D3" w:rsidRDefault="00F250D3" w:rsidP="00F250D3">
      <w:pPr>
        <w:pStyle w:val="MText"/>
      </w:pPr>
    </w:p>
    <w:p w14:paraId="47BBEAC8" w14:textId="77777777" w:rsidR="00F250D3" w:rsidRDefault="00F250D3" w:rsidP="00F250D3">
      <w:pPr>
        <w:pStyle w:val="MText"/>
      </w:pPr>
      <w:r>
        <w:t xml:space="preserve">http://www.fao.org/docrep/012/w0931e/w0931e16.pdf </w:t>
      </w:r>
    </w:p>
    <w:p w14:paraId="0F2ACBF5" w14:textId="77777777" w:rsidR="00F250D3" w:rsidRDefault="00F250D3" w:rsidP="00F250D3">
      <w:pPr>
        <w:pStyle w:val="MText"/>
      </w:pPr>
      <w:r>
        <w:t xml:space="preserve">http://www.fao.org/docrep/005/Y4249E/y4249e06.htm#bm06 </w:t>
      </w:r>
    </w:p>
    <w:p w14:paraId="77DF2C8C" w14:textId="77777777" w:rsidR="00F250D3" w:rsidRDefault="00F250D3" w:rsidP="00F250D3">
      <w:pPr>
        <w:pStyle w:val="MText"/>
      </w:pPr>
      <w:r>
        <w:t xml:space="preserve">http://www.fao.org/3/a-i4060e.pdf </w:t>
      </w:r>
    </w:p>
    <w:p w14:paraId="47BD000E" w14:textId="77777777" w:rsidR="00F250D3" w:rsidRDefault="00F250D3" w:rsidP="00F250D3">
      <w:pPr>
        <w:pStyle w:val="MText"/>
      </w:pPr>
      <w:r>
        <w:t xml:space="preserve">http://www.fao.org/3/a-i4046e.pdf </w:t>
      </w:r>
    </w:p>
    <w:p w14:paraId="384B0992" w14:textId="36889691" w:rsidR="00186795" w:rsidRDefault="00186795" w:rsidP="00F250D3">
      <w:pPr>
        <w:pStyle w:val="MText"/>
      </w:pPr>
    </w:p>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470A4" w14:textId="77777777" w:rsidR="006802B1" w:rsidRDefault="006802B1" w:rsidP="00573C0B">
      <w:pPr>
        <w:spacing w:after="0" w:line="240" w:lineRule="auto"/>
      </w:pPr>
      <w:r>
        <w:separator/>
      </w:r>
    </w:p>
  </w:endnote>
  <w:endnote w:type="continuationSeparator" w:id="0">
    <w:p w14:paraId="5FB8B131" w14:textId="77777777" w:rsidR="006802B1" w:rsidRDefault="006802B1" w:rsidP="00573C0B">
      <w:pPr>
        <w:spacing w:after="0" w:line="240" w:lineRule="auto"/>
      </w:pPr>
      <w:r>
        <w:continuationSeparator/>
      </w:r>
    </w:p>
  </w:endnote>
  <w:endnote w:type="continuationNotice" w:id="1">
    <w:p w14:paraId="07A9CF1E" w14:textId="77777777" w:rsidR="006802B1" w:rsidRDefault="006802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B374" w14:textId="77777777" w:rsidR="006802B1" w:rsidRDefault="006802B1" w:rsidP="00573C0B">
      <w:pPr>
        <w:spacing w:after="0" w:line="240" w:lineRule="auto"/>
      </w:pPr>
      <w:r>
        <w:separator/>
      </w:r>
    </w:p>
  </w:footnote>
  <w:footnote w:type="continuationSeparator" w:id="0">
    <w:p w14:paraId="4291A97D" w14:textId="77777777" w:rsidR="006802B1" w:rsidRDefault="006802B1" w:rsidP="00573C0B">
      <w:pPr>
        <w:spacing w:after="0" w:line="240" w:lineRule="auto"/>
      </w:pPr>
      <w:r>
        <w:continuationSeparator/>
      </w:r>
    </w:p>
  </w:footnote>
  <w:footnote w:type="continuationNotice" w:id="1">
    <w:p w14:paraId="0923EE32" w14:textId="77777777" w:rsidR="006802B1" w:rsidRDefault="006802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8E3DEF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F3A2D">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16737"/>
    <w:multiLevelType w:val="hybridMultilevel"/>
    <w:tmpl w:val="AAF85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6941"/>
    <w:rsid w:val="00047DDA"/>
    <w:rsid w:val="00050FC4"/>
    <w:rsid w:val="0005455A"/>
    <w:rsid w:val="00071F07"/>
    <w:rsid w:val="0007759D"/>
    <w:rsid w:val="000777AB"/>
    <w:rsid w:val="00077F46"/>
    <w:rsid w:val="00090FB1"/>
    <w:rsid w:val="00096186"/>
    <w:rsid w:val="000A72E4"/>
    <w:rsid w:val="000B0E2F"/>
    <w:rsid w:val="000B2430"/>
    <w:rsid w:val="000C1341"/>
    <w:rsid w:val="000D0B30"/>
    <w:rsid w:val="000E21F1"/>
    <w:rsid w:val="000F703E"/>
    <w:rsid w:val="00120E86"/>
    <w:rsid w:val="00125CD1"/>
    <w:rsid w:val="00125DE9"/>
    <w:rsid w:val="001332E0"/>
    <w:rsid w:val="00134DE7"/>
    <w:rsid w:val="0013706E"/>
    <w:rsid w:val="00146136"/>
    <w:rsid w:val="00185354"/>
    <w:rsid w:val="001854DC"/>
    <w:rsid w:val="00186795"/>
    <w:rsid w:val="00194D09"/>
    <w:rsid w:val="001A7D5C"/>
    <w:rsid w:val="001B60AA"/>
    <w:rsid w:val="001B63C8"/>
    <w:rsid w:val="001B67C5"/>
    <w:rsid w:val="001C0A25"/>
    <w:rsid w:val="001C1972"/>
    <w:rsid w:val="001C421F"/>
    <w:rsid w:val="001D360D"/>
    <w:rsid w:val="00261A8D"/>
    <w:rsid w:val="00283C1C"/>
    <w:rsid w:val="00291A00"/>
    <w:rsid w:val="00291A11"/>
    <w:rsid w:val="002A315C"/>
    <w:rsid w:val="002A3342"/>
    <w:rsid w:val="002A64BA"/>
    <w:rsid w:val="002B4989"/>
    <w:rsid w:val="002C2510"/>
    <w:rsid w:val="002C4D2B"/>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203DA"/>
    <w:rsid w:val="00550921"/>
    <w:rsid w:val="00563712"/>
    <w:rsid w:val="00573631"/>
    <w:rsid w:val="00573C0B"/>
    <w:rsid w:val="00576CFA"/>
    <w:rsid w:val="0058556D"/>
    <w:rsid w:val="00592AF2"/>
    <w:rsid w:val="005947AD"/>
    <w:rsid w:val="00597748"/>
    <w:rsid w:val="005979E8"/>
    <w:rsid w:val="005C0073"/>
    <w:rsid w:val="005C47C4"/>
    <w:rsid w:val="005D0AF4"/>
    <w:rsid w:val="005D569A"/>
    <w:rsid w:val="005E54BD"/>
    <w:rsid w:val="005F6CCA"/>
    <w:rsid w:val="006104AF"/>
    <w:rsid w:val="00621893"/>
    <w:rsid w:val="00625A54"/>
    <w:rsid w:val="006351E1"/>
    <w:rsid w:val="006447B1"/>
    <w:rsid w:val="00662775"/>
    <w:rsid w:val="00667BB4"/>
    <w:rsid w:val="006802B1"/>
    <w:rsid w:val="006852FC"/>
    <w:rsid w:val="006B40AB"/>
    <w:rsid w:val="006B5DC5"/>
    <w:rsid w:val="006C4BFD"/>
    <w:rsid w:val="006C7D30"/>
    <w:rsid w:val="006E3C08"/>
    <w:rsid w:val="00700ACF"/>
    <w:rsid w:val="00712487"/>
    <w:rsid w:val="00750B79"/>
    <w:rsid w:val="00752024"/>
    <w:rsid w:val="007530CA"/>
    <w:rsid w:val="00756D68"/>
    <w:rsid w:val="007578D9"/>
    <w:rsid w:val="00757E8A"/>
    <w:rsid w:val="00763E43"/>
    <w:rsid w:val="00764EB5"/>
    <w:rsid w:val="00777A95"/>
    <w:rsid w:val="00782416"/>
    <w:rsid w:val="007B0364"/>
    <w:rsid w:val="007D0981"/>
    <w:rsid w:val="007D1929"/>
    <w:rsid w:val="00803CF1"/>
    <w:rsid w:val="008104BB"/>
    <w:rsid w:val="008247A9"/>
    <w:rsid w:val="008249C5"/>
    <w:rsid w:val="008526F9"/>
    <w:rsid w:val="0085285E"/>
    <w:rsid w:val="00853023"/>
    <w:rsid w:val="008534D4"/>
    <w:rsid w:val="0086492A"/>
    <w:rsid w:val="00881E28"/>
    <w:rsid w:val="00894C4B"/>
    <w:rsid w:val="008A12E3"/>
    <w:rsid w:val="008A3B2C"/>
    <w:rsid w:val="008A42FA"/>
    <w:rsid w:val="008B0AC7"/>
    <w:rsid w:val="008C2335"/>
    <w:rsid w:val="008C67C1"/>
    <w:rsid w:val="008D1D39"/>
    <w:rsid w:val="008F07D2"/>
    <w:rsid w:val="00917851"/>
    <w:rsid w:val="00917F65"/>
    <w:rsid w:val="0092604B"/>
    <w:rsid w:val="009311E7"/>
    <w:rsid w:val="00942694"/>
    <w:rsid w:val="00961362"/>
    <w:rsid w:val="00982D63"/>
    <w:rsid w:val="009A7E3A"/>
    <w:rsid w:val="009B1265"/>
    <w:rsid w:val="009B4A15"/>
    <w:rsid w:val="009B5693"/>
    <w:rsid w:val="009C61A2"/>
    <w:rsid w:val="009C78E4"/>
    <w:rsid w:val="009D687E"/>
    <w:rsid w:val="009F6DE7"/>
    <w:rsid w:val="009F780F"/>
    <w:rsid w:val="00A10583"/>
    <w:rsid w:val="00A37FCB"/>
    <w:rsid w:val="00A54863"/>
    <w:rsid w:val="00A61D74"/>
    <w:rsid w:val="00A8688B"/>
    <w:rsid w:val="00A876A1"/>
    <w:rsid w:val="00A91163"/>
    <w:rsid w:val="00A9286F"/>
    <w:rsid w:val="00A96255"/>
    <w:rsid w:val="00AB18B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18A9"/>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5620"/>
    <w:rsid w:val="00EB6493"/>
    <w:rsid w:val="00EC2915"/>
    <w:rsid w:val="00ED05A9"/>
    <w:rsid w:val="00ED1BA0"/>
    <w:rsid w:val="00F17257"/>
    <w:rsid w:val="00F250D3"/>
    <w:rsid w:val="00F34D24"/>
    <w:rsid w:val="00F4130B"/>
    <w:rsid w:val="00F556A2"/>
    <w:rsid w:val="00F719A8"/>
    <w:rsid w:val="00F878B9"/>
    <w:rsid w:val="00FB24E8"/>
    <w:rsid w:val="00FB3B2B"/>
    <w:rsid w:val="00FC18DA"/>
    <w:rsid w:val="00FC3917"/>
    <w:rsid w:val="00FD60DA"/>
    <w:rsid w:val="00FF07B4"/>
    <w:rsid w:val="00FF3A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F250D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04705">
      <w:bodyDiv w:val="1"/>
      <w:marLeft w:val="0"/>
      <w:marRight w:val="0"/>
      <w:marTop w:val="0"/>
      <w:marBottom w:val="0"/>
      <w:divBdr>
        <w:top w:val="none" w:sz="0" w:space="0" w:color="auto"/>
        <w:left w:val="none" w:sz="0" w:space="0" w:color="auto"/>
        <w:bottom w:val="none" w:sz="0" w:space="0" w:color="auto"/>
        <w:right w:val="none" w:sz="0" w:space="0" w:color="auto"/>
      </w:divBdr>
    </w:div>
    <w:div w:id="479231984">
      <w:bodyDiv w:val="1"/>
      <w:marLeft w:val="0"/>
      <w:marRight w:val="0"/>
      <w:marTop w:val="0"/>
      <w:marBottom w:val="0"/>
      <w:divBdr>
        <w:top w:val="none" w:sz="0" w:space="0" w:color="auto"/>
        <w:left w:val="none" w:sz="0" w:space="0" w:color="auto"/>
        <w:bottom w:val="none" w:sz="0" w:space="0" w:color="auto"/>
        <w:right w:val="none" w:sz="0" w:space="0" w:color="auto"/>
      </w:divBdr>
    </w:div>
    <w:div w:id="615867588">
      <w:bodyDiv w:val="1"/>
      <w:marLeft w:val="0"/>
      <w:marRight w:val="0"/>
      <w:marTop w:val="0"/>
      <w:marBottom w:val="0"/>
      <w:divBdr>
        <w:top w:val="none" w:sz="0" w:space="0" w:color="auto"/>
        <w:left w:val="none" w:sz="0" w:space="0" w:color="auto"/>
        <w:bottom w:val="none" w:sz="0" w:space="0" w:color="auto"/>
        <w:right w:val="none" w:sz="0" w:space="0" w:color="auto"/>
      </w:divBdr>
    </w:div>
    <w:div w:id="833959092">
      <w:bodyDiv w:val="1"/>
      <w:marLeft w:val="0"/>
      <w:marRight w:val="0"/>
      <w:marTop w:val="0"/>
      <w:marBottom w:val="0"/>
      <w:divBdr>
        <w:top w:val="none" w:sz="0" w:space="0" w:color="auto"/>
        <w:left w:val="none" w:sz="0" w:space="0" w:color="auto"/>
        <w:bottom w:val="none" w:sz="0" w:space="0" w:color="auto"/>
        <w:right w:val="none" w:sz="0" w:space="0" w:color="auto"/>
      </w:divBdr>
    </w:div>
    <w:div w:id="923732145">
      <w:bodyDiv w:val="1"/>
      <w:marLeft w:val="0"/>
      <w:marRight w:val="0"/>
      <w:marTop w:val="0"/>
      <w:marBottom w:val="0"/>
      <w:divBdr>
        <w:top w:val="none" w:sz="0" w:space="0" w:color="auto"/>
        <w:left w:val="none" w:sz="0" w:space="0" w:color="auto"/>
        <w:bottom w:val="none" w:sz="0" w:space="0" w:color="auto"/>
        <w:right w:val="none" w:sz="0" w:space="0" w:color="auto"/>
      </w:divBdr>
    </w:div>
    <w:div w:id="94766566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69203027">
      <w:bodyDiv w:val="1"/>
      <w:marLeft w:val="0"/>
      <w:marRight w:val="0"/>
      <w:marTop w:val="0"/>
      <w:marBottom w:val="0"/>
      <w:divBdr>
        <w:top w:val="none" w:sz="0" w:space="0" w:color="auto"/>
        <w:left w:val="none" w:sz="0" w:space="0" w:color="auto"/>
        <w:bottom w:val="none" w:sz="0" w:space="0" w:color="auto"/>
        <w:right w:val="none" w:sz="0" w:space="0" w:color="auto"/>
      </w:divBdr>
    </w:div>
    <w:div w:id="177767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faostat/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economic/ess/fbs/ess-fbs02/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d114b01d-ae01-4749-b845-9d88e7ef5c0e"/>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f2d2d782-0088-4826-96df-71eba56e6d2e"/>
    <ds:schemaRef ds:uri="http://www.w3.org/XML/1998/namespace"/>
    <ds:schemaRef ds:uri="http://purl.org/dc/dcmitype/"/>
  </ds:schemaRefs>
</ds:datastoreItem>
</file>

<file path=customXml/itemProps4.xml><?xml version="1.0" encoding="utf-8"?>
<ds:datastoreItem xmlns:ds="http://schemas.openxmlformats.org/officeDocument/2006/customXml" ds:itemID="{7F3A0110-858A-4441-8669-55526D01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2021-03-27T06:35:00Z</dcterms:created>
  <dcterms:modified xsi:type="dcterms:W3CDTF">2021-03-27T06:35:00Z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0x010100A477BC3A11763D4B933E427C314F943F</vt:lpwstr>
  </property>
</Properties>
</file>