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72B885C2" w14:textId="77777777" w:rsidR="00A54E7C" w:rsidRDefault="00A54E7C"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Goal 3: Ensure healthy lives and promote well-being for all at all ages</w:t>
      </w:r>
      <w:r>
        <w:rPr>
          <w:rStyle w:val="eop"/>
          <w:rFonts w:ascii="Calibri" w:hAnsi="Calibri" w:cs="Calibri"/>
          <w:color w:val="333333"/>
          <w:sz w:val="21"/>
          <w:szCs w:val="21"/>
        </w:rPr>
        <w:t> </w:t>
      </w:r>
    </w:p>
    <w:p w14:paraId="084142D2" w14:textId="16270A08" w:rsidR="00D24330" w:rsidRPr="00A96255" w:rsidRDefault="00D24330" w:rsidP="00D24330">
      <w:pPr>
        <w:pStyle w:val="MIndHeader"/>
      </w:pPr>
      <w:r w:rsidRPr="00A96255">
        <w:t>0.b. Target</w:t>
      </w:r>
    </w:p>
    <w:p w14:paraId="160D3E4B" w14:textId="77777777" w:rsidR="00A54E7C" w:rsidRDefault="00A54E7C"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Target 3.3: By 2030, end the epidemics of AIDS, tuberculosis, malaria and neglected tropical diseases and combat hepatitis, water-borne diseases and other communicable diseases</w:t>
      </w:r>
      <w:r>
        <w:rPr>
          <w:rStyle w:val="eop"/>
          <w:rFonts w:ascii="Calibri" w:hAnsi="Calibri" w:cs="Calibri"/>
          <w:color w:val="333333"/>
          <w:sz w:val="21"/>
          <w:szCs w:val="21"/>
        </w:rPr>
        <w:t> </w:t>
      </w:r>
    </w:p>
    <w:p w14:paraId="3E67E7E0" w14:textId="34DCCF66" w:rsidR="00D24330" w:rsidRPr="00A96255" w:rsidRDefault="00D24330" w:rsidP="00D24330">
      <w:pPr>
        <w:pStyle w:val="MIndHeader"/>
      </w:pPr>
      <w:r w:rsidRPr="00A96255">
        <w:t>0.c. Indicator</w:t>
      </w:r>
    </w:p>
    <w:p w14:paraId="3942F978" w14:textId="77777777" w:rsidR="00A54E7C" w:rsidRDefault="00A54E7C" w:rsidP="00D24330">
      <w:pPr>
        <w:pStyle w:val="MIndHeader"/>
        <w:rPr>
          <w:color w:val="333333"/>
          <w:sz w:val="21"/>
          <w:szCs w:val="21"/>
        </w:rPr>
      </w:pPr>
      <w:r w:rsidRPr="00A54E7C">
        <w:rPr>
          <w:color w:val="333333"/>
          <w:sz w:val="21"/>
          <w:szCs w:val="21"/>
        </w:rPr>
        <w:t xml:space="preserve">Indicator 3.3.2: Tuberculosis incidence per 100,000 population </w:t>
      </w:r>
    </w:p>
    <w:p w14:paraId="0FE9451D" w14:textId="59DEA3A0" w:rsidR="00B16863" w:rsidRDefault="00D24330" w:rsidP="004F35FB">
      <w:pPr>
        <w:pStyle w:val="MIndHeader"/>
      </w:pPr>
      <w:r w:rsidRPr="00A96255">
        <w:t>0.d. Series</w:t>
      </w:r>
    </w:p>
    <w:p w14:paraId="771888BA" w14:textId="091708B0" w:rsidR="00D24330" w:rsidRPr="00A96255" w:rsidRDefault="00B16863" w:rsidP="00D24330">
      <w:pPr>
        <w:pStyle w:val="MGTHeader"/>
      </w:pPr>
      <w:r>
        <w:t>Not applicable.</w:t>
      </w:r>
      <w:r w:rsidR="00D24330" w:rsidRPr="00A96255">
        <w:tab/>
      </w:r>
    </w:p>
    <w:p w14:paraId="157DACE7" w14:textId="77777777" w:rsidR="00D24330" w:rsidRPr="00A96255" w:rsidRDefault="00D24330" w:rsidP="00D24330">
      <w:pPr>
        <w:pStyle w:val="MIndHeader"/>
      </w:pPr>
      <w:r w:rsidRPr="00A96255">
        <w:t>0.e. Metadata update</w:t>
      </w:r>
    </w:p>
    <w:p w14:paraId="03424B60" w14:textId="7DB84CFB" w:rsidR="00D24330" w:rsidRPr="00A96255" w:rsidRDefault="00FF2CD0" w:rsidP="00D24330">
      <w:pPr>
        <w:pStyle w:val="MGTHeader"/>
      </w:pPr>
      <w:r>
        <w:t xml:space="preserve">7 </w:t>
      </w:r>
      <w:r w:rsidR="0053612C">
        <w:t>January 20</w:t>
      </w:r>
      <w:r w:rsidR="00021969">
        <w:t>2</w:t>
      </w:r>
      <w:r>
        <w:t>1</w:t>
      </w:r>
    </w:p>
    <w:p w14:paraId="21524279" w14:textId="5E79A2E0" w:rsidR="00D24330" w:rsidRDefault="00D24330" w:rsidP="004F35FB">
      <w:pPr>
        <w:pStyle w:val="MIndHeader"/>
      </w:pPr>
      <w:r w:rsidRPr="00A96255">
        <w:t>0.f. Related indicators</w:t>
      </w:r>
    </w:p>
    <w:p w14:paraId="1D9EC760" w14:textId="7E975A96" w:rsidR="00021969" w:rsidRPr="00A96255" w:rsidRDefault="00021969" w:rsidP="00021969">
      <w:pPr>
        <w:pStyle w:val="MGTHeader"/>
      </w:pPr>
      <w:r>
        <w:t>Indicators associated with TB incidence:  numbers: 1.1.1, 1.3.1, 2.1.1, 3.3.1, 3.4.1, 3.5.2, 3.a.1, 3.8.1, 3.8.2, 7.1.2, 8.1.1, 10.1.1, 11.1.1</w:t>
      </w:r>
    </w:p>
    <w:p w14:paraId="077BC49E" w14:textId="77777777" w:rsidR="00D24330" w:rsidRPr="00A96255" w:rsidRDefault="00D24330" w:rsidP="00D24330">
      <w:pPr>
        <w:pStyle w:val="MIndHeader"/>
      </w:pPr>
      <w:r w:rsidRPr="00A96255">
        <w:t>0.g. International organisations(s) responsible for global monitoring</w:t>
      </w:r>
    </w:p>
    <w:p w14:paraId="19F29921" w14:textId="3DF92BFC" w:rsidR="008D1D39" w:rsidRDefault="00A54E7C" w:rsidP="00B039CE">
      <w:pPr>
        <w:pStyle w:val="MGTHeader"/>
        <w:rPr>
          <w:rStyle w:val="eop"/>
          <w:rFonts w:ascii="Calibri" w:hAnsi="Calibri" w:cs="Calibri"/>
          <w:color w:val="4A4A4A"/>
        </w:rPr>
      </w:pPr>
      <w:r>
        <w:rPr>
          <w:rStyle w:val="normaltextrun"/>
          <w:rFonts w:ascii="Calibri" w:hAnsi="Calibri" w:cs="Calibri"/>
          <w:color w:val="4A4A4A"/>
        </w:rPr>
        <w:t>World Health Organization (WHO)</w:t>
      </w:r>
      <w:r>
        <w:rPr>
          <w:rStyle w:val="eop"/>
          <w:rFonts w:ascii="Calibri" w:hAnsi="Calibri" w:cs="Calibri"/>
          <w:color w:val="4A4A4A"/>
        </w:rPr>
        <w:t> </w:t>
      </w:r>
    </w:p>
    <w:p w14:paraId="1B193EDC" w14:textId="77777777" w:rsidR="00B039CE" w:rsidRPr="00A96255" w:rsidRDefault="00B039CE"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328D4F5F" w:rsidR="00F719A8" w:rsidRDefault="00A54E7C" w:rsidP="00576CFA">
      <w:pPr>
        <w:pStyle w:val="MText"/>
        <w:rPr>
          <w:rStyle w:val="eop"/>
          <w:rFonts w:ascii="Calibri" w:hAnsi="Calibri" w:cs="Calibri"/>
        </w:rPr>
      </w:pPr>
      <w:r>
        <w:rPr>
          <w:rStyle w:val="normaltextrun"/>
          <w:rFonts w:ascii="Calibri" w:hAnsi="Calibri" w:cs="Calibri"/>
        </w:rPr>
        <w:t>World Health Organization (WHO)</w:t>
      </w:r>
      <w:r>
        <w:rPr>
          <w:rStyle w:val="eop"/>
          <w:rFonts w:ascii="Calibri" w:hAnsi="Calibri" w:cs="Calibri"/>
        </w:rPr>
        <w:t> </w:t>
      </w:r>
    </w:p>
    <w:p w14:paraId="722AB3FE" w14:textId="77777777" w:rsidR="00B039CE" w:rsidRDefault="00B039CE"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BA630D5" w14:textId="420A222A" w:rsidR="00A54E7C" w:rsidRDefault="00A54E7C" w:rsidP="00B039C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21AC2B08" w14:textId="3821B2D1" w:rsidR="00A54E7C" w:rsidRDefault="00A54E7C" w:rsidP="00A54E7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tuberculosis incidence per 100</w:t>
      </w:r>
      <w:r w:rsidR="00936441">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 xml:space="preserve">000 population </w:t>
      </w:r>
      <w:r w:rsidR="00936441">
        <w:rPr>
          <w:rStyle w:val="normaltextrun"/>
          <w:rFonts w:ascii="Calibri" w:hAnsi="Calibri" w:cs="Calibri"/>
          <w:color w:val="4A4A4A"/>
          <w:sz w:val="21"/>
          <w:szCs w:val="21"/>
          <w:lang w:val="en-GB"/>
        </w:rPr>
        <w:t>i</w:t>
      </w:r>
      <w:r>
        <w:rPr>
          <w:rStyle w:val="normaltextrun"/>
          <w:rFonts w:ascii="Calibri" w:hAnsi="Calibri" w:cs="Calibri"/>
          <w:color w:val="4A4A4A"/>
          <w:sz w:val="21"/>
          <w:szCs w:val="21"/>
          <w:lang w:val="en-GB"/>
        </w:rPr>
        <w:t>s defined as the estimated number of new and relapse TB cases (all forms of TB, including cases in people living with HIV) arising in a given year, expressed as a rate per 100 000 population.</w:t>
      </w:r>
      <w:r>
        <w:rPr>
          <w:rStyle w:val="eop"/>
          <w:rFonts w:ascii="Calibri" w:hAnsi="Calibri" w:cs="Calibri"/>
          <w:color w:val="4A4A4A"/>
          <w:sz w:val="21"/>
          <w:szCs w:val="21"/>
        </w:rPr>
        <w:t> </w:t>
      </w:r>
    </w:p>
    <w:p w14:paraId="64FB889A" w14:textId="77777777" w:rsidR="00A54E7C" w:rsidRDefault="00A54E7C" w:rsidP="00A54E7C">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3F3A5B5" w14:textId="77777777" w:rsidR="00A54E7C" w:rsidRDefault="00A54E7C" w:rsidP="00A54E7C">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F604802" w14:textId="4468F1C1" w:rsidR="00A54E7C" w:rsidRDefault="00A54E7C" w:rsidP="00B039C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r>
        <w:rPr>
          <w:rStyle w:val="eop"/>
          <w:color w:val="4A4A4A"/>
          <w:sz w:val="21"/>
          <w:szCs w:val="21"/>
        </w:rPr>
        <w:t> </w:t>
      </w:r>
    </w:p>
    <w:p w14:paraId="6BB75A41" w14:textId="277AA6A1" w:rsidR="00A54E7C" w:rsidRDefault="00A54E7C" w:rsidP="00A54E7C">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Direct measurement requires high-quality surveillance systems in which underreporting is negligible, and strong health systems so that under-diagnosis is also negligible; otherwise indirect estimates are based on notification data and estimates of levels of underreporting and under-diagnosis.</w:t>
      </w:r>
      <w:r>
        <w:rPr>
          <w:rStyle w:val="eop"/>
          <w:rFonts w:ascii="Calibri" w:hAnsi="Calibri" w:cs="Calibri"/>
          <w:color w:val="4A4A4A"/>
          <w:sz w:val="21"/>
          <w:szCs w:val="21"/>
        </w:rPr>
        <w:t> </w:t>
      </w:r>
    </w:p>
    <w:p w14:paraId="27573586" w14:textId="57AD10A6" w:rsidR="00B039CE" w:rsidRDefault="00B039CE" w:rsidP="00A54E7C">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25648846" w14:textId="77777777" w:rsidR="00B039CE" w:rsidRDefault="00B039CE" w:rsidP="00A54E7C">
      <w:pPr>
        <w:pStyle w:val="paragraph"/>
        <w:shd w:val="clear" w:color="auto" w:fill="FFFFFF"/>
        <w:spacing w:before="0" w:beforeAutospacing="0" w:after="0" w:afterAutospacing="0"/>
        <w:textAlignment w:val="baseline"/>
        <w:rPr>
          <w:rFonts w:ascii="Segoe UI" w:hAnsi="Segoe UI" w:cs="Segoe UI"/>
          <w:sz w:val="18"/>
          <w:szCs w:val="18"/>
        </w:rPr>
      </w:pPr>
    </w:p>
    <w:p w14:paraId="7932F8BD" w14:textId="3869C451" w:rsidR="008B0AC7" w:rsidRPr="00A96255" w:rsidRDefault="00576CFA" w:rsidP="00F719A8">
      <w:pPr>
        <w:pStyle w:val="MHeader2"/>
      </w:pPr>
      <w:r w:rsidRPr="00A96255">
        <w:t>2.b.</w:t>
      </w:r>
      <w:r w:rsidR="008B0AC7" w:rsidRPr="00A96255">
        <w:t xml:space="preserve"> Unit of measure</w:t>
      </w:r>
    </w:p>
    <w:p w14:paraId="28E04EDD" w14:textId="6C9D5D09" w:rsidR="00936441" w:rsidRPr="00A96255" w:rsidRDefault="00936441" w:rsidP="00831A8B">
      <w:pPr>
        <w:pStyle w:val="MText"/>
      </w:pPr>
      <w:r>
        <w:lastRenderedPageBreak/>
        <w:t>Number of cases per 100 000 population per year.</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BFE7798" w14:textId="5350A283" w:rsidR="007A4164" w:rsidRDefault="007A4164" w:rsidP="00936441">
      <w:pPr>
        <w:pStyle w:val="paragraph"/>
        <w:shd w:val="clear" w:color="auto" w:fill="FFFFFF"/>
        <w:spacing w:before="0" w:beforeAutospacing="0" w:after="0" w:afterAutospacing="0"/>
        <w:textAlignment w:val="baseline"/>
      </w:pPr>
    </w:p>
    <w:p w14:paraId="121F370D" w14:textId="75821F7A" w:rsidR="00936441" w:rsidRDefault="00936441" w:rsidP="0093644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Definitions and reporting framework for tuberculosis – 2013 revision (WHO/HTM/TB/2013.2). Geneva: World Health Organization; 2013 (</w:t>
      </w:r>
      <w:hyperlink r:id="rId11" w:history="1">
        <w:r w:rsidRPr="00C16A33">
          <w:rPr>
            <w:rStyle w:val="Hyperlink"/>
            <w:rFonts w:ascii="Calibri" w:hAnsi="Calibri" w:cs="Calibri"/>
            <w:sz w:val="21"/>
            <w:szCs w:val="21"/>
            <w:lang w:val="en-GB"/>
          </w:rPr>
          <w:t>https://www.who.int/publications/i/item/9789241505345</w:t>
        </w:r>
      </w:hyperlink>
      <w:r>
        <w:rPr>
          <w:rStyle w:val="normaltextrun"/>
          <w:rFonts w:ascii="Calibri" w:hAnsi="Calibri" w:cs="Calibri"/>
          <w:color w:val="4A4A4A"/>
          <w:sz w:val="21"/>
          <w:szCs w:val="21"/>
          <w:lang w:val="en-GB"/>
        </w:rPr>
        <w:t xml:space="preserve"> accessed 4 January 2021).</w:t>
      </w:r>
      <w:r>
        <w:rPr>
          <w:rStyle w:val="eop"/>
          <w:rFonts w:ascii="Calibri" w:hAnsi="Calibri" w:cs="Calibri"/>
          <w:color w:val="4A4A4A"/>
          <w:sz w:val="21"/>
          <w:szCs w:val="21"/>
        </w:rPr>
        <w:t> </w:t>
      </w:r>
    </w:p>
    <w:p w14:paraId="123172F4" w14:textId="19CD756F"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672416BB" w14:textId="14E9FD9F" w:rsidR="0038796E" w:rsidRDefault="0038796E" w:rsidP="0093644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Details about data sources and methods are available </w:t>
      </w:r>
      <w:r w:rsidR="00936441">
        <w:rPr>
          <w:rStyle w:val="eop"/>
          <w:rFonts w:ascii="Calibri" w:hAnsi="Calibri" w:cs="Calibri"/>
          <w:color w:val="4A4A4A"/>
          <w:sz w:val="21"/>
          <w:szCs w:val="21"/>
        </w:rPr>
        <w:t xml:space="preserve"> in annex 1 and the online technical annex published in the most recent WHO Global Tuberculosis Report at </w:t>
      </w:r>
      <w:hyperlink r:id="rId12" w:history="1">
        <w:r w:rsidR="00DB4199" w:rsidRPr="00C16A33">
          <w:rPr>
            <w:rStyle w:val="Hyperlink"/>
            <w:rFonts w:ascii="Calibri" w:hAnsi="Calibri" w:cs="Calibri"/>
            <w:sz w:val="21"/>
            <w:szCs w:val="21"/>
          </w:rPr>
          <w:t>https://www.who.int/teams/global-tuberculosis-programme/data</w:t>
        </w:r>
      </w:hyperlink>
      <w:r w:rsidR="00DB4199">
        <w:rPr>
          <w:rStyle w:val="eop"/>
          <w:rFonts w:ascii="Calibri" w:hAnsi="Calibri" w:cs="Calibri"/>
          <w:color w:val="4A4A4A"/>
          <w:sz w:val="21"/>
          <w:szCs w:val="21"/>
        </w:rPr>
        <w:t xml:space="preserve">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6FB3897C" w:rsidR="00576CFA" w:rsidRPr="00A96255" w:rsidRDefault="0038796E" w:rsidP="00576CFA">
      <w:pPr>
        <w:pStyle w:val="MText"/>
      </w:pPr>
      <w:r>
        <w:rPr>
          <w:rStyle w:val="normaltextrun"/>
          <w:rFonts w:ascii="Calibri" w:hAnsi="Calibri" w:cs="Calibri"/>
        </w:rPr>
        <w:t xml:space="preserve">National TB Programmes report </w:t>
      </w:r>
      <w:r w:rsidR="00DB4199">
        <w:rPr>
          <w:rStyle w:val="normaltextrun"/>
          <w:rFonts w:ascii="Calibri" w:hAnsi="Calibri" w:cs="Calibri"/>
        </w:rPr>
        <w:t xml:space="preserve">their annual TB data to WHO </w:t>
      </w:r>
      <w:r>
        <w:rPr>
          <w:rStyle w:val="normaltextrun"/>
          <w:rFonts w:ascii="Calibri" w:hAnsi="Calibri" w:cs="Calibri"/>
        </w:rPr>
        <w:t>every year between March and June using a standardized online data reporting system maintained at WHO. The system includes real-time checks for data consistency. Estimates of TB burden are prepared in July-August and communicated with countries. In selected countries with new survey data, estimates are updated separately during the year. All estimates are communicated in August-September and revisions are done based on feedback. The final set of estimates is reviewed in WHO before publication in October, for compliance with specific international standards and harmonization of breakdowns for age and sex groups.</w:t>
      </w:r>
      <w:r>
        <w:rPr>
          <w:rStyle w:val="eop"/>
          <w:rFonts w:ascii="Calibri" w:hAnsi="Calibri" w:cs="Calibri"/>
        </w:rPr>
        <w:t>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55AE5A40" w:rsidR="00EC2915" w:rsidRDefault="0038796E" w:rsidP="00576CFA">
      <w:pPr>
        <w:pStyle w:val="MText"/>
        <w:rPr>
          <w:rStyle w:val="eop"/>
          <w:rFonts w:ascii="Calibri" w:hAnsi="Calibri" w:cs="Calibri"/>
        </w:rPr>
      </w:pPr>
      <w:r>
        <w:rPr>
          <w:rStyle w:val="normaltextrun"/>
          <w:rFonts w:ascii="Calibri" w:hAnsi="Calibri" w:cs="Calibri"/>
        </w:rPr>
        <w:t>March-June each year</w:t>
      </w:r>
      <w:r>
        <w:rPr>
          <w:rStyle w:val="eop"/>
          <w:rFonts w:ascii="Calibri" w:hAnsi="Calibri" w:cs="Calibri"/>
        </w:rPr>
        <w:t> </w:t>
      </w:r>
    </w:p>
    <w:p w14:paraId="0BD75658" w14:textId="77777777" w:rsidR="0038796E" w:rsidRPr="00A96255" w:rsidRDefault="0038796E" w:rsidP="00576CFA">
      <w:pPr>
        <w:pStyle w:val="MText"/>
      </w:pPr>
    </w:p>
    <w:p w14:paraId="7D466604" w14:textId="674844F0" w:rsidR="00E46D96" w:rsidRPr="00F719A8" w:rsidRDefault="00E46D96" w:rsidP="00F719A8">
      <w:pPr>
        <w:pStyle w:val="MHeader2"/>
      </w:pPr>
      <w:r w:rsidRPr="00A96255">
        <w:t>3.d. Data release calendar</w:t>
      </w:r>
    </w:p>
    <w:p w14:paraId="5060052F" w14:textId="77777777" w:rsidR="0038796E" w:rsidRDefault="0038796E" w:rsidP="00831A8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October each year</w:t>
      </w:r>
      <w:r>
        <w:rPr>
          <w:rStyle w:val="eop"/>
          <w:rFonts w:ascii="Calibri" w:hAnsi="Calibri" w:cs="Calibri"/>
          <w:color w:val="4A4A4A"/>
          <w:sz w:val="21"/>
          <w:szCs w:val="21"/>
        </w:rPr>
        <w:t>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50A66E64" w14:textId="66F0DA99" w:rsidR="00EC2915" w:rsidRDefault="0038796E" w:rsidP="00576CFA">
      <w:pPr>
        <w:pStyle w:val="MText"/>
        <w:rPr>
          <w:rStyle w:val="eop"/>
          <w:rFonts w:ascii="Calibri" w:hAnsi="Calibri" w:cs="Calibri"/>
        </w:rPr>
      </w:pPr>
      <w:r>
        <w:rPr>
          <w:rStyle w:val="normaltextrun"/>
          <w:rFonts w:ascii="Calibri" w:hAnsi="Calibri" w:cs="Calibri"/>
        </w:rPr>
        <w:t>National TB Programmes, Ministries of Health</w:t>
      </w:r>
      <w:r>
        <w:rPr>
          <w:rStyle w:val="eop"/>
          <w:rFonts w:ascii="Calibri" w:hAnsi="Calibri" w:cs="Calibri"/>
        </w:rPr>
        <w:t> </w:t>
      </w:r>
    </w:p>
    <w:p w14:paraId="40FEFE11" w14:textId="77777777" w:rsidR="0038796E" w:rsidRPr="00A96255" w:rsidRDefault="0038796E" w:rsidP="00576CFA">
      <w:pPr>
        <w:pStyle w:val="MText"/>
      </w:pPr>
    </w:p>
    <w:p w14:paraId="30DC8E05" w14:textId="484D6EC2" w:rsidR="00E46D96" w:rsidRPr="00A96255" w:rsidRDefault="00E46D96" w:rsidP="00F719A8">
      <w:pPr>
        <w:pStyle w:val="MHeader2"/>
      </w:pPr>
      <w:r w:rsidRPr="00A96255">
        <w:t>3.f. Data compilers</w:t>
      </w:r>
    </w:p>
    <w:p w14:paraId="5C43435B" w14:textId="78DB5797" w:rsidR="00EC2915" w:rsidRDefault="0038796E" w:rsidP="00576CFA">
      <w:pPr>
        <w:pStyle w:val="MText"/>
        <w:rPr>
          <w:rStyle w:val="eop"/>
          <w:rFonts w:ascii="Calibri" w:hAnsi="Calibri" w:cs="Calibri"/>
        </w:rPr>
      </w:pPr>
      <w:r>
        <w:rPr>
          <w:rStyle w:val="normaltextrun"/>
          <w:rFonts w:ascii="Calibri" w:hAnsi="Calibri" w:cs="Calibri"/>
        </w:rPr>
        <w:t>WHO</w:t>
      </w:r>
      <w:r>
        <w:rPr>
          <w:rStyle w:val="eop"/>
          <w:rFonts w:ascii="Calibri" w:hAnsi="Calibri" w:cs="Calibri"/>
        </w:rPr>
        <w:t> </w:t>
      </w:r>
    </w:p>
    <w:p w14:paraId="11BC274E" w14:textId="77777777" w:rsidR="0038796E" w:rsidRPr="00A96255" w:rsidRDefault="0038796E" w:rsidP="00576CFA">
      <w:pPr>
        <w:pStyle w:val="MText"/>
      </w:pPr>
    </w:p>
    <w:p w14:paraId="301FBFFF" w14:textId="5ED41B67" w:rsidR="00A24CFA" w:rsidRPr="00A96255" w:rsidRDefault="00E46D96" w:rsidP="00F719A8">
      <w:pPr>
        <w:pStyle w:val="MHeader2"/>
      </w:pPr>
      <w:r>
        <w:t>3.g. Institutional mandate</w:t>
      </w:r>
      <w:bookmarkStart w:id="5" w:name="_GoBack"/>
      <w:bookmarkEnd w:id="5"/>
    </w:p>
    <w:p w14:paraId="3D063F4C" w14:textId="47FC257A" w:rsidR="00F719A8" w:rsidRPr="00A96255" w:rsidRDefault="1D219928" w:rsidP="00576CFA">
      <w:pPr>
        <w:pStyle w:val="MText"/>
      </w:pPr>
      <w:proofErr w:type="spellStart"/>
      <w:r>
        <w:t>Several</w:t>
      </w:r>
      <w:proofErr w:type="spellEnd"/>
      <w:r>
        <w:t xml:space="preserve"> WHO resolutions endorsed by Member States </w:t>
      </w:r>
      <w:r w:rsidR="7622DED4">
        <w:t xml:space="preserve">at different World Health Assemblies </w:t>
      </w:r>
      <w:r>
        <w:t>have given WHO responsibility for monitoring the burden of TB globally and reporting on the response</w:t>
      </w:r>
      <w:r w:rsidR="16F71532">
        <w:t xml:space="preserve"> (https://www.who.int/tb/publications/resolutions/en/)</w:t>
      </w:r>
      <w:r>
        <w:t>.</w:t>
      </w:r>
    </w:p>
    <w:p w14:paraId="5648B1F6" w14:textId="119F10E8" w:rsidR="6FEC4E31" w:rsidRDefault="6FEC4E31" w:rsidP="6FEC4E31">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lastRenderedPageBreak/>
        <w:t>4.a. Rationale</w:t>
      </w:r>
    </w:p>
    <w:p w14:paraId="63D707D3" w14:textId="66809C39" w:rsidR="00A54E7C" w:rsidRDefault="00A54E7C" w:rsidP="00A54E7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Following two years of consultations, a post-2015 global tuberculosis strategy was endorsed by the World Health Assembly in May 2014. Known as the End TB Strategy, it covers the period 2016-2035. The overall goal is to “End the global tuberculosis epidemic”, and correspondingly ambitious targets for reductions in tuberculosis deaths and cases are set for 2030 (80% reduction in incidence rate compared with the level of 2015) and 2035 (90% reduction in incidence rate), in the context of the SDGs. </w:t>
      </w:r>
      <w:r>
        <w:rPr>
          <w:rStyle w:val="eop"/>
          <w:rFonts w:ascii="Calibri" w:hAnsi="Calibri" w:cs="Calibri"/>
          <w:color w:val="4A4A4A"/>
          <w:sz w:val="21"/>
          <w:szCs w:val="21"/>
        </w:rPr>
        <w:t> </w:t>
      </w:r>
    </w:p>
    <w:p w14:paraId="4B5411A7" w14:textId="77777777" w:rsidR="00A54E7C" w:rsidRDefault="00A54E7C" w:rsidP="00A54E7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tuberculosis incidence rate was selected as an indicator for measuring reductions in the number of cases of disease burden. Although this indicator was estimated with considerable uncertainty in most countries in 2014, notifications of cases to national authorities provide a good proxy if there is limited under-reporting of detected cases and limited under or over-diagnosis of cases.</w:t>
      </w:r>
      <w:r>
        <w:rPr>
          <w:rStyle w:val="eop"/>
          <w:rFonts w:ascii="Calibri" w:hAnsi="Calibri" w:cs="Calibri"/>
          <w:color w:val="4A4A4A"/>
          <w:sz w:val="21"/>
          <w:szCs w:val="21"/>
        </w:rPr>
        <w:t> </w:t>
      </w:r>
    </w:p>
    <w:p w14:paraId="465A500D" w14:textId="4C399D6E" w:rsidR="00A54E7C" w:rsidRPr="00A96255" w:rsidRDefault="00A54E7C" w:rsidP="00576CFA">
      <w:pPr>
        <w:pStyle w:val="MText"/>
      </w:pPr>
    </w:p>
    <w:p w14:paraId="2529B069" w14:textId="618DCD10" w:rsidR="00E1050F" w:rsidRPr="00A96255" w:rsidRDefault="00E1050F" w:rsidP="00F719A8">
      <w:pPr>
        <w:pStyle w:val="MHeader2"/>
      </w:pPr>
      <w:r w:rsidRPr="00A96255">
        <w:t>4.b. Comment and limitations</w:t>
      </w:r>
    </w:p>
    <w:p w14:paraId="2BA273E2" w14:textId="77777777" w:rsidR="00A54E7C" w:rsidRDefault="00A54E7C" w:rsidP="00A54E7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TB incidence has been used for over a century as a main indicator of TB burden, along with TB mortality. The indicator allows comparisons over time and between countries. Improvement in the quality of TB surveillance data result in reduced uncertainty about indicator values.</w:t>
      </w:r>
      <w:r>
        <w:rPr>
          <w:rStyle w:val="eop"/>
          <w:rFonts w:ascii="Calibri" w:hAnsi="Calibri" w:cs="Calibri"/>
          <w:color w:val="4A4A4A"/>
          <w:sz w:val="21"/>
          <w:szCs w:val="21"/>
        </w:rPr>
        <w:t> </w:t>
      </w:r>
    </w:p>
    <w:p w14:paraId="1244676B" w14:textId="77777777" w:rsidR="00A54E7C" w:rsidRDefault="00A54E7C" w:rsidP="00A54E7C">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788E1F09" w14:textId="6EF6333C" w:rsidR="00A54E7C" w:rsidRDefault="00A54E7C" w:rsidP="00B039C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Estimates of TB incidence are produced through a consultative and analytical process led by WHO and are published annually. These estimates are based on annual case notifications, assessments of the quality and coverage of TB notification data, national surveys of the prevalence of TB disease and information from death (vital) registration systems.</w:t>
      </w:r>
      <w:r>
        <w:rPr>
          <w:rStyle w:val="eop"/>
          <w:rFonts w:ascii="Calibri" w:hAnsi="Calibri" w:cs="Calibri"/>
          <w:color w:val="4A4A4A"/>
          <w:sz w:val="21"/>
          <w:szCs w:val="21"/>
        </w:rPr>
        <w:t> </w:t>
      </w:r>
    </w:p>
    <w:p w14:paraId="7F499307" w14:textId="77777777" w:rsidR="00A54E7C" w:rsidRDefault="00A54E7C" w:rsidP="00A54E7C">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49A7000" w14:textId="77777777" w:rsidR="00A54E7C" w:rsidRDefault="00A54E7C" w:rsidP="00A54E7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Estimates of incidence for each country are derived, using one or more of the following approaches depending on available data: (</w:t>
      </w:r>
      <w:proofErr w:type="spellStart"/>
      <w:r>
        <w:rPr>
          <w:rStyle w:val="normaltextrun"/>
          <w:rFonts w:ascii="Calibri" w:hAnsi="Calibri" w:cs="Calibri"/>
          <w:color w:val="4A4A4A"/>
          <w:sz w:val="21"/>
          <w:szCs w:val="21"/>
          <w:lang w:val="en-GB"/>
        </w:rPr>
        <w:t>i</w:t>
      </w:r>
      <w:proofErr w:type="spellEnd"/>
      <w:r>
        <w:rPr>
          <w:rStyle w:val="normaltextrun"/>
          <w:rFonts w:ascii="Calibri" w:hAnsi="Calibri" w:cs="Calibri"/>
          <w:color w:val="4A4A4A"/>
          <w:sz w:val="21"/>
          <w:szCs w:val="21"/>
          <w:lang w:val="en-GB"/>
        </w:rPr>
        <w:t>) incidence = case notifications/estimated proportion of cases detected; (ii) capture-recapture modelling, (iii) incidence = prevalence/duration of condition.</w:t>
      </w:r>
      <w:r>
        <w:rPr>
          <w:rStyle w:val="eop"/>
          <w:rFonts w:ascii="Calibri" w:hAnsi="Calibri" w:cs="Calibri"/>
          <w:color w:val="4A4A4A"/>
          <w:sz w:val="21"/>
          <w:szCs w:val="21"/>
        </w:rPr>
        <w:t> </w:t>
      </w:r>
    </w:p>
    <w:p w14:paraId="73C77E99" w14:textId="77777777" w:rsidR="00A54E7C" w:rsidRDefault="00A54E7C" w:rsidP="00A54E7C">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750A22D" w14:textId="77777777" w:rsidR="00A54E7C" w:rsidRDefault="00A54E7C" w:rsidP="00A54E7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Uncertainty bounds are provided in addition to best estimates.</w:t>
      </w:r>
      <w:r>
        <w:rPr>
          <w:rStyle w:val="eop"/>
          <w:rFonts w:ascii="Calibri" w:hAnsi="Calibri" w:cs="Calibri"/>
          <w:color w:val="4A4A4A"/>
          <w:sz w:val="21"/>
          <w:szCs w:val="21"/>
        </w:rPr>
        <w:t> </w:t>
      </w:r>
    </w:p>
    <w:p w14:paraId="7B6A7614" w14:textId="77777777" w:rsidR="00A54E7C" w:rsidRDefault="00A54E7C" w:rsidP="00A54E7C">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E40E663" w14:textId="6854DC29" w:rsidR="00A54E7C" w:rsidRDefault="00A54E7C" w:rsidP="00A54E7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Details are available from TB impact measurement: policy and recommendations for how to assess the epidemiological burden of TB and the impact of TB control </w:t>
      </w:r>
      <w:r w:rsidR="0054753D">
        <w:rPr>
          <w:rStyle w:val="normaltextrun"/>
          <w:rFonts w:ascii="Calibri" w:hAnsi="Calibri" w:cs="Calibri"/>
          <w:color w:val="4A4A4A"/>
          <w:sz w:val="21"/>
          <w:szCs w:val="21"/>
          <w:lang w:val="en-GB"/>
        </w:rPr>
        <w:t>(</w:t>
      </w:r>
      <w:r w:rsidR="0054753D" w:rsidRPr="0054753D">
        <w:rPr>
          <w:rStyle w:val="normaltextrun"/>
          <w:rFonts w:ascii="Calibri" w:hAnsi="Calibri" w:cs="Calibri"/>
          <w:color w:val="4A4A4A"/>
          <w:sz w:val="21"/>
          <w:szCs w:val="21"/>
          <w:lang w:val="en-GB"/>
        </w:rPr>
        <w:t>https://www.who.int/publications/i/item/9789241598828</w:t>
      </w:r>
      <w:r w:rsidR="0054753D">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and from the online technical appendix to the WHO global tuberculosis report</w:t>
      </w:r>
      <w:r w:rsidR="00286DB0">
        <w:rPr>
          <w:rStyle w:val="normaltextrun"/>
          <w:rFonts w:ascii="Calibri" w:hAnsi="Calibri" w:cs="Calibri"/>
          <w:color w:val="4A4A4A"/>
          <w:sz w:val="21"/>
          <w:szCs w:val="21"/>
          <w:lang w:val="en-GB"/>
        </w:rPr>
        <w:t xml:space="preserve"> at </w:t>
      </w:r>
      <w:r>
        <w:rPr>
          <w:rStyle w:val="normaltextrun"/>
          <w:rFonts w:ascii="Calibri" w:hAnsi="Calibri" w:cs="Calibri"/>
          <w:color w:val="4A4A4A"/>
          <w:sz w:val="21"/>
          <w:szCs w:val="21"/>
          <w:lang w:val="en-GB"/>
        </w:rPr>
        <w:t xml:space="preserve"> </w:t>
      </w:r>
      <w:r w:rsidR="00286DB0">
        <w:rPr>
          <w:rStyle w:val="eop"/>
          <w:rFonts w:ascii="Calibri" w:hAnsi="Calibri" w:cs="Calibri"/>
          <w:color w:val="4A4A4A"/>
          <w:sz w:val="21"/>
          <w:szCs w:val="21"/>
        </w:rPr>
        <w:t xml:space="preserve"> </w:t>
      </w:r>
      <w:hyperlink r:id="rId13" w:history="1">
        <w:r w:rsidR="00286DB0" w:rsidRPr="00C16A33">
          <w:rPr>
            <w:rStyle w:val="Hyperlink"/>
            <w:rFonts w:ascii="Calibri" w:hAnsi="Calibri" w:cs="Calibri"/>
            <w:sz w:val="21"/>
            <w:szCs w:val="21"/>
            <w:lang w:val="en-GB"/>
          </w:rPr>
          <w:t>https://www.who.int/teams/global-tuberculosis-programme/data</w:t>
        </w:r>
      </w:hyperlink>
      <w:r w:rsidR="00286DB0">
        <w:rPr>
          <w:rStyle w:val="normaltextrun"/>
          <w:rFonts w:ascii="Calibri" w:hAnsi="Calibri" w:cs="Calibri"/>
          <w:color w:val="4A4A4A"/>
          <w:sz w:val="21"/>
          <w:szCs w:val="21"/>
          <w:lang w:val="en-GB"/>
        </w:rPr>
        <w: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146C9412" w14:textId="3B9ABD3A" w:rsidR="00356826" w:rsidRPr="00A96255" w:rsidRDefault="00356826" w:rsidP="004F35FB">
      <w:pPr>
        <w:pStyle w:val="MText"/>
      </w:pPr>
      <w:r>
        <w:rPr>
          <w:rStyle w:val="normaltextrun"/>
          <w:rFonts w:ascii="Calibri" w:hAnsi="Calibri" w:cs="Calibri"/>
        </w:rPr>
        <w:t>Estimates of TB burden are prepared in July-August and communicated with countries. In selected countries with new survey data, estimates are updated separately during the year. All estimates are communicated in August-September and revisions are done based on feedback. The final set of estimates is reviewed in WHO before publication in October, for compliance with specific international standards and harmonization of breakdowns for age and sex groups.</w:t>
      </w:r>
      <w:r>
        <w:rPr>
          <w:rStyle w:val="eop"/>
          <w:rFonts w:ascii="Calibri" w:hAnsi="Calibri" w:cs="Calibri"/>
        </w:rPr>
        <w:t> </w:t>
      </w:r>
      <w:r w:rsidRPr="00A96255">
        <w:tab/>
      </w:r>
    </w:p>
    <w:p w14:paraId="65FF765C" w14:textId="77777777" w:rsidR="00356826" w:rsidRPr="00A96255" w:rsidRDefault="00356826" w:rsidP="00576CFA">
      <w:pPr>
        <w:pStyle w:val="MText"/>
      </w:pPr>
    </w:p>
    <w:p w14:paraId="0025F830" w14:textId="0CACD36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0C9F3E4D" w14:textId="77777777" w:rsidR="00356826" w:rsidRPr="00A96255" w:rsidRDefault="00356826" w:rsidP="00356826">
      <w:pPr>
        <w:pStyle w:val="MText"/>
      </w:pPr>
      <w:r>
        <w:rPr>
          <w:rStyle w:val="normaltextrun"/>
          <w:rFonts w:ascii="Calibri" w:hAnsi="Calibri" w:cs="Calibri"/>
        </w:rPr>
        <w:t>The final set of estimates is reviewed in WHO before publication in October, for compliance with specific international standards and harmonization of breakdowns for age and sex groups.</w:t>
      </w:r>
      <w:r>
        <w:rPr>
          <w:rStyle w:val="eop"/>
          <w:rFonts w:ascii="Calibri" w:hAnsi="Calibri" w:cs="Calibri"/>
        </w:rPr>
        <w:t> </w:t>
      </w:r>
      <w:r w:rsidRPr="00A96255">
        <w:tab/>
      </w:r>
    </w:p>
    <w:p w14:paraId="4F8A6DB3" w14:textId="77777777" w:rsidR="00356826" w:rsidRPr="00A96255" w:rsidRDefault="00356826" w:rsidP="00576CFA">
      <w:pPr>
        <w:pStyle w:val="MText"/>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39D44D72" w14:textId="77777777" w:rsidR="00A54E7C" w:rsidRDefault="00A54E7C" w:rsidP="00A54E7C">
      <w:pPr>
        <w:pStyle w:val="paragraph"/>
        <w:numPr>
          <w:ilvl w:val="0"/>
          <w:numId w:val="5"/>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country level</w:t>
      </w:r>
      <w:r>
        <w:rPr>
          <w:rStyle w:val="eop"/>
          <w:rFonts w:ascii="Calibri" w:hAnsi="Calibri" w:cs="Calibri"/>
          <w:color w:val="1C75BC"/>
          <w:sz w:val="21"/>
          <w:szCs w:val="21"/>
        </w:rPr>
        <w:t> </w:t>
      </w:r>
    </w:p>
    <w:p w14:paraId="20ABE9AE" w14:textId="77777777" w:rsidR="00A54E7C" w:rsidRDefault="00A54E7C" w:rsidP="00A54E7C">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23FEC0D5" w14:textId="2DD956A9" w:rsidR="00A54E7C" w:rsidRDefault="00A54E7C" w:rsidP="0035682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Details available in the</w:t>
      </w:r>
      <w:r w:rsidR="00356826">
        <w:rPr>
          <w:rStyle w:val="normaltextrun"/>
          <w:rFonts w:ascii="Calibri" w:hAnsi="Calibri" w:cs="Calibri"/>
          <w:color w:val="4A4A4A"/>
          <w:sz w:val="21"/>
          <w:szCs w:val="21"/>
          <w:lang w:val="en-GB"/>
        </w:rPr>
        <w:t xml:space="preserve"> technical appendix of each WHO Global Tuberculosis Report at </w:t>
      </w:r>
      <w:r w:rsidR="00356826" w:rsidRPr="00356826">
        <w:rPr>
          <w:rStyle w:val="normaltextrun"/>
          <w:rFonts w:ascii="Calibri" w:hAnsi="Calibri" w:cs="Calibri"/>
          <w:color w:val="4A4A4A"/>
          <w:sz w:val="21"/>
          <w:szCs w:val="21"/>
          <w:lang w:val="en-GB"/>
        </w:rPr>
        <w:t>https://www.who.int/teams/global-tuberculosis-programme/data</w:t>
      </w:r>
    </w:p>
    <w:p w14:paraId="7F3880B8" w14:textId="77777777" w:rsidR="00A54E7C" w:rsidRDefault="00A54E7C" w:rsidP="00A54E7C">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35AF0EC7" w14:textId="77777777" w:rsidR="00A54E7C" w:rsidRDefault="00A54E7C" w:rsidP="00A54E7C">
      <w:pPr>
        <w:pStyle w:val="paragraph"/>
        <w:numPr>
          <w:ilvl w:val="0"/>
          <w:numId w:val="6"/>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regional and global levels</w:t>
      </w:r>
      <w:r>
        <w:rPr>
          <w:rStyle w:val="eop"/>
          <w:rFonts w:ascii="Calibri" w:hAnsi="Calibri" w:cs="Calibri"/>
          <w:color w:val="1C75BC"/>
          <w:sz w:val="21"/>
          <w:szCs w:val="21"/>
        </w:rPr>
        <w:t> </w:t>
      </w:r>
    </w:p>
    <w:p w14:paraId="17D6AC8E" w14:textId="77777777" w:rsidR="00A54E7C" w:rsidRDefault="00A54E7C" w:rsidP="00A54E7C">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0CECF310" w14:textId="4A70BA9E" w:rsidR="00A54E7C" w:rsidRDefault="00A54E7C" w:rsidP="0035682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Details available in the </w:t>
      </w:r>
      <w:r w:rsidR="00356826">
        <w:rPr>
          <w:rStyle w:val="normaltextrun"/>
          <w:rFonts w:ascii="Calibri" w:hAnsi="Calibri" w:cs="Calibri"/>
          <w:color w:val="4A4A4A"/>
          <w:sz w:val="21"/>
          <w:szCs w:val="21"/>
          <w:lang w:val="en-GB"/>
        </w:rPr>
        <w:t xml:space="preserve"> technical appendix of each WHO Global Tuberculosis Report at </w:t>
      </w:r>
      <w:r w:rsidR="00356826" w:rsidRPr="00356826">
        <w:rPr>
          <w:rStyle w:val="normaltextrun"/>
          <w:rFonts w:ascii="Calibri" w:hAnsi="Calibri" w:cs="Calibri"/>
          <w:color w:val="4A4A4A"/>
          <w:sz w:val="21"/>
          <w:szCs w:val="21"/>
          <w:lang w:val="en-GB"/>
        </w:rPr>
        <w:t>https://www.who.int/teams/global-tuberculosis-programme/data</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707AEB80" w14:textId="1221248A" w:rsidR="00A54E7C" w:rsidRDefault="00A54E7C" w:rsidP="00B039C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Country estimates of case counts are aggregated. Uncertainty is propagated assuming independence of country estimates.</w:t>
      </w:r>
      <w:r>
        <w:rPr>
          <w:rStyle w:val="eop"/>
          <w:rFonts w:ascii="Calibri" w:hAnsi="Calibri" w:cs="Calibri"/>
          <w:color w:val="4A4A4A"/>
          <w:sz w:val="21"/>
          <w:szCs w:val="21"/>
        </w:rPr>
        <w:t>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0D7DA5C4" w14:textId="1DE8C502" w:rsidR="00356826" w:rsidRPr="007A4164" w:rsidRDefault="00356826" w:rsidP="00576CFA">
      <w:pPr>
        <w:pStyle w:val="MText"/>
        <w:rPr>
          <w:lang w:val="en-US"/>
        </w:rPr>
      </w:pPr>
      <w:r>
        <w:t xml:space="preserve">Available at </w:t>
      </w:r>
      <w:r w:rsidRPr="00356826">
        <w:t xml:space="preserve">Definitions and reporting framework for tuberculosis – 2013 revision (WHO/HTM/TB/2013.2). Geneva: World Health Organization; 2013 (https://www.who.int/publications/i/item/9789241505345, accessed </w:t>
      </w:r>
      <w:r w:rsidR="007A4164">
        <w:t>4</w:t>
      </w:r>
      <w:r w:rsidRPr="00356826">
        <w:t xml:space="preserve"> January 2021). </w:t>
      </w:r>
      <w:r>
        <w:t xml:space="preserve"> </w:t>
      </w:r>
    </w:p>
    <w:p w14:paraId="2939895F" w14:textId="77777777" w:rsidR="00EC2915" w:rsidRPr="007A4164" w:rsidRDefault="00EC2915" w:rsidP="00576CFA">
      <w:pPr>
        <w:pStyle w:val="MText"/>
        <w:rPr>
          <w:lang w:val="en-US"/>
        </w:rPr>
      </w:pPr>
    </w:p>
    <w:p w14:paraId="494C36E8" w14:textId="22C3CD05" w:rsidR="00E1050F" w:rsidRPr="00A96255" w:rsidRDefault="00576CFA" w:rsidP="00F719A8">
      <w:pPr>
        <w:pStyle w:val="MHeader2"/>
      </w:pPr>
      <w:r>
        <w:t xml:space="preserve">4.i. </w:t>
      </w:r>
      <w:r w:rsidR="00E1050F">
        <w:t>Quality management</w:t>
      </w:r>
    </w:p>
    <w:p w14:paraId="6AB0C8DD" w14:textId="6EE2BBFD" w:rsidR="00EC2915" w:rsidRPr="00A96255" w:rsidRDefault="368D9B6A" w:rsidP="00576CFA">
      <w:pPr>
        <w:pStyle w:val="MText"/>
      </w:pPr>
      <w:r>
        <w:t>All health statistics published by WHO undergo a systematic internal review process from the Data Division</w:t>
      </w:r>
      <w:r w:rsidR="1FE8CC14">
        <w:t>, including TB burden statistics</w:t>
      </w:r>
      <w:r>
        <w:t xml:space="preserve">. </w:t>
      </w:r>
      <w:r w:rsidR="5484F334">
        <w:t xml:space="preserve"> External review of specific statistics is conducted in various ways, including through country consultations and reviews by technical review bodies such as the WHO Task Force on TB Impact Measurement.</w:t>
      </w:r>
    </w:p>
    <w:p w14:paraId="5484B16D" w14:textId="01271F60" w:rsidR="00EC2915" w:rsidRPr="00A96255" w:rsidRDefault="368D9B6A" w:rsidP="00576CFA">
      <w:pPr>
        <w:pStyle w:val="MText"/>
      </w:pPr>
      <w:r>
        <w:t xml:space="preserve"> </w:t>
      </w:r>
    </w:p>
    <w:p w14:paraId="17B979CA" w14:textId="449C0153" w:rsidR="00E1050F" w:rsidRPr="00A96255" w:rsidRDefault="00E1050F" w:rsidP="00F719A8">
      <w:pPr>
        <w:pStyle w:val="MHeader2"/>
      </w:pPr>
      <w:r w:rsidRPr="00A96255">
        <w:t>4.j Quality assurance</w:t>
      </w:r>
    </w:p>
    <w:p w14:paraId="03EF3244" w14:textId="589D80F1" w:rsidR="00EC2915" w:rsidRDefault="55092556" w:rsidP="00576CFA">
      <w:pPr>
        <w:pStyle w:val="MText"/>
      </w:pPr>
      <w:r>
        <w:t>The underlying TB data reported by WHO member states is carefully checked for completeness and internal consistency. Addition</w:t>
      </w:r>
      <w:r w:rsidR="48E8D160">
        <w:t>al</w:t>
      </w:r>
      <w:r>
        <w:t xml:space="preserve"> data sources are used in the process of disease burden estimation, including survey results</w:t>
      </w:r>
      <w:r w:rsidR="345B97EF">
        <w:t xml:space="preserve">, according to methods published in WHO documents </w:t>
      </w:r>
      <w:r w:rsidR="2EEF2CB5">
        <w:t xml:space="preserve">mentioned in previous sections and </w:t>
      </w:r>
      <w:r w:rsidR="345B97EF">
        <w:t xml:space="preserve">cited in </w:t>
      </w:r>
      <w:r w:rsidR="0698C03A">
        <w:t>section 7</w:t>
      </w:r>
      <w:r w:rsidR="345B97EF">
        <w:t>.</w:t>
      </w:r>
    </w:p>
    <w:p w14:paraId="2D68924A" w14:textId="77777777" w:rsidR="00A24CFA" w:rsidRPr="00A96255" w:rsidRDefault="00A24CFA"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2306F352" w:rsidR="00576CFA" w:rsidRDefault="13AE0A88" w:rsidP="00576CFA">
      <w:pPr>
        <w:pStyle w:val="MText"/>
      </w:pPr>
      <w:r>
        <w:t xml:space="preserve">TB surveillance data are assessed systematically through so-called epidemiological reviews, which provide data quality scores used to </w:t>
      </w:r>
      <w:r w:rsidR="7FB84070">
        <w:t>update plans for strengthening TB surveillance and used in models to estimate the burden TB. In addition, the data are reviewed internally for consistency. Data and estimates are published in the form of country pro</w:t>
      </w:r>
      <w:r w:rsidR="5F0AB309">
        <w:t>files used in systematic consultations with countries, as mentioned in previous sections</w:t>
      </w:r>
      <w:r w:rsidR="3DE023DE">
        <w:t xml:space="preserve"> and cited in section 7. Results are published in </w:t>
      </w:r>
      <w:r w:rsidR="52C8E8C1">
        <w:t>detail in publicly available annual global TB reports.</w:t>
      </w:r>
    </w:p>
    <w:p w14:paraId="49599D23" w14:textId="77777777" w:rsidR="00A24CFA" w:rsidRPr="00A96255" w:rsidRDefault="00A24CFA" w:rsidP="00576CFA">
      <w:pPr>
        <w:pStyle w:val="MText"/>
      </w:pPr>
    </w:p>
    <w:p w14:paraId="17787B3C" w14:textId="03FE81A9" w:rsidR="00E1050F" w:rsidRPr="00A96255" w:rsidRDefault="00576CFA" w:rsidP="000412A0">
      <w:pPr>
        <w:pStyle w:val="MHeader"/>
        <w:spacing w:after="100"/>
      </w:pPr>
      <w:r w:rsidRPr="00A96255">
        <w:lastRenderedPageBreak/>
        <w:t>5. Data availability and disaggregation</w:t>
      </w:r>
    </w:p>
    <w:p w14:paraId="02B13E74" w14:textId="77777777" w:rsidR="0038796E" w:rsidRDefault="00D51E7C" w:rsidP="00B039CE">
      <w:pPr>
        <w:pStyle w:val="MText"/>
        <w:rPr>
          <w:rStyle w:val="Heading1Char"/>
          <w:rFonts w:ascii="Calibri" w:hAnsi="Calibri" w:cs="Calibri"/>
          <w:sz w:val="21"/>
          <w:szCs w:val="21"/>
        </w:rPr>
      </w:pPr>
      <w:r w:rsidRPr="0038796E">
        <w:t>Data availability:</w:t>
      </w:r>
      <w:r w:rsidR="0038796E" w:rsidRPr="0038796E">
        <w:rPr>
          <w:rStyle w:val="Heading1Char"/>
          <w:rFonts w:ascii="Calibri" w:hAnsi="Calibri" w:cs="Calibri"/>
          <w:sz w:val="21"/>
          <w:szCs w:val="21"/>
        </w:rPr>
        <w:t xml:space="preserve"> </w:t>
      </w:r>
    </w:p>
    <w:p w14:paraId="464A8CCF" w14:textId="42424080" w:rsidR="00576CFA" w:rsidRDefault="0038796E" w:rsidP="00B039CE">
      <w:pPr>
        <w:pStyle w:val="MText"/>
        <w:rPr>
          <w:rStyle w:val="eop"/>
          <w:rFonts w:ascii="Calibri" w:hAnsi="Calibri" w:cs="Calibri"/>
        </w:rPr>
      </w:pPr>
      <w:r>
        <w:rPr>
          <w:rStyle w:val="normaltextrun"/>
          <w:rFonts w:ascii="Calibri" w:hAnsi="Calibri" w:cs="Calibri"/>
        </w:rPr>
        <w:t>All countries</w:t>
      </w:r>
      <w:r>
        <w:rPr>
          <w:rStyle w:val="eop"/>
          <w:rFonts w:ascii="Calibri" w:hAnsi="Calibri" w:cs="Calibri"/>
        </w:rPr>
        <w:t> </w:t>
      </w:r>
    </w:p>
    <w:p w14:paraId="2D0542F7" w14:textId="62B9903D" w:rsidR="00D51E7C" w:rsidRPr="00C019E5" w:rsidRDefault="00D51E7C" w:rsidP="00B039CE">
      <w:pPr>
        <w:pStyle w:val="MText"/>
        <w:rPr>
          <w:highlight w:val="cyan"/>
        </w:rPr>
      </w:pPr>
    </w:p>
    <w:p w14:paraId="2508FA9F" w14:textId="77777777" w:rsidR="0038796E" w:rsidRDefault="00D51E7C" w:rsidP="00B039CE">
      <w:pPr>
        <w:pStyle w:val="MText"/>
      </w:pPr>
      <w:r w:rsidRPr="0038796E">
        <w:t>Time series:</w:t>
      </w:r>
      <w:r w:rsidR="0038796E" w:rsidRPr="0038796E">
        <w:t xml:space="preserve"> </w:t>
      </w:r>
    </w:p>
    <w:p w14:paraId="5853D6F7" w14:textId="64B59459" w:rsidR="00D51E7C" w:rsidRPr="00C019E5" w:rsidRDefault="0038796E" w:rsidP="00B039CE">
      <w:pPr>
        <w:pStyle w:val="MText"/>
        <w:rPr>
          <w:highlight w:val="cyan"/>
        </w:rPr>
      </w:pPr>
      <w:r>
        <w:rPr>
          <w:rStyle w:val="normaltextrun"/>
          <w:rFonts w:ascii="Calibri" w:hAnsi="Calibri" w:cs="Calibri"/>
        </w:rPr>
        <w:t>2000 onwards</w:t>
      </w:r>
      <w:r>
        <w:rPr>
          <w:rStyle w:val="eop"/>
          <w:rFonts w:ascii="Calibri" w:hAnsi="Calibri" w:cs="Calibri"/>
        </w:rPr>
        <w:t> </w:t>
      </w:r>
    </w:p>
    <w:p w14:paraId="760C013A" w14:textId="4597FCBD" w:rsidR="00D51E7C" w:rsidRPr="00C019E5" w:rsidRDefault="00D51E7C" w:rsidP="00B039CE">
      <w:pPr>
        <w:pStyle w:val="MText"/>
        <w:rPr>
          <w:highlight w:val="cyan"/>
        </w:rPr>
      </w:pPr>
    </w:p>
    <w:p w14:paraId="2F608762" w14:textId="6C0A6405" w:rsidR="00A54E7C" w:rsidRDefault="00D51E7C" w:rsidP="00B039CE">
      <w:pPr>
        <w:pStyle w:val="MText"/>
        <w:rPr>
          <w:rFonts w:ascii="Segoe UI" w:hAnsi="Segoe UI" w:cs="Segoe UI"/>
          <w:sz w:val="18"/>
          <w:szCs w:val="18"/>
        </w:rPr>
      </w:pPr>
      <w:r w:rsidRPr="00A54E7C">
        <w:t>Disaggregation:</w:t>
      </w:r>
      <w:r w:rsidR="00A54E7C">
        <w:t xml:space="preserve"> </w:t>
      </w:r>
    </w:p>
    <w:p w14:paraId="2A832866" w14:textId="5CB16754" w:rsidR="0038796E" w:rsidRPr="00B039CE" w:rsidRDefault="00A54E7C" w:rsidP="00B039CE">
      <w:pPr>
        <w:pStyle w:val="MText"/>
        <w:rPr>
          <w:rFonts w:ascii="Segoe UI" w:hAnsi="Segoe UI" w:cs="Segoe UI"/>
          <w:sz w:val="18"/>
          <w:szCs w:val="18"/>
        </w:rPr>
      </w:pPr>
      <w:r>
        <w:rPr>
          <w:rStyle w:val="normaltextrun"/>
          <w:rFonts w:ascii="Calibri" w:hAnsi="Calibri" w:cs="Calibri"/>
        </w:rPr>
        <w:t>The indicator is disaggregated by country, sex and age</w:t>
      </w:r>
      <w:r w:rsidR="00356826">
        <w:rPr>
          <w:rStyle w:val="normaltextrun"/>
          <w:rFonts w:ascii="Calibri" w:hAnsi="Calibri" w:cs="Calibri"/>
        </w:rPr>
        <w:t xml:space="preserve"> group</w:t>
      </w:r>
      <w:r w:rsidR="003006A1">
        <w:rPr>
          <w:rStyle w:val="normaltextrun"/>
          <w:rFonts w:ascii="Calibri" w:hAnsi="Calibri" w:cs="Calibri"/>
        </w:rPr>
        <w:t xml:space="preserve"> and five risk factors.</w:t>
      </w:r>
      <w:r>
        <w:rPr>
          <w:rStyle w:val="normaltextrun"/>
          <w:rFonts w:ascii="Calibri" w:hAnsi="Calibri" w:cs="Calibri"/>
        </w:rPr>
        <w:t>.</w:t>
      </w:r>
      <w:r>
        <w:rPr>
          <w:rStyle w:val="eop"/>
          <w:rFonts w:ascii="Calibri" w:hAnsi="Calibri" w:cs="Calibri"/>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7E912D01" w14:textId="751FD130" w:rsidR="00A54E7C" w:rsidRPr="00B039CE" w:rsidRDefault="00D51E7C" w:rsidP="00E1329D">
      <w:pPr>
        <w:pStyle w:val="MText"/>
      </w:pPr>
      <w:r w:rsidRPr="00B039CE">
        <w:t>Sources of discrepancies:</w:t>
      </w:r>
      <w:r w:rsidR="00A54E7C" w:rsidRPr="00B039CE">
        <w:t xml:space="preserve"> </w:t>
      </w:r>
    </w:p>
    <w:p w14:paraId="3C2D4870" w14:textId="052B5C12" w:rsidR="00D51E7C" w:rsidRDefault="00A54E7C" w:rsidP="00E1329D">
      <w:pPr>
        <w:pStyle w:val="MText"/>
      </w:pPr>
      <w:r w:rsidRPr="00B039CE">
        <w:rPr>
          <w:rStyle w:val="normaltextrun"/>
        </w:rPr>
        <w:t>Population denominators may differ between national sources and UNPD. WHO uses UNPD population estimates.</w:t>
      </w:r>
      <w:r w:rsidRPr="00B039CE">
        <w:rPr>
          <w:rStyle w:val="eop"/>
        </w:rPr>
        <w:t>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732FDE7" w14:textId="77777777" w:rsidR="0038796E" w:rsidRDefault="0038796E" w:rsidP="0038796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1A434BA1" w14:textId="77777777" w:rsidR="0038796E" w:rsidRDefault="0038796E" w:rsidP="0038796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4581A07" w14:textId="60C4682C" w:rsidR="0038796E" w:rsidRDefault="00286DB0" w:rsidP="0038796E">
      <w:pPr>
        <w:pStyle w:val="paragraph"/>
        <w:shd w:val="clear" w:color="auto" w:fill="FFFFFF"/>
        <w:spacing w:before="0" w:beforeAutospacing="0" w:after="0" w:afterAutospacing="0"/>
        <w:textAlignment w:val="baseline"/>
        <w:rPr>
          <w:rFonts w:ascii="Segoe UI" w:hAnsi="Segoe UI" w:cs="Segoe UI"/>
          <w:sz w:val="18"/>
          <w:szCs w:val="18"/>
        </w:rPr>
      </w:pPr>
      <w:hyperlink r:id="rId14" w:history="1">
        <w:r w:rsidRPr="00C16A33">
          <w:rPr>
            <w:rStyle w:val="Hyperlink"/>
            <w:rFonts w:ascii="Calibri" w:hAnsi="Calibri" w:cs="Calibri"/>
            <w:sz w:val="21"/>
            <w:szCs w:val="21"/>
            <w:lang w:val="en-GB"/>
          </w:rPr>
          <w:t>https://www.who.int/teams/global-tuberculosis-programme/data</w:t>
        </w:r>
      </w:hyperlink>
      <w:r>
        <w:rPr>
          <w:rStyle w:val="normaltextrun"/>
          <w:rFonts w:ascii="Calibri" w:hAnsi="Calibri" w:cs="Calibri"/>
          <w:color w:val="4A4A4A"/>
          <w:sz w:val="21"/>
          <w:szCs w:val="21"/>
          <w:lang w:val="en-GB"/>
        </w:rPr>
        <w:t xml:space="preserve"> </w:t>
      </w:r>
      <w:r w:rsidR="0038796E">
        <w:rPr>
          <w:rStyle w:val="eop"/>
          <w:color w:val="4A4A4A"/>
          <w:sz w:val="21"/>
          <w:szCs w:val="21"/>
        </w:rPr>
        <w:t> </w:t>
      </w:r>
    </w:p>
    <w:p w14:paraId="32EB5636" w14:textId="77777777" w:rsidR="0038796E" w:rsidRDefault="0038796E" w:rsidP="0038796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09571D07" w14:textId="77777777" w:rsidR="0038796E" w:rsidRDefault="0038796E" w:rsidP="0038796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E014CFD" w14:textId="49883154" w:rsidR="0038796E" w:rsidRDefault="00286DB0" w:rsidP="0038796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latest </w:t>
      </w:r>
      <w:r w:rsidR="0038796E">
        <w:rPr>
          <w:rStyle w:val="normaltextrun"/>
          <w:rFonts w:ascii="Calibri" w:hAnsi="Calibri" w:cs="Calibri"/>
          <w:color w:val="4A4A4A"/>
          <w:sz w:val="21"/>
          <w:szCs w:val="21"/>
          <w:lang w:val="en-GB"/>
        </w:rPr>
        <w:t xml:space="preserve">WHO </w:t>
      </w:r>
      <w:r>
        <w:rPr>
          <w:rStyle w:val="normaltextrun"/>
          <w:rFonts w:ascii="Calibri" w:hAnsi="Calibri" w:cs="Calibri"/>
          <w:color w:val="4A4A4A"/>
          <w:sz w:val="21"/>
          <w:szCs w:val="21"/>
          <w:lang w:val="en-GB"/>
        </w:rPr>
        <w:t>G</w:t>
      </w:r>
      <w:r w:rsidR="0038796E">
        <w:rPr>
          <w:rStyle w:val="normaltextrun"/>
          <w:rFonts w:ascii="Calibri" w:hAnsi="Calibri" w:cs="Calibri"/>
          <w:color w:val="4A4A4A"/>
          <w:sz w:val="21"/>
          <w:szCs w:val="21"/>
          <w:lang w:val="en-GB"/>
        </w:rPr>
        <w:t xml:space="preserve">lobal </w:t>
      </w:r>
      <w:r>
        <w:rPr>
          <w:rStyle w:val="normaltextrun"/>
          <w:rFonts w:ascii="Calibri" w:hAnsi="Calibri" w:cs="Calibri"/>
          <w:color w:val="4A4A4A"/>
          <w:sz w:val="21"/>
          <w:szCs w:val="21"/>
          <w:lang w:val="en-GB"/>
        </w:rPr>
        <w:t>T</w:t>
      </w:r>
      <w:r w:rsidR="0038796E">
        <w:rPr>
          <w:rStyle w:val="normaltextrun"/>
          <w:rFonts w:ascii="Calibri" w:hAnsi="Calibri" w:cs="Calibri"/>
          <w:color w:val="4A4A4A"/>
          <w:sz w:val="21"/>
          <w:szCs w:val="21"/>
          <w:lang w:val="en-GB"/>
        </w:rPr>
        <w:t xml:space="preserve">uberculosis </w:t>
      </w:r>
      <w:r w:rsidR="00A24CFA">
        <w:rPr>
          <w:rStyle w:val="normaltextrun"/>
          <w:rFonts w:ascii="Calibri" w:hAnsi="Calibri" w:cs="Calibri"/>
          <w:color w:val="4A4A4A"/>
          <w:sz w:val="21"/>
          <w:szCs w:val="21"/>
          <w:lang w:val="en-GB"/>
        </w:rPr>
        <w:t>R</w:t>
      </w:r>
      <w:r w:rsidR="0038796E">
        <w:rPr>
          <w:rStyle w:val="normaltextrun"/>
          <w:rFonts w:ascii="Calibri" w:hAnsi="Calibri" w:cs="Calibri"/>
          <w:color w:val="4A4A4A"/>
          <w:sz w:val="21"/>
          <w:szCs w:val="21"/>
          <w:lang w:val="en-GB"/>
        </w:rPr>
        <w:t xml:space="preserve">eport: </w:t>
      </w:r>
      <w:hyperlink r:id="rId15" w:history="1">
        <w:r w:rsidRPr="00C16A33">
          <w:rPr>
            <w:rStyle w:val="Hyperlink"/>
            <w:rFonts w:ascii="Calibri" w:hAnsi="Calibri" w:cs="Calibri"/>
            <w:sz w:val="21"/>
            <w:szCs w:val="21"/>
            <w:lang w:val="en-GB"/>
          </w:rPr>
          <w:t>https://www.who.int/teams/global-tuberculosis-programme/data</w:t>
        </w:r>
      </w:hyperlink>
      <w:r w:rsidR="0038796E">
        <w:rPr>
          <w:rStyle w:val="normaltextrun"/>
          <w:rFonts w:ascii="Calibri" w:hAnsi="Calibri" w:cs="Calibri"/>
          <w:color w:val="4A4A4A"/>
          <w:sz w:val="21"/>
          <w:szCs w:val="21"/>
          <w:lang w:val="en-GB"/>
        </w:rPr>
        <w:t>, accessed </w:t>
      </w:r>
      <w:r>
        <w:rPr>
          <w:rStyle w:val="normaltextrun"/>
          <w:rFonts w:ascii="Calibri" w:hAnsi="Calibri" w:cs="Calibri"/>
          <w:color w:val="4A4A4A"/>
          <w:sz w:val="21"/>
          <w:szCs w:val="21"/>
          <w:lang w:val="en-GB"/>
        </w:rPr>
        <w:t>4</w:t>
      </w:r>
      <w:r w:rsidR="0038796E">
        <w:rPr>
          <w:rStyle w:val="normaltextrun"/>
          <w:rFonts w:ascii="Calibri" w:hAnsi="Calibri" w:cs="Calibri"/>
          <w:color w:val="4A4A4A"/>
          <w:sz w:val="21"/>
          <w:szCs w:val="21"/>
          <w:lang w:val="en-GB"/>
        </w:rPr>
        <w:t> January 20</w:t>
      </w:r>
      <w:r>
        <w:rPr>
          <w:rStyle w:val="normaltextrun"/>
          <w:rFonts w:ascii="Calibri" w:hAnsi="Calibri" w:cs="Calibri"/>
          <w:color w:val="4A4A4A"/>
          <w:sz w:val="21"/>
          <w:szCs w:val="21"/>
          <w:lang w:val="en-GB"/>
        </w:rPr>
        <w:t>21</w:t>
      </w:r>
      <w:r w:rsidR="0038796E">
        <w:rPr>
          <w:rStyle w:val="normaltextrun"/>
          <w:color w:val="4A4A4A"/>
          <w:sz w:val="21"/>
          <w:szCs w:val="21"/>
          <w:lang w:val="en-GB"/>
        </w:rPr>
        <w:t>).</w:t>
      </w:r>
      <w:r w:rsidR="0038796E">
        <w:rPr>
          <w:rStyle w:val="eop"/>
          <w:color w:val="4A4A4A"/>
          <w:sz w:val="21"/>
          <w:szCs w:val="21"/>
        </w:rPr>
        <w:t> </w:t>
      </w:r>
    </w:p>
    <w:p w14:paraId="42F36FA2" w14:textId="77777777" w:rsidR="0038796E" w:rsidRDefault="0038796E" w:rsidP="0038796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72E0B51" w14:textId="77777777" w:rsidR="0038796E" w:rsidRDefault="0038796E" w:rsidP="0038796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C74EF3A" w14:textId="270849DE" w:rsidR="0038796E" w:rsidRDefault="0038796E" w:rsidP="0038796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Definitions and reporting framework for tuberculosis – 2013 revision (WHO/HTM/TB/2013.2). Geneva: World Health Organization; 2013 (</w:t>
      </w:r>
      <w:hyperlink r:id="rId16" w:history="1">
        <w:r w:rsidR="00936441" w:rsidRPr="00C16A33">
          <w:rPr>
            <w:rStyle w:val="Hyperlink"/>
            <w:rFonts w:ascii="Calibri" w:hAnsi="Calibri" w:cs="Calibri"/>
            <w:sz w:val="21"/>
            <w:szCs w:val="21"/>
            <w:lang w:val="en-GB"/>
          </w:rPr>
          <w:t>https://www.who.int/publications/i/item/9789241505345</w:t>
        </w:r>
      </w:hyperlink>
      <w:r w:rsidR="00936441">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 xml:space="preserve">accessed </w:t>
      </w:r>
      <w:r w:rsidR="00936441">
        <w:rPr>
          <w:rStyle w:val="normaltextrun"/>
          <w:rFonts w:ascii="Calibri" w:hAnsi="Calibri" w:cs="Calibri"/>
          <w:color w:val="4A4A4A"/>
          <w:sz w:val="21"/>
          <w:szCs w:val="21"/>
          <w:lang w:val="en-GB"/>
        </w:rPr>
        <w:t>4 January 2021</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0D0A64E2" w14:textId="539D26E7" w:rsidR="0038796E" w:rsidRPr="0054753D" w:rsidRDefault="0038796E" w:rsidP="0038796E">
      <w:pPr>
        <w:pStyle w:val="paragraph"/>
        <w:shd w:val="clear" w:color="auto" w:fill="FFFFFF"/>
        <w:spacing w:before="0" w:beforeAutospacing="0" w:after="0" w:afterAutospacing="0"/>
        <w:textAlignment w:val="baseline"/>
        <w:rPr>
          <w:rStyle w:val="normaltextrun"/>
          <w:rFonts w:ascii="Calibri" w:hAnsi="Calibri" w:cs="Calibri"/>
          <w:lang w:val="en-GB"/>
        </w:rPr>
      </w:pPr>
      <w:r>
        <w:rPr>
          <w:rStyle w:val="eop"/>
          <w:color w:val="4A4A4A"/>
          <w:sz w:val="21"/>
          <w:szCs w:val="21"/>
        </w:rPr>
        <w:t> </w:t>
      </w:r>
    </w:p>
    <w:p w14:paraId="4EEA5C62" w14:textId="0FDC49C3" w:rsidR="00286DB0" w:rsidRPr="0054753D" w:rsidRDefault="00286DB0" w:rsidP="0054753D">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sidRPr="0054753D">
        <w:rPr>
          <w:rStyle w:val="normaltextrun"/>
          <w:rFonts w:ascii="Calibri" w:hAnsi="Calibri" w:cs="Calibri"/>
          <w:color w:val="4A4A4A"/>
          <w:sz w:val="21"/>
          <w:szCs w:val="21"/>
          <w:lang w:val="en-GB"/>
        </w:rPr>
        <w:t>TB Impact meas</w:t>
      </w:r>
      <w:r w:rsidR="0054753D" w:rsidRPr="0054753D">
        <w:rPr>
          <w:rStyle w:val="normaltextrun"/>
          <w:rFonts w:ascii="Calibri" w:hAnsi="Calibri" w:cs="Calibri"/>
          <w:color w:val="4A4A4A"/>
          <w:sz w:val="21"/>
          <w:szCs w:val="21"/>
          <w:lang w:val="en-GB"/>
        </w:rPr>
        <w:t>urement: Policy and recommendations for how to assess the epidemiological burden of TB and the impact of TB control</w:t>
      </w:r>
      <w:r w:rsidR="0054753D">
        <w:rPr>
          <w:rStyle w:val="normaltextrun"/>
          <w:rFonts w:ascii="Calibri" w:hAnsi="Calibri" w:cs="Calibri"/>
          <w:color w:val="4A4A4A"/>
          <w:sz w:val="21"/>
          <w:szCs w:val="21"/>
          <w:lang w:val="en-GB"/>
        </w:rPr>
        <w:t xml:space="preserve"> (</w:t>
      </w:r>
      <w:r w:rsidR="0054753D" w:rsidRPr="0054753D">
        <w:rPr>
          <w:rStyle w:val="normaltextrun"/>
          <w:rFonts w:ascii="Calibri" w:hAnsi="Calibri" w:cs="Calibri"/>
          <w:color w:val="4A4A4A"/>
          <w:sz w:val="21"/>
          <w:szCs w:val="21"/>
          <w:lang w:val="en-GB"/>
        </w:rPr>
        <w:t>WHO/HTM/TB/2009.416</w:t>
      </w:r>
      <w:r w:rsidR="0054753D">
        <w:rPr>
          <w:rStyle w:val="normaltextrun"/>
          <w:rFonts w:ascii="Calibri" w:hAnsi="Calibri" w:cs="Calibri"/>
          <w:color w:val="4A4A4A"/>
          <w:sz w:val="21"/>
          <w:szCs w:val="21"/>
          <w:lang w:val="en-GB"/>
        </w:rPr>
        <w:t>). Geneva: World Health Organization; 2009 (</w:t>
      </w:r>
      <w:r w:rsidR="0054753D" w:rsidRPr="0054753D">
        <w:rPr>
          <w:rStyle w:val="normaltextrun"/>
          <w:rFonts w:ascii="Calibri" w:hAnsi="Calibri" w:cs="Calibri"/>
          <w:color w:val="4A4A4A"/>
          <w:sz w:val="21"/>
          <w:szCs w:val="21"/>
          <w:lang w:val="en-GB"/>
        </w:rPr>
        <w:t>https://www.who.int/publications/i/item/9789241598828</w:t>
      </w:r>
      <w:r w:rsidR="0054753D">
        <w:rPr>
          <w:rStyle w:val="normaltextrun"/>
          <w:rFonts w:ascii="Calibri" w:hAnsi="Calibri" w:cs="Calibri"/>
          <w:color w:val="4A4A4A"/>
          <w:sz w:val="21"/>
          <w:szCs w:val="21"/>
          <w:lang w:val="en-GB"/>
        </w:rPr>
        <w:t>).</w:t>
      </w:r>
    </w:p>
    <w:p w14:paraId="2E14772D" w14:textId="77777777" w:rsidR="00286DB0" w:rsidRDefault="00286DB0" w:rsidP="0038796E">
      <w:pPr>
        <w:pStyle w:val="paragraph"/>
        <w:shd w:val="clear" w:color="auto" w:fill="FFFFFF"/>
        <w:spacing w:before="0" w:beforeAutospacing="0" w:after="0" w:afterAutospacing="0"/>
        <w:textAlignment w:val="baseline"/>
        <w:rPr>
          <w:rFonts w:ascii="Segoe UI" w:hAnsi="Segoe UI" w:cs="Segoe UI"/>
          <w:sz w:val="18"/>
          <w:szCs w:val="18"/>
        </w:rPr>
      </w:pPr>
    </w:p>
    <w:p w14:paraId="384B0992" w14:textId="292429AA" w:rsidR="00186795" w:rsidRDefault="0038796E" w:rsidP="00E1329D">
      <w:pPr>
        <w:pStyle w:val="paragraph"/>
        <w:shd w:val="clear" w:color="auto" w:fill="FFFFFF"/>
        <w:spacing w:before="0" w:beforeAutospacing="0" w:after="0" w:afterAutospacing="0"/>
        <w:textAlignment w:val="baseline"/>
      </w:pPr>
      <w:r>
        <w:rPr>
          <w:rStyle w:val="normaltextrun"/>
          <w:rFonts w:ascii="Calibri" w:hAnsi="Calibri" w:cs="Calibri"/>
          <w:color w:val="4A4A4A"/>
          <w:sz w:val="21"/>
          <w:szCs w:val="21"/>
          <w:lang w:val="en-GB"/>
        </w:rPr>
        <w:t>World Health Assembly governing body documentation: official records. Geneva: World Health Organization (http://apps.who.int/gb/or/, accessed 21 June 2016).</w:t>
      </w:r>
      <w:r>
        <w:rPr>
          <w:rStyle w:val="eop"/>
          <w:rFonts w:ascii="Calibri" w:hAnsi="Calibri" w:cs="Calibri"/>
          <w:color w:val="4A4A4A"/>
          <w:sz w:val="21"/>
          <w:szCs w:val="21"/>
        </w:rPr>
        <w:t> </w:t>
      </w:r>
    </w:p>
    <w:sectPr w:rsidR="00186795">
      <w:headerReference w:type="default" r:id="rId17"/>
      <w:pgSz w:w="11906" w:h="16838"/>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67912C" w16cex:dateUtc="2021-01-07T08:20:26.429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DAE1B" w14:textId="77777777" w:rsidR="000678BC" w:rsidRDefault="000678BC" w:rsidP="00573C0B">
      <w:pPr>
        <w:spacing w:after="0" w:line="240" w:lineRule="auto"/>
      </w:pPr>
      <w:r>
        <w:separator/>
      </w:r>
    </w:p>
  </w:endnote>
  <w:endnote w:type="continuationSeparator" w:id="0">
    <w:p w14:paraId="5207FC60" w14:textId="77777777" w:rsidR="000678BC" w:rsidRDefault="000678BC" w:rsidP="00573C0B">
      <w:pPr>
        <w:spacing w:after="0" w:line="240" w:lineRule="auto"/>
      </w:pPr>
      <w:r>
        <w:continuationSeparator/>
      </w:r>
    </w:p>
  </w:endnote>
  <w:endnote w:type="continuationNotice" w:id="1">
    <w:p w14:paraId="53A7363A" w14:textId="77777777" w:rsidR="000678BC" w:rsidRDefault="000678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33AA4" w14:textId="77777777" w:rsidR="000678BC" w:rsidRDefault="000678BC" w:rsidP="00573C0B">
      <w:pPr>
        <w:spacing w:after="0" w:line="240" w:lineRule="auto"/>
      </w:pPr>
      <w:r>
        <w:separator/>
      </w:r>
    </w:p>
  </w:footnote>
  <w:footnote w:type="continuationSeparator" w:id="0">
    <w:p w14:paraId="4242123C" w14:textId="77777777" w:rsidR="000678BC" w:rsidRDefault="000678BC" w:rsidP="00573C0B">
      <w:pPr>
        <w:spacing w:after="0" w:line="240" w:lineRule="auto"/>
      </w:pPr>
      <w:r>
        <w:continuationSeparator/>
      </w:r>
    </w:p>
  </w:footnote>
  <w:footnote w:type="continuationNotice" w:id="1">
    <w:p w14:paraId="6C2B303F" w14:textId="77777777" w:rsidR="000678BC" w:rsidRDefault="000678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D75C730"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7233EA">
      <w:rPr>
        <w:color w:val="404040" w:themeColor="text1" w:themeTint="BF"/>
        <w:sz w:val="18"/>
        <w:szCs w:val="18"/>
      </w:rPr>
      <w:t xml:space="preserve"> </w:t>
    </w:r>
    <w:r w:rsidR="00A90A9C">
      <w:rPr>
        <w:color w:val="404040" w:themeColor="text1" w:themeTint="BF"/>
        <w:sz w:val="18"/>
        <w:szCs w:val="18"/>
      </w:rPr>
      <w:t>7</w:t>
    </w:r>
    <w:r w:rsidR="007A4164">
      <w:rPr>
        <w:color w:val="404040" w:themeColor="text1" w:themeTint="BF"/>
        <w:sz w:val="18"/>
        <w:szCs w:val="18"/>
      </w:rPr>
      <w:t xml:space="preserve"> </w:t>
    </w:r>
    <w:r w:rsidR="007233EA">
      <w:rPr>
        <w:color w:val="404040" w:themeColor="text1" w:themeTint="BF"/>
        <w:sz w:val="18"/>
        <w:szCs w:val="18"/>
      </w:rPr>
      <w:t>January 20</w:t>
    </w:r>
    <w:r w:rsidR="00021969">
      <w:rPr>
        <w:color w:val="404040" w:themeColor="text1" w:themeTint="BF"/>
        <w:sz w:val="18"/>
        <w:szCs w:val="18"/>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54A3"/>
    <w:multiLevelType w:val="multilevel"/>
    <w:tmpl w:val="5208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B5843"/>
    <w:multiLevelType w:val="multilevel"/>
    <w:tmpl w:val="8B38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hybridMultilevel"/>
    <w:tmpl w:val="2AF8BEBC"/>
    <w:lvl w:ilvl="0" w:tplc="D770A70A">
      <w:start w:val="1"/>
      <w:numFmt w:val="bullet"/>
      <w:lvlText w:val=""/>
      <w:lvlJc w:val="left"/>
      <w:pPr>
        <w:tabs>
          <w:tab w:val="num" w:pos="720"/>
        </w:tabs>
        <w:ind w:left="720" w:hanging="360"/>
      </w:pPr>
      <w:rPr>
        <w:rFonts w:ascii="Symbol" w:hAnsi="Symbol" w:hint="default"/>
        <w:sz w:val="20"/>
      </w:rPr>
    </w:lvl>
    <w:lvl w:ilvl="1" w:tplc="93C2F9FC" w:tentative="1">
      <w:start w:val="1"/>
      <w:numFmt w:val="bullet"/>
      <w:lvlText w:val="o"/>
      <w:lvlJc w:val="left"/>
      <w:pPr>
        <w:tabs>
          <w:tab w:val="num" w:pos="1440"/>
        </w:tabs>
        <w:ind w:left="1440" w:hanging="360"/>
      </w:pPr>
      <w:rPr>
        <w:rFonts w:ascii="Courier New" w:hAnsi="Courier New" w:hint="default"/>
        <w:sz w:val="20"/>
      </w:rPr>
    </w:lvl>
    <w:lvl w:ilvl="2" w:tplc="DEECA014" w:tentative="1">
      <w:start w:val="1"/>
      <w:numFmt w:val="bullet"/>
      <w:lvlText w:val=""/>
      <w:lvlJc w:val="left"/>
      <w:pPr>
        <w:tabs>
          <w:tab w:val="num" w:pos="2160"/>
        </w:tabs>
        <w:ind w:left="2160" w:hanging="360"/>
      </w:pPr>
      <w:rPr>
        <w:rFonts w:ascii="Wingdings" w:hAnsi="Wingdings" w:hint="default"/>
        <w:sz w:val="20"/>
      </w:rPr>
    </w:lvl>
    <w:lvl w:ilvl="3" w:tplc="918AFD4E" w:tentative="1">
      <w:start w:val="1"/>
      <w:numFmt w:val="bullet"/>
      <w:lvlText w:val=""/>
      <w:lvlJc w:val="left"/>
      <w:pPr>
        <w:tabs>
          <w:tab w:val="num" w:pos="2880"/>
        </w:tabs>
        <w:ind w:left="2880" w:hanging="360"/>
      </w:pPr>
      <w:rPr>
        <w:rFonts w:ascii="Wingdings" w:hAnsi="Wingdings" w:hint="default"/>
        <w:sz w:val="20"/>
      </w:rPr>
    </w:lvl>
    <w:lvl w:ilvl="4" w:tplc="3460CB86" w:tentative="1">
      <w:start w:val="1"/>
      <w:numFmt w:val="bullet"/>
      <w:lvlText w:val=""/>
      <w:lvlJc w:val="left"/>
      <w:pPr>
        <w:tabs>
          <w:tab w:val="num" w:pos="3600"/>
        </w:tabs>
        <w:ind w:left="3600" w:hanging="360"/>
      </w:pPr>
      <w:rPr>
        <w:rFonts w:ascii="Wingdings" w:hAnsi="Wingdings" w:hint="default"/>
        <w:sz w:val="20"/>
      </w:rPr>
    </w:lvl>
    <w:lvl w:ilvl="5" w:tplc="7BD4EE6A" w:tentative="1">
      <w:start w:val="1"/>
      <w:numFmt w:val="bullet"/>
      <w:lvlText w:val=""/>
      <w:lvlJc w:val="left"/>
      <w:pPr>
        <w:tabs>
          <w:tab w:val="num" w:pos="4320"/>
        </w:tabs>
        <w:ind w:left="4320" w:hanging="360"/>
      </w:pPr>
      <w:rPr>
        <w:rFonts w:ascii="Wingdings" w:hAnsi="Wingdings" w:hint="default"/>
        <w:sz w:val="20"/>
      </w:rPr>
    </w:lvl>
    <w:lvl w:ilvl="6" w:tplc="0B066152" w:tentative="1">
      <w:start w:val="1"/>
      <w:numFmt w:val="bullet"/>
      <w:lvlText w:val=""/>
      <w:lvlJc w:val="left"/>
      <w:pPr>
        <w:tabs>
          <w:tab w:val="num" w:pos="5040"/>
        </w:tabs>
        <w:ind w:left="5040" w:hanging="360"/>
      </w:pPr>
      <w:rPr>
        <w:rFonts w:ascii="Wingdings" w:hAnsi="Wingdings" w:hint="default"/>
        <w:sz w:val="20"/>
      </w:rPr>
    </w:lvl>
    <w:lvl w:ilvl="7" w:tplc="04C20550" w:tentative="1">
      <w:start w:val="1"/>
      <w:numFmt w:val="bullet"/>
      <w:lvlText w:val=""/>
      <w:lvlJc w:val="left"/>
      <w:pPr>
        <w:tabs>
          <w:tab w:val="num" w:pos="5760"/>
        </w:tabs>
        <w:ind w:left="5760" w:hanging="360"/>
      </w:pPr>
      <w:rPr>
        <w:rFonts w:ascii="Wingdings" w:hAnsi="Wingdings" w:hint="default"/>
        <w:sz w:val="20"/>
      </w:rPr>
    </w:lvl>
    <w:lvl w:ilvl="8" w:tplc="379E135A"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ocumentProtection w:edit="forms"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21969"/>
    <w:rsid w:val="000412A0"/>
    <w:rsid w:val="00047DDA"/>
    <w:rsid w:val="00052E54"/>
    <w:rsid w:val="0005455A"/>
    <w:rsid w:val="000678BC"/>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86DB0"/>
    <w:rsid w:val="00291A00"/>
    <w:rsid w:val="00291A11"/>
    <w:rsid w:val="002A315C"/>
    <w:rsid w:val="002A3342"/>
    <w:rsid w:val="002A64BA"/>
    <w:rsid w:val="002B4989"/>
    <w:rsid w:val="002C2510"/>
    <w:rsid w:val="002C731A"/>
    <w:rsid w:val="002D714E"/>
    <w:rsid w:val="002E53C3"/>
    <w:rsid w:val="002F1468"/>
    <w:rsid w:val="002F5F0C"/>
    <w:rsid w:val="003006A1"/>
    <w:rsid w:val="003265EB"/>
    <w:rsid w:val="0034329E"/>
    <w:rsid w:val="00343FAA"/>
    <w:rsid w:val="00347F5E"/>
    <w:rsid w:val="00353C98"/>
    <w:rsid w:val="00356826"/>
    <w:rsid w:val="00371A20"/>
    <w:rsid w:val="003821B4"/>
    <w:rsid w:val="00382CF3"/>
    <w:rsid w:val="0038796E"/>
    <w:rsid w:val="00387D52"/>
    <w:rsid w:val="003A7CEA"/>
    <w:rsid w:val="003F0BD3"/>
    <w:rsid w:val="003F278A"/>
    <w:rsid w:val="003F7A02"/>
    <w:rsid w:val="00422EA5"/>
    <w:rsid w:val="00422EFA"/>
    <w:rsid w:val="0042791F"/>
    <w:rsid w:val="004456ED"/>
    <w:rsid w:val="0048045A"/>
    <w:rsid w:val="004841B8"/>
    <w:rsid w:val="004930F2"/>
    <w:rsid w:val="004B0F1C"/>
    <w:rsid w:val="004F2EE6"/>
    <w:rsid w:val="004F35FB"/>
    <w:rsid w:val="00502DBA"/>
    <w:rsid w:val="005040C4"/>
    <w:rsid w:val="00507637"/>
    <w:rsid w:val="00507852"/>
    <w:rsid w:val="00514DBF"/>
    <w:rsid w:val="0053612C"/>
    <w:rsid w:val="0054753D"/>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233EA"/>
    <w:rsid w:val="007530CA"/>
    <w:rsid w:val="00756D68"/>
    <w:rsid w:val="007578D9"/>
    <w:rsid w:val="00757E8A"/>
    <w:rsid w:val="00763E43"/>
    <w:rsid w:val="00764EB5"/>
    <w:rsid w:val="00777A95"/>
    <w:rsid w:val="00782416"/>
    <w:rsid w:val="007A4164"/>
    <w:rsid w:val="007B0364"/>
    <w:rsid w:val="007D0981"/>
    <w:rsid w:val="007D1929"/>
    <w:rsid w:val="00803CF1"/>
    <w:rsid w:val="008104BB"/>
    <w:rsid w:val="008249C5"/>
    <w:rsid w:val="00831A8B"/>
    <w:rsid w:val="008526F9"/>
    <w:rsid w:val="0085285E"/>
    <w:rsid w:val="00853023"/>
    <w:rsid w:val="008534D4"/>
    <w:rsid w:val="00881E28"/>
    <w:rsid w:val="00894C4B"/>
    <w:rsid w:val="008A12E3"/>
    <w:rsid w:val="008A42FA"/>
    <w:rsid w:val="008B0AC7"/>
    <w:rsid w:val="008C138C"/>
    <w:rsid w:val="008C2335"/>
    <w:rsid w:val="008C67C1"/>
    <w:rsid w:val="008D1D39"/>
    <w:rsid w:val="008F07D2"/>
    <w:rsid w:val="00917851"/>
    <w:rsid w:val="00917F65"/>
    <w:rsid w:val="009311E7"/>
    <w:rsid w:val="00936441"/>
    <w:rsid w:val="00942694"/>
    <w:rsid w:val="00994493"/>
    <w:rsid w:val="009A7E3A"/>
    <w:rsid w:val="009B1265"/>
    <w:rsid w:val="009B4A15"/>
    <w:rsid w:val="009B5693"/>
    <w:rsid w:val="009C61A2"/>
    <w:rsid w:val="009C78E4"/>
    <w:rsid w:val="009D687E"/>
    <w:rsid w:val="009F6DE7"/>
    <w:rsid w:val="00A10583"/>
    <w:rsid w:val="00A24CFA"/>
    <w:rsid w:val="00A37FCB"/>
    <w:rsid w:val="00A54863"/>
    <w:rsid w:val="00A54E7C"/>
    <w:rsid w:val="00A61D74"/>
    <w:rsid w:val="00A8688B"/>
    <w:rsid w:val="00A90A9C"/>
    <w:rsid w:val="00A91163"/>
    <w:rsid w:val="00A9286F"/>
    <w:rsid w:val="00A96255"/>
    <w:rsid w:val="00AB285B"/>
    <w:rsid w:val="00AF5552"/>
    <w:rsid w:val="00AF5CB4"/>
    <w:rsid w:val="00AF5ED1"/>
    <w:rsid w:val="00AF71D6"/>
    <w:rsid w:val="00B039CE"/>
    <w:rsid w:val="00B16863"/>
    <w:rsid w:val="00B216EE"/>
    <w:rsid w:val="00B3175F"/>
    <w:rsid w:val="00B31E2C"/>
    <w:rsid w:val="00B329B0"/>
    <w:rsid w:val="00B402D8"/>
    <w:rsid w:val="00B4237C"/>
    <w:rsid w:val="00B42FE8"/>
    <w:rsid w:val="00B52AFD"/>
    <w:rsid w:val="00B54077"/>
    <w:rsid w:val="00B8087E"/>
    <w:rsid w:val="00BB646E"/>
    <w:rsid w:val="00BD1BA1"/>
    <w:rsid w:val="00C019E5"/>
    <w:rsid w:val="00C177DF"/>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B4199"/>
    <w:rsid w:val="00DD1BC6"/>
    <w:rsid w:val="00DE5DC3"/>
    <w:rsid w:val="00E00D8A"/>
    <w:rsid w:val="00E1050F"/>
    <w:rsid w:val="00E11604"/>
    <w:rsid w:val="00E11D92"/>
    <w:rsid w:val="00E130A0"/>
    <w:rsid w:val="00E1329D"/>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00FF2CD0"/>
    <w:rsid w:val="0698C03A"/>
    <w:rsid w:val="07FC490A"/>
    <w:rsid w:val="0CCFBA2D"/>
    <w:rsid w:val="13AE0A88"/>
    <w:rsid w:val="14C9913B"/>
    <w:rsid w:val="16F71532"/>
    <w:rsid w:val="199D025E"/>
    <w:rsid w:val="1D219928"/>
    <w:rsid w:val="1FE8CC14"/>
    <w:rsid w:val="27FE2D6A"/>
    <w:rsid w:val="2999FDCB"/>
    <w:rsid w:val="2B35CE2C"/>
    <w:rsid w:val="2CD19E8D"/>
    <w:rsid w:val="2EEF2CB5"/>
    <w:rsid w:val="345B97EF"/>
    <w:rsid w:val="352EBEEB"/>
    <w:rsid w:val="367880D3"/>
    <w:rsid w:val="368D9B6A"/>
    <w:rsid w:val="3DE023DE"/>
    <w:rsid w:val="3E7257E1"/>
    <w:rsid w:val="42AEF66D"/>
    <w:rsid w:val="467C6DA7"/>
    <w:rsid w:val="48E8D160"/>
    <w:rsid w:val="4C8EBECF"/>
    <w:rsid w:val="51180EFF"/>
    <w:rsid w:val="52C8E8C1"/>
    <w:rsid w:val="5484F334"/>
    <w:rsid w:val="55092556"/>
    <w:rsid w:val="5F0AB309"/>
    <w:rsid w:val="6D4B8006"/>
    <w:rsid w:val="6D64A863"/>
    <w:rsid w:val="6FEC4E31"/>
    <w:rsid w:val="7008DB25"/>
    <w:rsid w:val="7622DED4"/>
    <w:rsid w:val="764A54DE"/>
    <w:rsid w:val="7C099B6E"/>
    <w:rsid w:val="7DA56BCF"/>
    <w:rsid w:val="7FB8407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A54E7C"/>
  </w:style>
  <w:style w:type="character" w:customStyle="1" w:styleId="eop">
    <w:name w:val="eop"/>
    <w:basedOn w:val="DefaultParagraphFont"/>
    <w:rsid w:val="00A54E7C"/>
  </w:style>
  <w:style w:type="paragraph" w:customStyle="1" w:styleId="paragraph">
    <w:name w:val="paragraph"/>
    <w:basedOn w:val="Normal"/>
    <w:rsid w:val="00A54E7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Date">
    <w:name w:val="Date"/>
    <w:basedOn w:val="Normal"/>
    <w:next w:val="Normal"/>
    <w:link w:val="DateChar"/>
    <w:uiPriority w:val="99"/>
    <w:semiHidden/>
    <w:unhideWhenUsed/>
    <w:rsid w:val="00021969"/>
  </w:style>
  <w:style w:type="character" w:customStyle="1" w:styleId="DateChar">
    <w:name w:val="Date Char"/>
    <w:basedOn w:val="DefaultParagraphFont"/>
    <w:link w:val="Date"/>
    <w:uiPriority w:val="99"/>
    <w:semiHidden/>
    <w:rsid w:val="00021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60771">
      <w:bodyDiv w:val="1"/>
      <w:marLeft w:val="0"/>
      <w:marRight w:val="0"/>
      <w:marTop w:val="0"/>
      <w:marBottom w:val="0"/>
      <w:divBdr>
        <w:top w:val="none" w:sz="0" w:space="0" w:color="auto"/>
        <w:left w:val="none" w:sz="0" w:space="0" w:color="auto"/>
        <w:bottom w:val="none" w:sz="0" w:space="0" w:color="auto"/>
        <w:right w:val="none" w:sz="0" w:space="0" w:color="auto"/>
      </w:divBdr>
      <w:divsChild>
        <w:div w:id="1739935526">
          <w:marLeft w:val="0"/>
          <w:marRight w:val="0"/>
          <w:marTop w:val="0"/>
          <w:marBottom w:val="0"/>
          <w:divBdr>
            <w:top w:val="none" w:sz="0" w:space="0" w:color="auto"/>
            <w:left w:val="none" w:sz="0" w:space="0" w:color="auto"/>
            <w:bottom w:val="none" w:sz="0" w:space="0" w:color="auto"/>
            <w:right w:val="none" w:sz="0" w:space="0" w:color="auto"/>
          </w:divBdr>
        </w:div>
        <w:div w:id="2003268319">
          <w:marLeft w:val="0"/>
          <w:marRight w:val="0"/>
          <w:marTop w:val="0"/>
          <w:marBottom w:val="0"/>
          <w:divBdr>
            <w:top w:val="none" w:sz="0" w:space="0" w:color="auto"/>
            <w:left w:val="none" w:sz="0" w:space="0" w:color="auto"/>
            <w:bottom w:val="none" w:sz="0" w:space="0" w:color="auto"/>
            <w:right w:val="none" w:sz="0" w:space="0" w:color="auto"/>
          </w:divBdr>
        </w:div>
        <w:div w:id="295067335">
          <w:marLeft w:val="0"/>
          <w:marRight w:val="0"/>
          <w:marTop w:val="0"/>
          <w:marBottom w:val="0"/>
          <w:divBdr>
            <w:top w:val="none" w:sz="0" w:space="0" w:color="auto"/>
            <w:left w:val="none" w:sz="0" w:space="0" w:color="auto"/>
            <w:bottom w:val="none" w:sz="0" w:space="0" w:color="auto"/>
            <w:right w:val="none" w:sz="0" w:space="0" w:color="auto"/>
          </w:divBdr>
        </w:div>
      </w:divsChild>
    </w:div>
    <w:div w:id="271281241">
      <w:bodyDiv w:val="1"/>
      <w:marLeft w:val="0"/>
      <w:marRight w:val="0"/>
      <w:marTop w:val="0"/>
      <w:marBottom w:val="0"/>
      <w:divBdr>
        <w:top w:val="none" w:sz="0" w:space="0" w:color="auto"/>
        <w:left w:val="none" w:sz="0" w:space="0" w:color="auto"/>
        <w:bottom w:val="none" w:sz="0" w:space="0" w:color="auto"/>
        <w:right w:val="none" w:sz="0" w:space="0" w:color="auto"/>
      </w:divBdr>
      <w:divsChild>
        <w:div w:id="1078361889">
          <w:marLeft w:val="0"/>
          <w:marRight w:val="0"/>
          <w:marTop w:val="0"/>
          <w:marBottom w:val="0"/>
          <w:divBdr>
            <w:top w:val="none" w:sz="0" w:space="0" w:color="auto"/>
            <w:left w:val="none" w:sz="0" w:space="0" w:color="auto"/>
            <w:bottom w:val="none" w:sz="0" w:space="0" w:color="auto"/>
            <w:right w:val="none" w:sz="0" w:space="0" w:color="auto"/>
          </w:divBdr>
        </w:div>
        <w:div w:id="698236337">
          <w:marLeft w:val="0"/>
          <w:marRight w:val="0"/>
          <w:marTop w:val="0"/>
          <w:marBottom w:val="0"/>
          <w:divBdr>
            <w:top w:val="none" w:sz="0" w:space="0" w:color="auto"/>
            <w:left w:val="none" w:sz="0" w:space="0" w:color="auto"/>
            <w:bottom w:val="none" w:sz="0" w:space="0" w:color="auto"/>
            <w:right w:val="none" w:sz="0" w:space="0" w:color="auto"/>
          </w:divBdr>
          <w:divsChild>
            <w:div w:id="1371029578">
              <w:marLeft w:val="0"/>
              <w:marRight w:val="0"/>
              <w:marTop w:val="0"/>
              <w:marBottom w:val="0"/>
              <w:divBdr>
                <w:top w:val="none" w:sz="0" w:space="0" w:color="auto"/>
                <w:left w:val="none" w:sz="0" w:space="0" w:color="auto"/>
                <w:bottom w:val="none" w:sz="0" w:space="0" w:color="auto"/>
                <w:right w:val="none" w:sz="0" w:space="0" w:color="auto"/>
              </w:divBdr>
            </w:div>
            <w:div w:id="1953322967">
              <w:marLeft w:val="0"/>
              <w:marRight w:val="0"/>
              <w:marTop w:val="0"/>
              <w:marBottom w:val="0"/>
              <w:divBdr>
                <w:top w:val="none" w:sz="0" w:space="0" w:color="auto"/>
                <w:left w:val="none" w:sz="0" w:space="0" w:color="auto"/>
                <w:bottom w:val="none" w:sz="0" w:space="0" w:color="auto"/>
                <w:right w:val="none" w:sz="0" w:space="0" w:color="auto"/>
              </w:divBdr>
            </w:div>
            <w:div w:id="1965455160">
              <w:marLeft w:val="0"/>
              <w:marRight w:val="0"/>
              <w:marTop w:val="0"/>
              <w:marBottom w:val="0"/>
              <w:divBdr>
                <w:top w:val="none" w:sz="0" w:space="0" w:color="auto"/>
                <w:left w:val="none" w:sz="0" w:space="0" w:color="auto"/>
                <w:bottom w:val="none" w:sz="0" w:space="0" w:color="auto"/>
                <w:right w:val="none" w:sz="0" w:space="0" w:color="auto"/>
              </w:divBdr>
            </w:div>
            <w:div w:id="1443183766">
              <w:marLeft w:val="0"/>
              <w:marRight w:val="0"/>
              <w:marTop w:val="0"/>
              <w:marBottom w:val="0"/>
              <w:divBdr>
                <w:top w:val="none" w:sz="0" w:space="0" w:color="auto"/>
                <w:left w:val="none" w:sz="0" w:space="0" w:color="auto"/>
                <w:bottom w:val="none" w:sz="0" w:space="0" w:color="auto"/>
                <w:right w:val="none" w:sz="0" w:space="0" w:color="auto"/>
              </w:divBdr>
            </w:div>
            <w:div w:id="1486700790">
              <w:marLeft w:val="0"/>
              <w:marRight w:val="0"/>
              <w:marTop w:val="0"/>
              <w:marBottom w:val="0"/>
              <w:divBdr>
                <w:top w:val="none" w:sz="0" w:space="0" w:color="auto"/>
                <w:left w:val="none" w:sz="0" w:space="0" w:color="auto"/>
                <w:bottom w:val="none" w:sz="0" w:space="0" w:color="auto"/>
                <w:right w:val="none" w:sz="0" w:space="0" w:color="auto"/>
              </w:divBdr>
            </w:div>
          </w:divsChild>
        </w:div>
        <w:div w:id="1966151528">
          <w:marLeft w:val="0"/>
          <w:marRight w:val="0"/>
          <w:marTop w:val="0"/>
          <w:marBottom w:val="0"/>
          <w:divBdr>
            <w:top w:val="none" w:sz="0" w:space="0" w:color="auto"/>
            <w:left w:val="none" w:sz="0" w:space="0" w:color="auto"/>
            <w:bottom w:val="none" w:sz="0" w:space="0" w:color="auto"/>
            <w:right w:val="none" w:sz="0" w:space="0" w:color="auto"/>
          </w:divBdr>
          <w:divsChild>
            <w:div w:id="959991567">
              <w:marLeft w:val="0"/>
              <w:marRight w:val="0"/>
              <w:marTop w:val="0"/>
              <w:marBottom w:val="0"/>
              <w:divBdr>
                <w:top w:val="none" w:sz="0" w:space="0" w:color="auto"/>
                <w:left w:val="none" w:sz="0" w:space="0" w:color="auto"/>
                <w:bottom w:val="none" w:sz="0" w:space="0" w:color="auto"/>
                <w:right w:val="none" w:sz="0" w:space="0" w:color="auto"/>
              </w:divBdr>
            </w:div>
            <w:div w:id="575628827">
              <w:marLeft w:val="0"/>
              <w:marRight w:val="0"/>
              <w:marTop w:val="0"/>
              <w:marBottom w:val="0"/>
              <w:divBdr>
                <w:top w:val="none" w:sz="0" w:space="0" w:color="auto"/>
                <w:left w:val="none" w:sz="0" w:space="0" w:color="auto"/>
                <w:bottom w:val="none" w:sz="0" w:space="0" w:color="auto"/>
                <w:right w:val="none" w:sz="0" w:space="0" w:color="auto"/>
              </w:divBdr>
            </w:div>
            <w:div w:id="1165625964">
              <w:marLeft w:val="0"/>
              <w:marRight w:val="0"/>
              <w:marTop w:val="0"/>
              <w:marBottom w:val="0"/>
              <w:divBdr>
                <w:top w:val="none" w:sz="0" w:space="0" w:color="auto"/>
                <w:left w:val="none" w:sz="0" w:space="0" w:color="auto"/>
                <w:bottom w:val="none" w:sz="0" w:space="0" w:color="auto"/>
                <w:right w:val="none" w:sz="0" w:space="0" w:color="auto"/>
              </w:divBdr>
            </w:div>
            <w:div w:id="1727681527">
              <w:marLeft w:val="0"/>
              <w:marRight w:val="0"/>
              <w:marTop w:val="0"/>
              <w:marBottom w:val="0"/>
              <w:divBdr>
                <w:top w:val="none" w:sz="0" w:space="0" w:color="auto"/>
                <w:left w:val="none" w:sz="0" w:space="0" w:color="auto"/>
                <w:bottom w:val="none" w:sz="0" w:space="0" w:color="auto"/>
                <w:right w:val="none" w:sz="0" w:space="0" w:color="auto"/>
              </w:divBdr>
            </w:div>
            <w:div w:id="13455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6998">
      <w:bodyDiv w:val="1"/>
      <w:marLeft w:val="0"/>
      <w:marRight w:val="0"/>
      <w:marTop w:val="0"/>
      <w:marBottom w:val="0"/>
      <w:divBdr>
        <w:top w:val="none" w:sz="0" w:space="0" w:color="auto"/>
        <w:left w:val="none" w:sz="0" w:space="0" w:color="auto"/>
        <w:bottom w:val="none" w:sz="0" w:space="0" w:color="auto"/>
        <w:right w:val="none" w:sz="0" w:space="0" w:color="auto"/>
      </w:divBdr>
      <w:divsChild>
        <w:div w:id="1161968881">
          <w:marLeft w:val="0"/>
          <w:marRight w:val="0"/>
          <w:marTop w:val="0"/>
          <w:marBottom w:val="0"/>
          <w:divBdr>
            <w:top w:val="none" w:sz="0" w:space="0" w:color="auto"/>
            <w:left w:val="none" w:sz="0" w:space="0" w:color="auto"/>
            <w:bottom w:val="none" w:sz="0" w:space="0" w:color="auto"/>
            <w:right w:val="none" w:sz="0" w:space="0" w:color="auto"/>
          </w:divBdr>
        </w:div>
        <w:div w:id="1889292999">
          <w:marLeft w:val="0"/>
          <w:marRight w:val="0"/>
          <w:marTop w:val="0"/>
          <w:marBottom w:val="0"/>
          <w:divBdr>
            <w:top w:val="none" w:sz="0" w:space="0" w:color="auto"/>
            <w:left w:val="none" w:sz="0" w:space="0" w:color="auto"/>
            <w:bottom w:val="none" w:sz="0" w:space="0" w:color="auto"/>
            <w:right w:val="none" w:sz="0" w:space="0" w:color="auto"/>
          </w:divBdr>
        </w:div>
        <w:div w:id="1008824792">
          <w:marLeft w:val="0"/>
          <w:marRight w:val="0"/>
          <w:marTop w:val="0"/>
          <w:marBottom w:val="0"/>
          <w:divBdr>
            <w:top w:val="none" w:sz="0" w:space="0" w:color="auto"/>
            <w:left w:val="none" w:sz="0" w:space="0" w:color="auto"/>
            <w:bottom w:val="none" w:sz="0" w:space="0" w:color="auto"/>
            <w:right w:val="none" w:sz="0" w:space="0" w:color="auto"/>
          </w:divBdr>
        </w:div>
      </w:divsChild>
    </w:div>
    <w:div w:id="866483422">
      <w:bodyDiv w:val="1"/>
      <w:marLeft w:val="0"/>
      <w:marRight w:val="0"/>
      <w:marTop w:val="0"/>
      <w:marBottom w:val="0"/>
      <w:divBdr>
        <w:top w:val="none" w:sz="0" w:space="0" w:color="auto"/>
        <w:left w:val="none" w:sz="0" w:space="0" w:color="auto"/>
        <w:bottom w:val="none" w:sz="0" w:space="0" w:color="auto"/>
        <w:right w:val="none" w:sz="0" w:space="0" w:color="auto"/>
      </w:divBdr>
      <w:divsChild>
        <w:div w:id="1025254177">
          <w:marLeft w:val="0"/>
          <w:marRight w:val="0"/>
          <w:marTop w:val="0"/>
          <w:marBottom w:val="0"/>
          <w:divBdr>
            <w:top w:val="none" w:sz="0" w:space="0" w:color="auto"/>
            <w:left w:val="none" w:sz="0" w:space="0" w:color="auto"/>
            <w:bottom w:val="none" w:sz="0" w:space="0" w:color="auto"/>
            <w:right w:val="none" w:sz="0" w:space="0" w:color="auto"/>
          </w:divBdr>
        </w:div>
        <w:div w:id="957639983">
          <w:marLeft w:val="0"/>
          <w:marRight w:val="0"/>
          <w:marTop w:val="0"/>
          <w:marBottom w:val="0"/>
          <w:divBdr>
            <w:top w:val="none" w:sz="0" w:space="0" w:color="auto"/>
            <w:left w:val="none" w:sz="0" w:space="0" w:color="auto"/>
            <w:bottom w:val="none" w:sz="0" w:space="0" w:color="auto"/>
            <w:right w:val="none" w:sz="0" w:space="0" w:color="auto"/>
          </w:divBdr>
        </w:div>
        <w:div w:id="1565481275">
          <w:marLeft w:val="0"/>
          <w:marRight w:val="0"/>
          <w:marTop w:val="0"/>
          <w:marBottom w:val="0"/>
          <w:divBdr>
            <w:top w:val="none" w:sz="0" w:space="0" w:color="auto"/>
            <w:left w:val="none" w:sz="0" w:space="0" w:color="auto"/>
            <w:bottom w:val="none" w:sz="0" w:space="0" w:color="auto"/>
            <w:right w:val="none" w:sz="0" w:space="0" w:color="auto"/>
          </w:divBdr>
        </w:div>
        <w:div w:id="1586189369">
          <w:marLeft w:val="0"/>
          <w:marRight w:val="0"/>
          <w:marTop w:val="0"/>
          <w:marBottom w:val="0"/>
          <w:divBdr>
            <w:top w:val="none" w:sz="0" w:space="0" w:color="auto"/>
            <w:left w:val="none" w:sz="0" w:space="0" w:color="auto"/>
            <w:bottom w:val="none" w:sz="0" w:space="0" w:color="auto"/>
            <w:right w:val="none" w:sz="0" w:space="0" w:color="auto"/>
          </w:divBdr>
        </w:div>
        <w:div w:id="615409788">
          <w:marLeft w:val="0"/>
          <w:marRight w:val="0"/>
          <w:marTop w:val="0"/>
          <w:marBottom w:val="0"/>
          <w:divBdr>
            <w:top w:val="none" w:sz="0" w:space="0" w:color="auto"/>
            <w:left w:val="none" w:sz="0" w:space="0" w:color="auto"/>
            <w:bottom w:val="none" w:sz="0" w:space="0" w:color="auto"/>
            <w:right w:val="none" w:sz="0" w:space="0" w:color="auto"/>
          </w:divBdr>
        </w:div>
        <w:div w:id="2054840617">
          <w:marLeft w:val="0"/>
          <w:marRight w:val="0"/>
          <w:marTop w:val="0"/>
          <w:marBottom w:val="0"/>
          <w:divBdr>
            <w:top w:val="none" w:sz="0" w:space="0" w:color="auto"/>
            <w:left w:val="none" w:sz="0" w:space="0" w:color="auto"/>
            <w:bottom w:val="none" w:sz="0" w:space="0" w:color="auto"/>
            <w:right w:val="none" w:sz="0" w:space="0" w:color="auto"/>
          </w:divBdr>
        </w:div>
        <w:div w:id="358431113">
          <w:marLeft w:val="0"/>
          <w:marRight w:val="0"/>
          <w:marTop w:val="0"/>
          <w:marBottom w:val="0"/>
          <w:divBdr>
            <w:top w:val="none" w:sz="0" w:space="0" w:color="auto"/>
            <w:left w:val="none" w:sz="0" w:space="0" w:color="auto"/>
            <w:bottom w:val="none" w:sz="0" w:space="0" w:color="auto"/>
            <w:right w:val="none" w:sz="0" w:space="0" w:color="auto"/>
          </w:divBdr>
        </w:div>
        <w:div w:id="1183663384">
          <w:marLeft w:val="0"/>
          <w:marRight w:val="0"/>
          <w:marTop w:val="0"/>
          <w:marBottom w:val="0"/>
          <w:divBdr>
            <w:top w:val="none" w:sz="0" w:space="0" w:color="auto"/>
            <w:left w:val="none" w:sz="0" w:space="0" w:color="auto"/>
            <w:bottom w:val="none" w:sz="0" w:space="0" w:color="auto"/>
            <w:right w:val="none" w:sz="0" w:space="0" w:color="auto"/>
          </w:divBdr>
        </w:div>
        <w:div w:id="1495757780">
          <w:marLeft w:val="0"/>
          <w:marRight w:val="0"/>
          <w:marTop w:val="0"/>
          <w:marBottom w:val="0"/>
          <w:divBdr>
            <w:top w:val="none" w:sz="0" w:space="0" w:color="auto"/>
            <w:left w:val="none" w:sz="0" w:space="0" w:color="auto"/>
            <w:bottom w:val="none" w:sz="0" w:space="0" w:color="auto"/>
            <w:right w:val="none" w:sz="0" w:space="0" w:color="auto"/>
          </w:divBdr>
        </w:div>
        <w:div w:id="1078332406">
          <w:marLeft w:val="0"/>
          <w:marRight w:val="0"/>
          <w:marTop w:val="0"/>
          <w:marBottom w:val="0"/>
          <w:divBdr>
            <w:top w:val="none" w:sz="0" w:space="0" w:color="auto"/>
            <w:left w:val="none" w:sz="0" w:space="0" w:color="auto"/>
            <w:bottom w:val="none" w:sz="0" w:space="0" w:color="auto"/>
            <w:right w:val="none" w:sz="0" w:space="0" w:color="auto"/>
          </w:divBdr>
        </w:div>
        <w:div w:id="1649047771">
          <w:marLeft w:val="0"/>
          <w:marRight w:val="0"/>
          <w:marTop w:val="0"/>
          <w:marBottom w:val="0"/>
          <w:divBdr>
            <w:top w:val="none" w:sz="0" w:space="0" w:color="auto"/>
            <w:left w:val="none" w:sz="0" w:space="0" w:color="auto"/>
            <w:bottom w:val="none" w:sz="0" w:space="0" w:color="auto"/>
            <w:right w:val="none" w:sz="0" w:space="0" w:color="auto"/>
          </w:divBdr>
        </w:div>
        <w:div w:id="479810754">
          <w:marLeft w:val="0"/>
          <w:marRight w:val="0"/>
          <w:marTop w:val="0"/>
          <w:marBottom w:val="0"/>
          <w:divBdr>
            <w:top w:val="none" w:sz="0" w:space="0" w:color="auto"/>
            <w:left w:val="none" w:sz="0" w:space="0" w:color="auto"/>
            <w:bottom w:val="none" w:sz="0" w:space="0" w:color="auto"/>
            <w:right w:val="none" w:sz="0" w:space="0" w:color="auto"/>
          </w:divBdr>
        </w:div>
        <w:div w:id="641271890">
          <w:marLeft w:val="0"/>
          <w:marRight w:val="0"/>
          <w:marTop w:val="0"/>
          <w:marBottom w:val="0"/>
          <w:divBdr>
            <w:top w:val="none" w:sz="0" w:space="0" w:color="auto"/>
            <w:left w:val="none" w:sz="0" w:space="0" w:color="auto"/>
            <w:bottom w:val="none" w:sz="0" w:space="0" w:color="auto"/>
            <w:right w:val="none" w:sz="0" w:space="0" w:color="auto"/>
          </w:divBdr>
        </w:div>
      </w:divsChild>
    </w:div>
    <w:div w:id="909313145">
      <w:bodyDiv w:val="1"/>
      <w:marLeft w:val="0"/>
      <w:marRight w:val="0"/>
      <w:marTop w:val="0"/>
      <w:marBottom w:val="0"/>
      <w:divBdr>
        <w:top w:val="none" w:sz="0" w:space="0" w:color="auto"/>
        <w:left w:val="none" w:sz="0" w:space="0" w:color="auto"/>
        <w:bottom w:val="none" w:sz="0" w:space="0" w:color="auto"/>
        <w:right w:val="none" w:sz="0" w:space="0" w:color="auto"/>
      </w:divBdr>
      <w:divsChild>
        <w:div w:id="1642805510">
          <w:marLeft w:val="0"/>
          <w:marRight w:val="0"/>
          <w:marTop w:val="0"/>
          <w:marBottom w:val="0"/>
          <w:divBdr>
            <w:top w:val="none" w:sz="0" w:space="0" w:color="auto"/>
            <w:left w:val="none" w:sz="0" w:space="0" w:color="auto"/>
            <w:bottom w:val="none" w:sz="0" w:space="0" w:color="auto"/>
            <w:right w:val="none" w:sz="0" w:space="0" w:color="auto"/>
          </w:divBdr>
        </w:div>
        <w:div w:id="1060321779">
          <w:marLeft w:val="0"/>
          <w:marRight w:val="0"/>
          <w:marTop w:val="0"/>
          <w:marBottom w:val="0"/>
          <w:divBdr>
            <w:top w:val="none" w:sz="0" w:space="0" w:color="auto"/>
            <w:left w:val="none" w:sz="0" w:space="0" w:color="auto"/>
            <w:bottom w:val="none" w:sz="0" w:space="0" w:color="auto"/>
            <w:right w:val="none" w:sz="0" w:space="0" w:color="auto"/>
          </w:divBdr>
        </w:div>
        <w:div w:id="689721160">
          <w:marLeft w:val="0"/>
          <w:marRight w:val="0"/>
          <w:marTop w:val="0"/>
          <w:marBottom w:val="0"/>
          <w:divBdr>
            <w:top w:val="none" w:sz="0" w:space="0" w:color="auto"/>
            <w:left w:val="none" w:sz="0" w:space="0" w:color="auto"/>
            <w:bottom w:val="none" w:sz="0" w:space="0" w:color="auto"/>
            <w:right w:val="none" w:sz="0" w:space="0" w:color="auto"/>
          </w:divBdr>
        </w:div>
        <w:div w:id="481966348">
          <w:marLeft w:val="0"/>
          <w:marRight w:val="0"/>
          <w:marTop w:val="0"/>
          <w:marBottom w:val="0"/>
          <w:divBdr>
            <w:top w:val="none" w:sz="0" w:space="0" w:color="auto"/>
            <w:left w:val="none" w:sz="0" w:space="0" w:color="auto"/>
            <w:bottom w:val="none" w:sz="0" w:space="0" w:color="auto"/>
            <w:right w:val="none" w:sz="0" w:space="0" w:color="auto"/>
          </w:divBdr>
        </w:div>
        <w:div w:id="593972262">
          <w:marLeft w:val="0"/>
          <w:marRight w:val="0"/>
          <w:marTop w:val="0"/>
          <w:marBottom w:val="0"/>
          <w:divBdr>
            <w:top w:val="none" w:sz="0" w:space="0" w:color="auto"/>
            <w:left w:val="none" w:sz="0" w:space="0" w:color="auto"/>
            <w:bottom w:val="none" w:sz="0" w:space="0" w:color="auto"/>
            <w:right w:val="none" w:sz="0" w:space="0" w:color="auto"/>
          </w:divBdr>
        </w:div>
        <w:div w:id="1582642721">
          <w:marLeft w:val="0"/>
          <w:marRight w:val="0"/>
          <w:marTop w:val="0"/>
          <w:marBottom w:val="0"/>
          <w:divBdr>
            <w:top w:val="none" w:sz="0" w:space="0" w:color="auto"/>
            <w:left w:val="none" w:sz="0" w:space="0" w:color="auto"/>
            <w:bottom w:val="none" w:sz="0" w:space="0" w:color="auto"/>
            <w:right w:val="none" w:sz="0" w:space="0" w:color="auto"/>
          </w:divBdr>
        </w:div>
        <w:div w:id="587427467">
          <w:marLeft w:val="0"/>
          <w:marRight w:val="0"/>
          <w:marTop w:val="0"/>
          <w:marBottom w:val="0"/>
          <w:divBdr>
            <w:top w:val="none" w:sz="0" w:space="0" w:color="auto"/>
            <w:left w:val="none" w:sz="0" w:space="0" w:color="auto"/>
            <w:bottom w:val="none" w:sz="0" w:space="0" w:color="auto"/>
            <w:right w:val="none" w:sz="0" w:space="0" w:color="auto"/>
          </w:divBdr>
        </w:div>
        <w:div w:id="1893804607">
          <w:marLeft w:val="0"/>
          <w:marRight w:val="0"/>
          <w:marTop w:val="0"/>
          <w:marBottom w:val="0"/>
          <w:divBdr>
            <w:top w:val="none" w:sz="0" w:space="0" w:color="auto"/>
            <w:left w:val="none" w:sz="0" w:space="0" w:color="auto"/>
            <w:bottom w:val="none" w:sz="0" w:space="0" w:color="auto"/>
            <w:right w:val="none" w:sz="0" w:space="0" w:color="auto"/>
          </w:divBdr>
        </w:div>
        <w:div w:id="1372068373">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74614197">
      <w:bodyDiv w:val="1"/>
      <w:marLeft w:val="0"/>
      <w:marRight w:val="0"/>
      <w:marTop w:val="0"/>
      <w:marBottom w:val="0"/>
      <w:divBdr>
        <w:top w:val="none" w:sz="0" w:space="0" w:color="auto"/>
        <w:left w:val="none" w:sz="0" w:space="0" w:color="auto"/>
        <w:bottom w:val="none" w:sz="0" w:space="0" w:color="auto"/>
        <w:right w:val="none" w:sz="0" w:space="0" w:color="auto"/>
      </w:divBdr>
      <w:divsChild>
        <w:div w:id="1915428351">
          <w:marLeft w:val="0"/>
          <w:marRight w:val="0"/>
          <w:marTop w:val="0"/>
          <w:marBottom w:val="0"/>
          <w:divBdr>
            <w:top w:val="none" w:sz="0" w:space="0" w:color="auto"/>
            <w:left w:val="none" w:sz="0" w:space="0" w:color="auto"/>
            <w:bottom w:val="none" w:sz="0" w:space="0" w:color="auto"/>
            <w:right w:val="none" w:sz="0" w:space="0" w:color="auto"/>
          </w:divBdr>
        </w:div>
        <w:div w:id="1108311988">
          <w:marLeft w:val="0"/>
          <w:marRight w:val="0"/>
          <w:marTop w:val="0"/>
          <w:marBottom w:val="0"/>
          <w:divBdr>
            <w:top w:val="none" w:sz="0" w:space="0" w:color="auto"/>
            <w:left w:val="none" w:sz="0" w:space="0" w:color="auto"/>
            <w:bottom w:val="none" w:sz="0" w:space="0" w:color="auto"/>
            <w:right w:val="none" w:sz="0" w:space="0" w:color="auto"/>
          </w:divBdr>
        </w:div>
        <w:div w:id="1296643174">
          <w:marLeft w:val="0"/>
          <w:marRight w:val="0"/>
          <w:marTop w:val="0"/>
          <w:marBottom w:val="0"/>
          <w:divBdr>
            <w:top w:val="none" w:sz="0" w:space="0" w:color="auto"/>
            <w:left w:val="none" w:sz="0" w:space="0" w:color="auto"/>
            <w:bottom w:val="none" w:sz="0" w:space="0" w:color="auto"/>
            <w:right w:val="none" w:sz="0" w:space="0" w:color="auto"/>
          </w:divBdr>
        </w:div>
      </w:divsChild>
    </w:div>
    <w:div w:id="1269192558">
      <w:bodyDiv w:val="1"/>
      <w:marLeft w:val="0"/>
      <w:marRight w:val="0"/>
      <w:marTop w:val="0"/>
      <w:marBottom w:val="0"/>
      <w:divBdr>
        <w:top w:val="none" w:sz="0" w:space="0" w:color="auto"/>
        <w:left w:val="none" w:sz="0" w:space="0" w:color="auto"/>
        <w:bottom w:val="none" w:sz="0" w:space="0" w:color="auto"/>
        <w:right w:val="none" w:sz="0" w:space="0" w:color="auto"/>
      </w:divBdr>
      <w:divsChild>
        <w:div w:id="1451362195">
          <w:marLeft w:val="0"/>
          <w:marRight w:val="0"/>
          <w:marTop w:val="0"/>
          <w:marBottom w:val="0"/>
          <w:divBdr>
            <w:top w:val="none" w:sz="0" w:space="0" w:color="auto"/>
            <w:left w:val="none" w:sz="0" w:space="0" w:color="auto"/>
            <w:bottom w:val="none" w:sz="0" w:space="0" w:color="auto"/>
            <w:right w:val="none" w:sz="0" w:space="0" w:color="auto"/>
          </w:divBdr>
        </w:div>
        <w:div w:id="756482701">
          <w:marLeft w:val="0"/>
          <w:marRight w:val="0"/>
          <w:marTop w:val="0"/>
          <w:marBottom w:val="0"/>
          <w:divBdr>
            <w:top w:val="none" w:sz="0" w:space="0" w:color="auto"/>
            <w:left w:val="none" w:sz="0" w:space="0" w:color="auto"/>
            <w:bottom w:val="none" w:sz="0" w:space="0" w:color="auto"/>
            <w:right w:val="none" w:sz="0" w:space="0" w:color="auto"/>
          </w:divBdr>
        </w:div>
        <w:div w:id="1896818636">
          <w:marLeft w:val="0"/>
          <w:marRight w:val="0"/>
          <w:marTop w:val="0"/>
          <w:marBottom w:val="0"/>
          <w:divBdr>
            <w:top w:val="none" w:sz="0" w:space="0" w:color="auto"/>
            <w:left w:val="none" w:sz="0" w:space="0" w:color="auto"/>
            <w:bottom w:val="none" w:sz="0" w:space="0" w:color="auto"/>
            <w:right w:val="none" w:sz="0" w:space="0" w:color="auto"/>
          </w:divBdr>
        </w:div>
      </w:divsChild>
    </w:div>
    <w:div w:id="1301231545">
      <w:bodyDiv w:val="1"/>
      <w:marLeft w:val="0"/>
      <w:marRight w:val="0"/>
      <w:marTop w:val="0"/>
      <w:marBottom w:val="0"/>
      <w:divBdr>
        <w:top w:val="none" w:sz="0" w:space="0" w:color="auto"/>
        <w:left w:val="none" w:sz="0" w:space="0" w:color="auto"/>
        <w:bottom w:val="none" w:sz="0" w:space="0" w:color="auto"/>
        <w:right w:val="none" w:sz="0" w:space="0" w:color="auto"/>
      </w:divBdr>
      <w:divsChild>
        <w:div w:id="918515055">
          <w:marLeft w:val="0"/>
          <w:marRight w:val="0"/>
          <w:marTop w:val="0"/>
          <w:marBottom w:val="0"/>
          <w:divBdr>
            <w:top w:val="none" w:sz="0" w:space="0" w:color="auto"/>
            <w:left w:val="none" w:sz="0" w:space="0" w:color="auto"/>
            <w:bottom w:val="none" w:sz="0" w:space="0" w:color="auto"/>
            <w:right w:val="none" w:sz="0" w:space="0" w:color="auto"/>
          </w:divBdr>
        </w:div>
        <w:div w:id="1662464535">
          <w:marLeft w:val="0"/>
          <w:marRight w:val="0"/>
          <w:marTop w:val="0"/>
          <w:marBottom w:val="0"/>
          <w:divBdr>
            <w:top w:val="none" w:sz="0" w:space="0" w:color="auto"/>
            <w:left w:val="none" w:sz="0" w:space="0" w:color="auto"/>
            <w:bottom w:val="none" w:sz="0" w:space="0" w:color="auto"/>
            <w:right w:val="none" w:sz="0" w:space="0" w:color="auto"/>
          </w:divBdr>
        </w:div>
        <w:div w:id="892890693">
          <w:marLeft w:val="0"/>
          <w:marRight w:val="0"/>
          <w:marTop w:val="0"/>
          <w:marBottom w:val="0"/>
          <w:divBdr>
            <w:top w:val="none" w:sz="0" w:space="0" w:color="auto"/>
            <w:left w:val="none" w:sz="0" w:space="0" w:color="auto"/>
            <w:bottom w:val="none" w:sz="0" w:space="0" w:color="auto"/>
            <w:right w:val="none" w:sz="0" w:space="0" w:color="auto"/>
          </w:divBdr>
        </w:div>
        <w:div w:id="69861665">
          <w:marLeft w:val="0"/>
          <w:marRight w:val="0"/>
          <w:marTop w:val="0"/>
          <w:marBottom w:val="0"/>
          <w:divBdr>
            <w:top w:val="none" w:sz="0" w:space="0" w:color="auto"/>
            <w:left w:val="none" w:sz="0" w:space="0" w:color="auto"/>
            <w:bottom w:val="none" w:sz="0" w:space="0" w:color="auto"/>
            <w:right w:val="none" w:sz="0" w:space="0" w:color="auto"/>
          </w:divBdr>
        </w:div>
        <w:div w:id="1518345458">
          <w:marLeft w:val="0"/>
          <w:marRight w:val="0"/>
          <w:marTop w:val="0"/>
          <w:marBottom w:val="0"/>
          <w:divBdr>
            <w:top w:val="none" w:sz="0" w:space="0" w:color="auto"/>
            <w:left w:val="none" w:sz="0" w:space="0" w:color="auto"/>
            <w:bottom w:val="none" w:sz="0" w:space="0" w:color="auto"/>
            <w:right w:val="none" w:sz="0" w:space="0" w:color="auto"/>
          </w:divBdr>
        </w:div>
        <w:div w:id="1845363881">
          <w:marLeft w:val="0"/>
          <w:marRight w:val="0"/>
          <w:marTop w:val="0"/>
          <w:marBottom w:val="0"/>
          <w:divBdr>
            <w:top w:val="none" w:sz="0" w:space="0" w:color="auto"/>
            <w:left w:val="none" w:sz="0" w:space="0" w:color="auto"/>
            <w:bottom w:val="none" w:sz="0" w:space="0" w:color="auto"/>
            <w:right w:val="none" w:sz="0" w:space="0" w:color="auto"/>
          </w:divBdr>
        </w:div>
        <w:div w:id="1121074681">
          <w:marLeft w:val="0"/>
          <w:marRight w:val="0"/>
          <w:marTop w:val="0"/>
          <w:marBottom w:val="0"/>
          <w:divBdr>
            <w:top w:val="none" w:sz="0" w:space="0" w:color="auto"/>
            <w:left w:val="none" w:sz="0" w:space="0" w:color="auto"/>
            <w:bottom w:val="none" w:sz="0" w:space="0" w:color="auto"/>
            <w:right w:val="none" w:sz="0" w:space="0" w:color="auto"/>
          </w:divBdr>
        </w:div>
        <w:div w:id="75639188">
          <w:marLeft w:val="0"/>
          <w:marRight w:val="0"/>
          <w:marTop w:val="0"/>
          <w:marBottom w:val="0"/>
          <w:divBdr>
            <w:top w:val="none" w:sz="0" w:space="0" w:color="auto"/>
            <w:left w:val="none" w:sz="0" w:space="0" w:color="auto"/>
            <w:bottom w:val="none" w:sz="0" w:space="0" w:color="auto"/>
            <w:right w:val="none" w:sz="0" w:space="0" w:color="auto"/>
          </w:divBdr>
        </w:div>
        <w:div w:id="853227424">
          <w:marLeft w:val="0"/>
          <w:marRight w:val="0"/>
          <w:marTop w:val="0"/>
          <w:marBottom w:val="0"/>
          <w:divBdr>
            <w:top w:val="none" w:sz="0" w:space="0" w:color="auto"/>
            <w:left w:val="none" w:sz="0" w:space="0" w:color="auto"/>
            <w:bottom w:val="none" w:sz="0" w:space="0" w:color="auto"/>
            <w:right w:val="none" w:sz="0" w:space="0" w:color="auto"/>
          </w:divBdr>
        </w:div>
        <w:div w:id="9768679">
          <w:marLeft w:val="0"/>
          <w:marRight w:val="0"/>
          <w:marTop w:val="0"/>
          <w:marBottom w:val="0"/>
          <w:divBdr>
            <w:top w:val="none" w:sz="0" w:space="0" w:color="auto"/>
            <w:left w:val="none" w:sz="0" w:space="0" w:color="auto"/>
            <w:bottom w:val="none" w:sz="0" w:space="0" w:color="auto"/>
            <w:right w:val="none" w:sz="0" w:space="0" w:color="auto"/>
          </w:divBdr>
        </w:div>
        <w:div w:id="1394963339">
          <w:marLeft w:val="0"/>
          <w:marRight w:val="0"/>
          <w:marTop w:val="0"/>
          <w:marBottom w:val="0"/>
          <w:divBdr>
            <w:top w:val="none" w:sz="0" w:space="0" w:color="auto"/>
            <w:left w:val="none" w:sz="0" w:space="0" w:color="auto"/>
            <w:bottom w:val="none" w:sz="0" w:space="0" w:color="auto"/>
            <w:right w:val="none" w:sz="0" w:space="0" w:color="auto"/>
          </w:divBdr>
        </w:div>
        <w:div w:id="1144742032">
          <w:marLeft w:val="0"/>
          <w:marRight w:val="0"/>
          <w:marTop w:val="0"/>
          <w:marBottom w:val="0"/>
          <w:divBdr>
            <w:top w:val="none" w:sz="0" w:space="0" w:color="auto"/>
            <w:left w:val="none" w:sz="0" w:space="0" w:color="auto"/>
            <w:bottom w:val="none" w:sz="0" w:space="0" w:color="auto"/>
            <w:right w:val="none" w:sz="0" w:space="0" w:color="auto"/>
          </w:divBdr>
        </w:div>
        <w:div w:id="716710179">
          <w:marLeft w:val="0"/>
          <w:marRight w:val="0"/>
          <w:marTop w:val="0"/>
          <w:marBottom w:val="0"/>
          <w:divBdr>
            <w:top w:val="none" w:sz="0" w:space="0" w:color="auto"/>
            <w:left w:val="none" w:sz="0" w:space="0" w:color="auto"/>
            <w:bottom w:val="none" w:sz="0" w:space="0" w:color="auto"/>
            <w:right w:val="none" w:sz="0" w:space="0" w:color="auto"/>
          </w:divBdr>
        </w:div>
        <w:div w:id="1376655396">
          <w:marLeft w:val="0"/>
          <w:marRight w:val="0"/>
          <w:marTop w:val="0"/>
          <w:marBottom w:val="0"/>
          <w:divBdr>
            <w:top w:val="none" w:sz="0" w:space="0" w:color="auto"/>
            <w:left w:val="none" w:sz="0" w:space="0" w:color="auto"/>
            <w:bottom w:val="none" w:sz="0" w:space="0" w:color="auto"/>
            <w:right w:val="none" w:sz="0" w:space="0" w:color="auto"/>
          </w:divBdr>
        </w:div>
        <w:div w:id="535191367">
          <w:marLeft w:val="0"/>
          <w:marRight w:val="0"/>
          <w:marTop w:val="0"/>
          <w:marBottom w:val="0"/>
          <w:divBdr>
            <w:top w:val="none" w:sz="0" w:space="0" w:color="auto"/>
            <w:left w:val="none" w:sz="0" w:space="0" w:color="auto"/>
            <w:bottom w:val="none" w:sz="0" w:space="0" w:color="auto"/>
            <w:right w:val="none" w:sz="0" w:space="0" w:color="auto"/>
          </w:divBdr>
        </w:div>
        <w:div w:id="1523977172">
          <w:marLeft w:val="0"/>
          <w:marRight w:val="0"/>
          <w:marTop w:val="0"/>
          <w:marBottom w:val="0"/>
          <w:divBdr>
            <w:top w:val="none" w:sz="0" w:space="0" w:color="auto"/>
            <w:left w:val="none" w:sz="0" w:space="0" w:color="auto"/>
            <w:bottom w:val="none" w:sz="0" w:space="0" w:color="auto"/>
            <w:right w:val="none" w:sz="0" w:space="0" w:color="auto"/>
          </w:divBdr>
        </w:div>
      </w:divsChild>
    </w:div>
    <w:div w:id="1620337884">
      <w:bodyDiv w:val="1"/>
      <w:marLeft w:val="0"/>
      <w:marRight w:val="0"/>
      <w:marTop w:val="0"/>
      <w:marBottom w:val="0"/>
      <w:divBdr>
        <w:top w:val="none" w:sz="0" w:space="0" w:color="auto"/>
        <w:left w:val="none" w:sz="0" w:space="0" w:color="auto"/>
        <w:bottom w:val="none" w:sz="0" w:space="0" w:color="auto"/>
        <w:right w:val="none" w:sz="0" w:space="0" w:color="auto"/>
      </w:divBdr>
      <w:divsChild>
        <w:div w:id="1678651191">
          <w:marLeft w:val="0"/>
          <w:marRight w:val="0"/>
          <w:marTop w:val="0"/>
          <w:marBottom w:val="0"/>
          <w:divBdr>
            <w:top w:val="none" w:sz="0" w:space="0" w:color="auto"/>
            <w:left w:val="none" w:sz="0" w:space="0" w:color="auto"/>
            <w:bottom w:val="none" w:sz="0" w:space="0" w:color="auto"/>
            <w:right w:val="none" w:sz="0" w:space="0" w:color="auto"/>
          </w:divBdr>
        </w:div>
        <w:div w:id="1754543044">
          <w:marLeft w:val="0"/>
          <w:marRight w:val="0"/>
          <w:marTop w:val="0"/>
          <w:marBottom w:val="0"/>
          <w:divBdr>
            <w:top w:val="none" w:sz="0" w:space="0" w:color="auto"/>
            <w:left w:val="none" w:sz="0" w:space="0" w:color="auto"/>
            <w:bottom w:val="none" w:sz="0" w:space="0" w:color="auto"/>
            <w:right w:val="none" w:sz="0" w:space="0" w:color="auto"/>
          </w:divBdr>
        </w:div>
        <w:div w:id="1811484952">
          <w:marLeft w:val="0"/>
          <w:marRight w:val="0"/>
          <w:marTop w:val="0"/>
          <w:marBottom w:val="0"/>
          <w:divBdr>
            <w:top w:val="none" w:sz="0" w:space="0" w:color="auto"/>
            <w:left w:val="none" w:sz="0" w:space="0" w:color="auto"/>
            <w:bottom w:val="none" w:sz="0" w:space="0" w:color="auto"/>
            <w:right w:val="none" w:sz="0" w:space="0" w:color="auto"/>
          </w:divBdr>
        </w:div>
        <w:div w:id="1645740118">
          <w:marLeft w:val="0"/>
          <w:marRight w:val="0"/>
          <w:marTop w:val="0"/>
          <w:marBottom w:val="0"/>
          <w:divBdr>
            <w:top w:val="none" w:sz="0" w:space="0" w:color="auto"/>
            <w:left w:val="none" w:sz="0" w:space="0" w:color="auto"/>
            <w:bottom w:val="none" w:sz="0" w:space="0" w:color="auto"/>
            <w:right w:val="none" w:sz="0" w:space="0" w:color="auto"/>
          </w:divBdr>
        </w:div>
      </w:divsChild>
    </w:div>
    <w:div w:id="1675916945">
      <w:bodyDiv w:val="1"/>
      <w:marLeft w:val="0"/>
      <w:marRight w:val="0"/>
      <w:marTop w:val="0"/>
      <w:marBottom w:val="0"/>
      <w:divBdr>
        <w:top w:val="none" w:sz="0" w:space="0" w:color="auto"/>
        <w:left w:val="none" w:sz="0" w:space="0" w:color="auto"/>
        <w:bottom w:val="none" w:sz="0" w:space="0" w:color="auto"/>
        <w:right w:val="none" w:sz="0" w:space="0" w:color="auto"/>
      </w:divBdr>
      <w:divsChild>
        <w:div w:id="1488016418">
          <w:marLeft w:val="0"/>
          <w:marRight w:val="0"/>
          <w:marTop w:val="0"/>
          <w:marBottom w:val="0"/>
          <w:divBdr>
            <w:top w:val="none" w:sz="0" w:space="0" w:color="auto"/>
            <w:left w:val="none" w:sz="0" w:space="0" w:color="auto"/>
            <w:bottom w:val="none" w:sz="0" w:space="0" w:color="auto"/>
            <w:right w:val="none" w:sz="0" w:space="0" w:color="auto"/>
          </w:divBdr>
        </w:div>
        <w:div w:id="1247763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o.int/teams/global-tuberculosis-programme/data" TargetMode="External"/><Relationship Id="rId18" Type="http://schemas.openxmlformats.org/officeDocument/2006/relationships/fontTable" Target="fontTable.xml"/><Relationship Id="R97045925224d4735"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ho.int/teams/global-tuberculosis-programme/dat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who.int/publications/i/item/978924150534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9789241505345" TargetMode="External"/><Relationship Id="rId5" Type="http://schemas.openxmlformats.org/officeDocument/2006/relationships/numbering" Target="numbering.xml"/><Relationship Id="rId15" Type="http://schemas.openxmlformats.org/officeDocument/2006/relationships/hyperlink" Target="https://www.who.int/teams/global-tuberculosis-programme/data"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teams/global-tuberculosis-programm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2d2d782-0088-4826-96df-71eba56e6d2e"/>
    <ds:schemaRef ds:uri="http://schemas.microsoft.com/office/2006/documentManagement/types"/>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DCE1CD-F2B5-43D6-955C-740367CE3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2021-01-29T17:23:00Z</dcterms:created>
  <dcterms:modified xsi:type="dcterms:W3CDTF">2021-01-29T17:23:00Z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_AdHocReviewCycleID">
    <vt:i4>-753217918</vt:i4>
  </property>
  <property fmtid="{D5CDD505-2E9C-101B-9397-08002B2CF9AE}" pid="4" name="_NewReviewCycle">
    <vt:lpwstr/>
  </property>
  <property fmtid="{D5CDD505-2E9C-101B-9397-08002B2CF9AE}" pid="5" name="_EmailSubject">
    <vt:lpwstr>Tuberculosis metadata update request (indicator 3.3.2) for the Global SDG Indicators Database</vt:lpwstr>
  </property>
  <property fmtid="{D5CDD505-2E9C-101B-9397-08002B2CF9AE}" pid="6" name="_AuthorEmail">
    <vt:lpwstr>timimih@who.int</vt:lpwstr>
  </property>
  <property fmtid="{D5CDD505-2E9C-101B-9397-08002B2CF9AE}" pid="7" name="_AuthorEmailDisplayName">
    <vt:lpwstr>TIMIMI, Hazim</vt:lpwstr>
  </property>
  <property fmtid="{D5CDD505-2E9C-101B-9397-08002B2CF9AE}" pid="8" name="_ReviewingToolsShownOnce">
    <vt:lpwstr/>
  </property>
</Properties>
</file>