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2D05F9F8" w14:textId="77777777" w:rsidR="00242247" w:rsidRDefault="00242247"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Goal 3: Ensure healthy lives and promote well-being for all at all ages</w:t>
      </w:r>
      <w:r>
        <w:rPr>
          <w:rStyle w:val="eop"/>
          <w:rFonts w:ascii="Calibri" w:hAnsi="Calibri" w:cs="Calibri"/>
          <w:color w:val="333333"/>
          <w:sz w:val="21"/>
          <w:szCs w:val="21"/>
        </w:rPr>
        <w:t> </w:t>
      </w:r>
    </w:p>
    <w:p w14:paraId="084142D2" w14:textId="1289015D" w:rsidR="00D24330" w:rsidRPr="00A96255" w:rsidRDefault="00D24330" w:rsidP="00D24330">
      <w:pPr>
        <w:pStyle w:val="MIndHeader"/>
      </w:pPr>
      <w:r w:rsidRPr="00A96255">
        <w:t>0.b. Target</w:t>
      </w:r>
    </w:p>
    <w:p w14:paraId="06AB587A" w14:textId="77777777" w:rsidR="00242247" w:rsidRDefault="00242247"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shd w:val="clear" w:color="auto" w:fill="F5F5F5"/>
        </w:rPr>
        <w:t>Target 3.3: By 2030, end the epidemics of AIDS, tuberculosis, malaria and neglected tropical diseases and combat hepatitis, water-borne diseases and other communicable diseases</w:t>
      </w:r>
      <w:r>
        <w:rPr>
          <w:rStyle w:val="eop"/>
          <w:rFonts w:ascii="Calibri" w:hAnsi="Calibri" w:cs="Calibri"/>
          <w:color w:val="333333"/>
          <w:sz w:val="21"/>
          <w:szCs w:val="21"/>
        </w:rPr>
        <w:t> </w:t>
      </w:r>
    </w:p>
    <w:p w14:paraId="3E67E7E0" w14:textId="3C28DCCC" w:rsidR="00D24330" w:rsidRPr="00A96255" w:rsidRDefault="00D24330" w:rsidP="00D24330">
      <w:pPr>
        <w:pStyle w:val="MIndHeader"/>
      </w:pPr>
      <w:r w:rsidRPr="00A96255">
        <w:t>0.c. Indicator</w:t>
      </w:r>
    </w:p>
    <w:p w14:paraId="32CC3642" w14:textId="77777777" w:rsidR="00242247" w:rsidRDefault="00242247" w:rsidP="00D24330">
      <w:pPr>
        <w:pStyle w:val="MIndHeader"/>
        <w:rPr>
          <w:color w:val="333333"/>
          <w:sz w:val="21"/>
          <w:szCs w:val="21"/>
        </w:rPr>
      </w:pPr>
      <w:r w:rsidRPr="00242247">
        <w:rPr>
          <w:color w:val="333333"/>
          <w:sz w:val="21"/>
          <w:szCs w:val="21"/>
        </w:rPr>
        <w:t xml:space="preserve">Indicator 3.3.3: Malaria incidence per 1,000 population </w:t>
      </w:r>
    </w:p>
    <w:p w14:paraId="37E5E4F6" w14:textId="72B8B387" w:rsidR="00D24330" w:rsidRPr="00A96255" w:rsidRDefault="00D24330" w:rsidP="00D24330">
      <w:pPr>
        <w:pStyle w:val="MIndHeader"/>
      </w:pPr>
      <w:r w:rsidRPr="00A96255">
        <w:t>0.d. Series</w:t>
      </w:r>
    </w:p>
    <w:p w14:paraId="771888BA" w14:textId="24CD617D"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7621BD1E" w:rsidR="00D24330" w:rsidRPr="00A96255" w:rsidRDefault="000C3DEF" w:rsidP="00D24330">
      <w:pPr>
        <w:pStyle w:val="MGTHeader"/>
      </w:pPr>
      <w:r>
        <w:t>February 2021</w:t>
      </w:r>
    </w:p>
    <w:p w14:paraId="415C9FF1" w14:textId="77777777" w:rsidR="00D24330" w:rsidRPr="00A96255" w:rsidRDefault="00D24330" w:rsidP="00D24330">
      <w:pPr>
        <w:pStyle w:val="MIndHeader"/>
      </w:pPr>
      <w:r w:rsidRPr="00A96255">
        <w:t>0.f. Related indicators</w:t>
      </w:r>
    </w:p>
    <w:p w14:paraId="077BC49E" w14:textId="77777777" w:rsidR="00D24330" w:rsidRPr="00A96255" w:rsidRDefault="00D24330" w:rsidP="00D24330">
      <w:pPr>
        <w:pStyle w:val="MIndHeader"/>
      </w:pPr>
      <w:r w:rsidRPr="00A96255">
        <w:t>0.g. International organisations(s) responsible for global monitoring</w:t>
      </w:r>
    </w:p>
    <w:p w14:paraId="19F29921" w14:textId="3A73C272" w:rsidR="008D1D39" w:rsidRPr="00501FAD" w:rsidRDefault="00242247" w:rsidP="00501FAD">
      <w:pPr>
        <w:pStyle w:val="MGTHeader"/>
        <w:rPr>
          <w:rStyle w:val="eop"/>
        </w:rPr>
      </w:pPr>
      <w:r w:rsidRPr="00501FAD">
        <w:rPr>
          <w:rStyle w:val="normaltextrun"/>
        </w:rPr>
        <w:t>Global Malaria Programme at World Health Organization (WHO)</w:t>
      </w:r>
      <w:r w:rsidRPr="00501FAD">
        <w:rPr>
          <w:rStyle w:val="eop"/>
        </w:rPr>
        <w:t> </w:t>
      </w:r>
    </w:p>
    <w:p w14:paraId="05F7594C" w14:textId="77777777" w:rsidR="00242247" w:rsidRPr="00A96255" w:rsidRDefault="00242247"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3E6CFFB1" w:rsidR="00576CFA" w:rsidRDefault="00501FAD" w:rsidP="00576CFA">
      <w:pPr>
        <w:pStyle w:val="MText"/>
      </w:pPr>
      <w:r w:rsidRPr="00501FAD">
        <w:t>Global Malaria Programme at World Health Organization (WHO)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01DB79D" w14:textId="77777777" w:rsidR="004D46B2" w:rsidRDefault="004D46B2" w:rsidP="004D46B2">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7F19DABF" w14:textId="77777777" w:rsidR="004D46B2" w:rsidRDefault="004D46B2" w:rsidP="004D46B2">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Incidence of malaria is defined as the number of new cases of malaria per 1</w:t>
      </w:r>
      <w:r>
        <w:rPr>
          <w:rStyle w:val="normaltextrun"/>
          <w:color w:val="4A4A4A"/>
          <w:sz w:val="21"/>
          <w:szCs w:val="21"/>
          <w:lang w:val="en-GB"/>
        </w:rPr>
        <w:t>,</w:t>
      </w:r>
      <w:r>
        <w:rPr>
          <w:rStyle w:val="normaltextrun"/>
          <w:rFonts w:ascii="Calibri" w:hAnsi="Calibri" w:cs="Calibri"/>
          <w:color w:val="4A4A4A"/>
          <w:sz w:val="21"/>
          <w:szCs w:val="21"/>
          <w:lang w:val="en-GB"/>
        </w:rPr>
        <w:t>000 people at risk each year</w:t>
      </w:r>
      <w:r>
        <w:rPr>
          <w:rStyle w:val="normaltextrun"/>
          <w:color w:val="4A4A4A"/>
          <w:sz w:val="21"/>
          <w:szCs w:val="21"/>
          <w:lang w:val="en-GB"/>
        </w:rPr>
        <w:t>.</w:t>
      </w:r>
      <w:r>
        <w:rPr>
          <w:rStyle w:val="eop"/>
          <w:color w:val="4A4A4A"/>
          <w:sz w:val="21"/>
          <w:szCs w:val="21"/>
        </w:rPr>
        <w:t> </w:t>
      </w:r>
    </w:p>
    <w:p w14:paraId="1DE9D3FD" w14:textId="77777777" w:rsidR="004D46B2" w:rsidRDefault="004D46B2" w:rsidP="004D46B2">
      <w:pPr>
        <w:pStyle w:val="paragraph"/>
        <w:shd w:val="clear" w:color="auto" w:fill="FFFFFF"/>
        <w:spacing w:before="0" w:beforeAutospacing="0" w:after="0" w:afterAutospacing="0"/>
        <w:textAlignment w:val="baseline"/>
        <w:rPr>
          <w:sz w:val="21"/>
          <w:szCs w:val="21"/>
        </w:rPr>
      </w:pPr>
      <w:r>
        <w:rPr>
          <w:rStyle w:val="eop"/>
          <w:color w:val="4A4A4A"/>
          <w:sz w:val="21"/>
          <w:szCs w:val="21"/>
        </w:rPr>
        <w:t> </w:t>
      </w:r>
    </w:p>
    <w:p w14:paraId="1D5367FD" w14:textId="32CB3BF5" w:rsidR="004D46B2" w:rsidRDefault="004D46B2" w:rsidP="000C3DEF">
      <w:pPr>
        <w:pStyle w:val="paragraph"/>
        <w:shd w:val="clear" w:color="auto" w:fill="FFFFFF"/>
        <w:spacing w:before="0" w:beforeAutospacing="0" w:after="0" w:afterAutospacing="0"/>
        <w:textAlignment w:val="baseline"/>
        <w:rPr>
          <w:sz w:val="21"/>
          <w:szCs w:val="21"/>
        </w:rPr>
      </w:pPr>
      <w:r>
        <w:rPr>
          <w:rStyle w:val="eop"/>
          <w:color w:val="4A4A4A"/>
          <w:sz w:val="21"/>
          <w:szCs w:val="21"/>
        </w:rPr>
        <w:t> </w:t>
      </w: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23C9162D" w14:textId="77777777" w:rsidR="004D46B2" w:rsidRDefault="004D46B2" w:rsidP="004D46B2">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Case of malaria is defined as the occurrence of malaria infection in a person whom the presence of malaria parasites in the blood has been confirmed by a diagnostic test. The population considered is the population at risk of the disease.</w:t>
      </w:r>
      <w:r>
        <w:rPr>
          <w:rStyle w:val="eop"/>
          <w:rFonts w:ascii="Calibri" w:hAnsi="Calibri" w:cs="Calibri"/>
          <w:color w:val="4A4A4A"/>
          <w:sz w:val="21"/>
          <w:szCs w:val="21"/>
        </w:rPr>
        <w:t> </w:t>
      </w:r>
    </w:p>
    <w:p w14:paraId="6E54D3D6" w14:textId="09FC35D8" w:rsidR="00EC2915" w:rsidRPr="00A96255" w:rsidRDefault="00EC2915" w:rsidP="00576CFA">
      <w:pPr>
        <w:pStyle w:val="MText"/>
      </w:pPr>
    </w:p>
    <w:p w14:paraId="0DA4B1F7" w14:textId="45C3E8DE" w:rsidR="00A15D7D" w:rsidRPr="00A15D7D" w:rsidRDefault="00576CFA" w:rsidP="00A15D7D">
      <w:pPr>
        <w:pStyle w:val="MHeader2"/>
      </w:pPr>
      <w:r w:rsidRPr="00A96255">
        <w:t>2.b.</w:t>
      </w:r>
      <w:r w:rsidR="008B0AC7" w:rsidRPr="00A96255">
        <w:t xml:space="preserve"> Unit of measure</w:t>
      </w:r>
    </w:p>
    <w:p w14:paraId="548E9AAA" w14:textId="0DF6F1AD" w:rsidR="00EC2915" w:rsidRDefault="00A15D7D" w:rsidP="00576CFA">
      <w:pPr>
        <w:pStyle w:val="MText"/>
      </w:pPr>
      <w:r>
        <w:t xml:space="preserve">Cases per 1000 population at risk. </w:t>
      </w:r>
    </w:p>
    <w:p w14:paraId="55A230C5" w14:textId="77777777" w:rsidR="00A15D7D" w:rsidRPr="00A96255" w:rsidRDefault="00A15D7D" w:rsidP="00576CFA">
      <w:pPr>
        <w:pStyle w:val="MText"/>
      </w:pPr>
    </w:p>
    <w:p w14:paraId="651AA7AC" w14:textId="5144B8C4" w:rsidR="00DA615C" w:rsidRPr="00A96255" w:rsidRDefault="008B0AC7" w:rsidP="00F719A8">
      <w:pPr>
        <w:pStyle w:val="MHeader2"/>
      </w:pPr>
      <w:r w:rsidRPr="00A96255">
        <w:t>2.c. Classifications</w:t>
      </w:r>
    </w:p>
    <w:p w14:paraId="3D384BA8" w14:textId="16BE6770" w:rsidR="00EC2915" w:rsidRDefault="00A15D7D" w:rsidP="00576CFA">
      <w:pPr>
        <w:pStyle w:val="MText"/>
      </w:pPr>
      <w:r>
        <w:t>N.A.</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2D8C8BD" w14:textId="77777777" w:rsidR="004D46B2" w:rsidRDefault="004D46B2" w:rsidP="004D46B2">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Cases reported by the NMCP are obtained from each country surveillance system. This include among others information on the number of suspected cases, number of tested cases, number of positive cases by method of detection and by species as well as number of health facilities that report those cases. This information is summarized in a DHIS2 application developed for this purpose. Data for representative household surveys are publicly available and included National Demographic Household Surveys (DHS) or Malaria Indicator Survey (MIS).</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124AC708" w:rsidR="00576CFA" w:rsidRPr="00A96255" w:rsidRDefault="004D46B2" w:rsidP="00576CFA">
      <w:pPr>
        <w:pStyle w:val="MText"/>
      </w:pPr>
      <w:r>
        <w:rPr>
          <w:rStyle w:val="normaltextrun"/>
          <w:rFonts w:ascii="Calibri" w:hAnsi="Calibri" w:cs="Calibri"/>
          <w:shd w:val="clear" w:color="auto" w:fill="FFFFFF"/>
        </w:rPr>
        <w:t>The official counterpart for each country is the National Malaria Control Program at the Ministry of Health.</w:t>
      </w:r>
      <w:r>
        <w:rPr>
          <w:rStyle w:val="eop"/>
          <w:rFonts w:ascii="Calibri" w:hAnsi="Calibri" w:cs="Calibri"/>
        </w:rPr>
        <w:t>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5FB1ABB1" w:rsidR="00EC2915" w:rsidRDefault="00176B6D" w:rsidP="00576CFA">
      <w:pPr>
        <w:pStyle w:val="MText"/>
        <w:rPr>
          <w:rStyle w:val="eop"/>
          <w:rFonts w:ascii="Calibri" w:hAnsi="Calibri" w:cs="Calibri"/>
        </w:rPr>
      </w:pPr>
      <w:r>
        <w:rPr>
          <w:rStyle w:val="normaltextrun"/>
          <w:rFonts w:ascii="Calibri" w:hAnsi="Calibri" w:cs="Calibri"/>
          <w:shd w:val="clear" w:color="auto" w:fill="FFFFFF"/>
        </w:rPr>
        <w:t>Data is collected every year. </w:t>
      </w:r>
      <w:r>
        <w:rPr>
          <w:rStyle w:val="eop"/>
          <w:rFonts w:ascii="Calibri" w:hAnsi="Calibri" w:cs="Calibri"/>
        </w:rPr>
        <w:t> </w:t>
      </w:r>
    </w:p>
    <w:p w14:paraId="3E147BC5" w14:textId="77777777" w:rsidR="00176B6D" w:rsidRPr="00A96255" w:rsidRDefault="00176B6D" w:rsidP="00576CFA">
      <w:pPr>
        <w:pStyle w:val="MText"/>
      </w:pPr>
    </w:p>
    <w:p w14:paraId="7D466604" w14:textId="674844F0" w:rsidR="00E46D96" w:rsidRPr="00F719A8" w:rsidRDefault="00E46D96" w:rsidP="00F719A8">
      <w:pPr>
        <w:pStyle w:val="MHeader2"/>
      </w:pPr>
      <w:r w:rsidRPr="00A96255">
        <w:t>3.d. Data release calendar</w:t>
      </w:r>
    </w:p>
    <w:p w14:paraId="64C749BD" w14:textId="3CFADD26" w:rsidR="00EC2915" w:rsidRDefault="00176B6D" w:rsidP="00576CFA">
      <w:pPr>
        <w:pStyle w:val="MText"/>
        <w:rPr>
          <w:rStyle w:val="eop"/>
          <w:rFonts w:ascii="Calibri" w:hAnsi="Calibri" w:cs="Calibri"/>
        </w:rPr>
      </w:pPr>
      <w:r>
        <w:rPr>
          <w:rStyle w:val="normaltextrun"/>
          <w:rFonts w:ascii="Calibri" w:hAnsi="Calibri" w:cs="Calibri"/>
          <w:shd w:val="clear" w:color="auto" w:fill="FFFFFF"/>
        </w:rPr>
        <w:t>Data is release</w:t>
      </w:r>
      <w:r w:rsidR="00A15D7D">
        <w:rPr>
          <w:rStyle w:val="normaltextrun"/>
          <w:rFonts w:ascii="Calibri" w:hAnsi="Calibri" w:cs="Calibri"/>
          <w:shd w:val="clear" w:color="auto" w:fill="FFFFFF"/>
        </w:rPr>
        <w:t>d</w:t>
      </w:r>
      <w:r>
        <w:rPr>
          <w:rStyle w:val="normaltextrun"/>
          <w:rFonts w:ascii="Calibri" w:hAnsi="Calibri" w:cs="Calibri"/>
          <w:shd w:val="clear" w:color="auto" w:fill="FFFFFF"/>
        </w:rPr>
        <w:t xml:space="preserve"> </w:t>
      </w:r>
      <w:proofErr w:type="gramStart"/>
      <w:r>
        <w:rPr>
          <w:rStyle w:val="normaltextrun"/>
          <w:rFonts w:ascii="Calibri" w:hAnsi="Calibri" w:cs="Calibri"/>
          <w:shd w:val="clear" w:color="auto" w:fill="FFFFFF"/>
        </w:rPr>
        <w:t>yearly..</w:t>
      </w:r>
      <w:proofErr w:type="gramEnd"/>
      <w:r>
        <w:rPr>
          <w:rStyle w:val="eop"/>
          <w:rFonts w:ascii="Calibri" w:hAnsi="Calibri" w:cs="Calibri"/>
        </w:rPr>
        <w:t> </w:t>
      </w:r>
    </w:p>
    <w:p w14:paraId="63FC4360" w14:textId="77777777" w:rsidR="00176B6D" w:rsidRPr="00A96255" w:rsidRDefault="00176B6D" w:rsidP="00576CFA">
      <w:pPr>
        <w:pStyle w:val="MText"/>
      </w:pPr>
    </w:p>
    <w:p w14:paraId="3A4F3065" w14:textId="3AD52F9D" w:rsidR="00E46D96" w:rsidRPr="00A96255" w:rsidRDefault="00E46D96" w:rsidP="00F719A8">
      <w:pPr>
        <w:pStyle w:val="MHeader2"/>
      </w:pPr>
      <w:r w:rsidRPr="00A96255">
        <w:t>3.e. Data providers</w:t>
      </w:r>
    </w:p>
    <w:p w14:paraId="50A66E64" w14:textId="1C26E708" w:rsidR="00EC2915" w:rsidRDefault="00176B6D" w:rsidP="00576CFA">
      <w:pPr>
        <w:pStyle w:val="MText"/>
        <w:rPr>
          <w:rStyle w:val="eop"/>
          <w:rFonts w:ascii="Calibri" w:hAnsi="Calibri" w:cs="Calibri"/>
        </w:rPr>
      </w:pPr>
      <w:r>
        <w:rPr>
          <w:rStyle w:val="normaltextrun"/>
          <w:rFonts w:ascii="Calibri" w:hAnsi="Calibri" w:cs="Calibri"/>
          <w:shd w:val="clear" w:color="auto" w:fill="FFFFFF"/>
        </w:rPr>
        <w:t>The National Malaria Control Program is the responsible to collect the information at each country.</w:t>
      </w:r>
      <w:r>
        <w:rPr>
          <w:rStyle w:val="eop"/>
          <w:rFonts w:ascii="Calibri" w:hAnsi="Calibri" w:cs="Calibri"/>
        </w:rPr>
        <w:t> </w:t>
      </w:r>
    </w:p>
    <w:p w14:paraId="1B79E4CA" w14:textId="77777777" w:rsidR="00176B6D" w:rsidRPr="00A96255" w:rsidRDefault="00176B6D" w:rsidP="00576CFA">
      <w:pPr>
        <w:pStyle w:val="MText"/>
      </w:pPr>
    </w:p>
    <w:p w14:paraId="30DC8E05" w14:textId="484D6EC2" w:rsidR="00E46D96" w:rsidRPr="00A96255" w:rsidRDefault="00E46D96" w:rsidP="00F719A8">
      <w:pPr>
        <w:pStyle w:val="MHeader2"/>
      </w:pPr>
      <w:r w:rsidRPr="00A96255">
        <w:t>3.f. Data compilers</w:t>
      </w:r>
    </w:p>
    <w:p w14:paraId="5C43435B" w14:textId="61E87265" w:rsidR="00EC2915" w:rsidRDefault="00176B6D" w:rsidP="00576CFA">
      <w:pPr>
        <w:pStyle w:val="MText"/>
        <w:rPr>
          <w:rStyle w:val="eop"/>
          <w:rFonts w:ascii="Calibri" w:hAnsi="Calibri" w:cs="Calibri"/>
        </w:rPr>
      </w:pPr>
      <w:r>
        <w:rPr>
          <w:rStyle w:val="normaltextrun"/>
          <w:rFonts w:ascii="Calibri" w:hAnsi="Calibri" w:cs="Calibri"/>
          <w:shd w:val="clear" w:color="auto" w:fill="FFFFFF"/>
        </w:rPr>
        <w:t>The Surveillance, Monitoring and Evaluation Unit of the Global Malaria Control Programme is the responsible to compile and process all the relevant information. National estimates for some countries are estimated in collaboration with the Oxford University (Malaria Atlas Project).</w:t>
      </w:r>
      <w:r>
        <w:rPr>
          <w:rStyle w:val="eop"/>
          <w:rFonts w:ascii="Calibri" w:hAnsi="Calibri" w:cs="Calibri"/>
        </w:rPr>
        <w:t> </w:t>
      </w:r>
    </w:p>
    <w:p w14:paraId="2D796A94" w14:textId="77777777" w:rsidR="00176B6D" w:rsidRPr="00A96255" w:rsidRDefault="00176B6D" w:rsidP="00576CFA">
      <w:pPr>
        <w:pStyle w:val="MText"/>
      </w:pPr>
      <w:bookmarkStart w:id="5" w:name="_GoBack"/>
      <w:bookmarkEnd w:id="5"/>
    </w:p>
    <w:p w14:paraId="5655E768" w14:textId="5429F32E" w:rsidR="00E46D96" w:rsidRPr="00A96255" w:rsidRDefault="00E46D96" w:rsidP="00F719A8">
      <w:pPr>
        <w:pStyle w:val="MHeader2"/>
      </w:pPr>
      <w:r w:rsidRPr="00A96255">
        <w:t>3.g. Institutional mandate</w:t>
      </w:r>
    </w:p>
    <w:p w14:paraId="5E73A653" w14:textId="2B98F5E0" w:rsidR="00696BD7" w:rsidRPr="00696BD7" w:rsidRDefault="00696BD7" w:rsidP="00696BD7">
      <w:pPr>
        <w:pStyle w:val="MText"/>
      </w:pPr>
      <w:r w:rsidRPr="00696BD7">
        <w:t>The Global technical strategy and targets for malaria 2016–2030 </w:t>
      </w:r>
      <w:r w:rsidRPr="008D12B3">
        <w:rPr>
          <w:lang w:val="en-US"/>
        </w:rPr>
        <w:t>was adopted by the </w:t>
      </w:r>
      <w:r w:rsidRPr="00696BD7">
        <w:t>The 68 World Health Assembly (</w:t>
      </w:r>
      <w:hyperlink r:id="rId11" w:history="1">
        <w:r w:rsidRPr="00696BD7">
          <w:rPr>
            <w:rStyle w:val="Hyperlink"/>
          </w:rPr>
          <w:t>https://apps.who.int/iris/bitstream/handle/10665/253469/A68_R1_REC1-en.pdf?sequence=1&amp;isAllowed=y</w:t>
        </w:r>
      </w:hyperlink>
      <w:r w:rsidRPr="00696BD7">
        <w:t>). The Assembly </w:t>
      </w:r>
      <w:r w:rsidRPr="008D12B3">
        <w:rPr>
          <w:lang w:val="en-US"/>
        </w:rPr>
        <w:t>requested WHO to monitor the progress toward the GTS milestones and targets. The World Malaria Report is the process by which the GTS is monitored by country, WHO region and globally.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32F40713" w14:textId="77777777" w:rsidR="004D46B2" w:rsidRDefault="004D46B2" w:rsidP="004D46B2">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To measure trends in malaria morbidity and to identify locations where the risk of disease is highest. With this information, programmes can respond to unusual trends, such as epidemics, and direct resources to the populations most in need. This data also serves to inform global resource allocation for malaria such as when defining eligibility criteria for Global Fund finance.</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6592CE2" w14:textId="77777777" w:rsidR="00A15D7D" w:rsidRDefault="00A15D7D" w:rsidP="00A15D7D">
      <w:pPr>
        <w:pStyle w:val="paragraph"/>
        <w:shd w:val="clear" w:color="auto" w:fill="FFFFFF"/>
        <w:spacing w:before="0" w:beforeAutospacing="0" w:after="0" w:afterAutospacing="0"/>
        <w:textAlignment w:val="baseline"/>
        <w:rPr>
          <w:sz w:val="21"/>
          <w:szCs w:val="21"/>
        </w:rPr>
      </w:pPr>
      <w:r>
        <w:rPr>
          <w:rStyle w:val="normaltextrun"/>
          <w:rFonts w:ascii="Calibri" w:hAnsi="Calibri" w:cs="Calibri"/>
          <w:color w:val="4A4A4A"/>
          <w:sz w:val="21"/>
          <w:szCs w:val="21"/>
          <w:lang w:val="en-GB"/>
        </w:rPr>
        <w:t>The estimated incidence can differ from the incidence reported by a Ministry of Health which can be affected by:</w:t>
      </w:r>
      <w:r>
        <w:rPr>
          <w:rStyle w:val="eop"/>
          <w:rFonts w:ascii="Calibri" w:hAnsi="Calibri" w:cs="Calibri"/>
          <w:color w:val="4A4A4A"/>
          <w:sz w:val="21"/>
          <w:szCs w:val="21"/>
        </w:rPr>
        <w:t> </w:t>
      </w:r>
    </w:p>
    <w:p w14:paraId="361BD0A4" w14:textId="77777777" w:rsidR="00A15D7D" w:rsidRDefault="00A15D7D" w:rsidP="00A15D7D">
      <w:pPr>
        <w:pStyle w:val="paragraph"/>
        <w:numPr>
          <w:ilvl w:val="0"/>
          <w:numId w:val="5"/>
        </w:numPr>
        <w:shd w:val="clear" w:color="auto" w:fill="FFFFFF"/>
        <w:spacing w:before="0" w:beforeAutospacing="0" w:after="0" w:afterAutospacing="0"/>
        <w:ind w:left="0" w:firstLine="0"/>
        <w:textAlignment w:val="baseline"/>
        <w:rPr>
          <w:sz w:val="21"/>
          <w:szCs w:val="21"/>
        </w:rPr>
      </w:pPr>
      <w:r>
        <w:rPr>
          <w:rStyle w:val="normaltextrun"/>
          <w:rFonts w:ascii="Calibri" w:hAnsi="Calibri" w:cs="Calibri"/>
          <w:color w:val="4A4A4A"/>
          <w:sz w:val="21"/>
          <w:szCs w:val="21"/>
          <w:lang w:val="en-GB"/>
        </w:rPr>
        <w:t>the completeness of reporting: the number of reported cases can be lower than the estimated cases if the percentage of health facilities reporting in a month is less than 100%</w:t>
      </w:r>
      <w:r>
        <w:rPr>
          <w:rStyle w:val="eop"/>
          <w:rFonts w:ascii="Calibri" w:hAnsi="Calibri" w:cs="Calibri"/>
          <w:color w:val="4A4A4A"/>
          <w:sz w:val="21"/>
          <w:szCs w:val="21"/>
        </w:rPr>
        <w:t> </w:t>
      </w:r>
    </w:p>
    <w:p w14:paraId="641FE4B0" w14:textId="77777777" w:rsidR="00A15D7D" w:rsidRDefault="00A15D7D" w:rsidP="00A15D7D">
      <w:pPr>
        <w:pStyle w:val="paragraph"/>
        <w:numPr>
          <w:ilvl w:val="0"/>
          <w:numId w:val="5"/>
        </w:numPr>
        <w:shd w:val="clear" w:color="auto" w:fill="FFFFFF"/>
        <w:spacing w:before="0" w:beforeAutospacing="0" w:after="0" w:afterAutospacing="0"/>
        <w:ind w:left="0" w:firstLine="0"/>
        <w:textAlignment w:val="baseline"/>
        <w:rPr>
          <w:sz w:val="21"/>
          <w:szCs w:val="21"/>
        </w:rPr>
      </w:pPr>
      <w:r>
        <w:rPr>
          <w:rStyle w:val="normaltextrun"/>
          <w:rFonts w:ascii="Calibri" w:hAnsi="Calibri" w:cs="Calibri"/>
          <w:color w:val="4A4A4A"/>
          <w:sz w:val="21"/>
          <w:szCs w:val="21"/>
          <w:lang w:val="en-GB"/>
        </w:rPr>
        <w:t>the extent of malaria diagnostic testing (the number of slides examined or RDTs performed) </w:t>
      </w:r>
      <w:r>
        <w:rPr>
          <w:rStyle w:val="eop"/>
          <w:rFonts w:ascii="Calibri" w:hAnsi="Calibri" w:cs="Calibri"/>
          <w:color w:val="4A4A4A"/>
          <w:sz w:val="21"/>
          <w:szCs w:val="21"/>
        </w:rPr>
        <w:t> </w:t>
      </w:r>
    </w:p>
    <w:p w14:paraId="36952E39" w14:textId="77777777" w:rsidR="00A15D7D" w:rsidRDefault="00A15D7D" w:rsidP="00A15D7D">
      <w:pPr>
        <w:pStyle w:val="paragraph"/>
        <w:numPr>
          <w:ilvl w:val="0"/>
          <w:numId w:val="5"/>
        </w:numPr>
        <w:shd w:val="clear" w:color="auto" w:fill="FFFFFF"/>
        <w:spacing w:before="0" w:beforeAutospacing="0" w:after="0" w:afterAutospacing="0"/>
        <w:ind w:left="0" w:firstLine="0"/>
        <w:textAlignment w:val="baseline"/>
        <w:rPr>
          <w:sz w:val="21"/>
          <w:szCs w:val="21"/>
        </w:rPr>
      </w:pPr>
      <w:r>
        <w:rPr>
          <w:rStyle w:val="normaltextrun"/>
          <w:rFonts w:ascii="Calibri" w:hAnsi="Calibri" w:cs="Calibri"/>
          <w:color w:val="4A4A4A"/>
          <w:sz w:val="21"/>
          <w:szCs w:val="21"/>
          <w:lang w:val="en-GB"/>
        </w:rPr>
        <w:t>the use of private health facilities which are usually not included in reporting systems</w:t>
      </w:r>
      <w:r>
        <w:rPr>
          <w:rStyle w:val="normaltextrun"/>
          <w:color w:val="4A4A4A"/>
          <w:sz w:val="21"/>
          <w:szCs w:val="21"/>
          <w:lang w:val="en-GB"/>
        </w:rPr>
        <w:t>. </w:t>
      </w:r>
      <w:r>
        <w:rPr>
          <w:rStyle w:val="eop"/>
          <w:color w:val="4A4A4A"/>
          <w:sz w:val="21"/>
          <w:szCs w:val="21"/>
        </w:rPr>
        <w:t> </w:t>
      </w:r>
    </w:p>
    <w:p w14:paraId="141B04F8" w14:textId="77777777" w:rsidR="00A15D7D" w:rsidRDefault="00A15D7D" w:rsidP="00A15D7D">
      <w:pPr>
        <w:pStyle w:val="paragraph"/>
        <w:numPr>
          <w:ilvl w:val="0"/>
          <w:numId w:val="6"/>
        </w:numPr>
        <w:shd w:val="clear" w:color="auto" w:fill="FFFFFF"/>
        <w:spacing w:before="0" w:beforeAutospacing="0" w:after="0" w:afterAutospacing="0"/>
        <w:ind w:left="0" w:firstLine="0"/>
        <w:textAlignment w:val="baseline"/>
        <w:rPr>
          <w:sz w:val="21"/>
          <w:szCs w:val="21"/>
        </w:rPr>
      </w:pPr>
      <w:r>
        <w:rPr>
          <w:rStyle w:val="normaltextrun"/>
          <w:rFonts w:ascii="Calibri" w:hAnsi="Calibri" w:cs="Calibri"/>
          <w:color w:val="4A4A4A"/>
          <w:sz w:val="21"/>
          <w:szCs w:val="21"/>
          <w:lang w:val="en-GB"/>
        </w:rPr>
        <w:t>the indicator is estimated only where malaria transmission occurs</w:t>
      </w:r>
      <w:r>
        <w:rPr>
          <w:rStyle w:val="normaltextrun"/>
          <w:color w:val="4A4A4A"/>
          <w:sz w:val="21"/>
          <w:szCs w:val="21"/>
          <w:lang w:val="en-GB"/>
        </w:rPr>
        <w:t>.</w:t>
      </w:r>
      <w:r>
        <w:rPr>
          <w:rStyle w:val="eop"/>
          <w:color w:val="4A4A4A"/>
          <w:sz w:val="21"/>
          <w:szCs w:val="21"/>
        </w:rPr>
        <w:t> </w:t>
      </w:r>
    </w:p>
    <w:p w14:paraId="026F09A2" w14:textId="77777777" w:rsidR="00A15D7D" w:rsidRPr="00A96255" w:rsidRDefault="00A15D7D" w:rsidP="00576CFA">
      <w:pPr>
        <w:pStyle w:val="MText"/>
      </w:pPr>
    </w:p>
    <w:p w14:paraId="79EEEE38" w14:textId="75AB172D" w:rsidR="00E1050F" w:rsidRPr="00A96255" w:rsidRDefault="00E1050F" w:rsidP="00F719A8">
      <w:pPr>
        <w:pStyle w:val="MHeader2"/>
      </w:pPr>
      <w:r w:rsidRPr="00A96255">
        <w:t>4.c. Method of computation</w:t>
      </w:r>
    </w:p>
    <w:p w14:paraId="6586899D" w14:textId="0C213C47" w:rsidR="004D46B2" w:rsidRPr="004D46B2" w:rsidRDefault="004D46B2" w:rsidP="004D46B2">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4D46B2">
        <w:rPr>
          <w:rFonts w:ascii="Calibri" w:eastAsia="Times New Roman" w:hAnsi="Calibri" w:cs="Calibri"/>
          <w:color w:val="4A4A4A"/>
          <w:sz w:val="21"/>
          <w:szCs w:val="21"/>
          <w:shd w:val="clear" w:color="auto" w:fill="FFFFFF"/>
          <w:lang w:eastAsia="en-US"/>
        </w:rPr>
        <w:t xml:space="preserve">Malaria </w:t>
      </w:r>
      <w:r w:rsidRPr="00CB5DDC">
        <w:rPr>
          <w:rFonts w:ascii="Calibri" w:eastAsia="Times New Roman" w:hAnsi="Calibri" w:cs="Calibri"/>
          <w:color w:val="4A4A4A"/>
          <w:sz w:val="21"/>
          <w:szCs w:val="21"/>
          <w:shd w:val="clear" w:color="auto" w:fill="FFFFFF"/>
          <w:lang w:eastAsia="en-US"/>
        </w:rPr>
        <w:t>incidence (1) is expressed</w:t>
      </w:r>
      <w:r w:rsidRPr="004D46B2">
        <w:rPr>
          <w:rFonts w:ascii="Calibri" w:eastAsia="Times New Roman" w:hAnsi="Calibri" w:cs="Calibri"/>
          <w:color w:val="4A4A4A"/>
          <w:sz w:val="21"/>
          <w:szCs w:val="21"/>
          <w:shd w:val="clear" w:color="auto" w:fill="FFFFFF"/>
          <w:lang w:eastAsia="en-US"/>
        </w:rPr>
        <w:t xml:space="preserve"> as the number of new cases per 100,000 population per year with the population of a country derived from projections made by the UN Population Division and the total proportion at risk estimated by a country’s National Malaria Control Programme. More specifically, the country estimates what is the </w:t>
      </w:r>
      <w:r w:rsidR="003348DC">
        <w:rPr>
          <w:rFonts w:ascii="Calibri" w:eastAsia="Times New Roman" w:hAnsi="Calibri" w:cs="Calibri"/>
          <w:color w:val="4A4A4A"/>
          <w:sz w:val="21"/>
          <w:szCs w:val="21"/>
          <w:shd w:val="clear" w:color="auto" w:fill="FFFFFF"/>
          <w:lang w:eastAsia="en-US"/>
        </w:rPr>
        <w:t xml:space="preserve">total </w:t>
      </w:r>
      <w:r w:rsidRPr="004D46B2">
        <w:rPr>
          <w:rFonts w:ascii="Calibri" w:eastAsia="Times New Roman" w:hAnsi="Calibri" w:cs="Calibri"/>
          <w:color w:val="4A4A4A"/>
          <w:sz w:val="21"/>
          <w:szCs w:val="21"/>
          <w:shd w:val="clear" w:color="auto" w:fill="FFFFFF"/>
          <w:lang w:eastAsia="en-US"/>
        </w:rPr>
        <w:t xml:space="preserve">proportion </w:t>
      </w:r>
      <w:r w:rsidR="003348DC">
        <w:rPr>
          <w:rFonts w:ascii="Calibri" w:eastAsia="Times New Roman" w:hAnsi="Calibri" w:cs="Calibri"/>
          <w:color w:val="4A4A4A"/>
          <w:sz w:val="21"/>
          <w:szCs w:val="21"/>
          <w:shd w:val="clear" w:color="auto" w:fill="FFFFFF"/>
          <w:lang w:eastAsia="en-US"/>
        </w:rPr>
        <w:t>of the population at risk of malaria and then, for each year, t</w:t>
      </w:r>
      <w:r w:rsidRPr="004D46B2">
        <w:rPr>
          <w:rFonts w:ascii="Calibri" w:eastAsia="Times New Roman" w:hAnsi="Calibri" w:cs="Calibri"/>
          <w:color w:val="4A4A4A"/>
          <w:sz w:val="21"/>
          <w:szCs w:val="21"/>
          <w:shd w:val="clear" w:color="auto" w:fill="FFFFFF"/>
          <w:lang w:eastAsia="en-US"/>
        </w:rPr>
        <w:t>he total population at risk is estimated</w:t>
      </w:r>
      <w:r w:rsidR="003348DC">
        <w:rPr>
          <w:rFonts w:ascii="Calibri" w:eastAsia="Times New Roman" w:hAnsi="Calibri" w:cs="Calibri"/>
          <w:color w:val="4A4A4A"/>
          <w:sz w:val="21"/>
          <w:szCs w:val="21"/>
          <w:shd w:val="clear" w:color="auto" w:fill="FFFFFF"/>
          <w:lang w:eastAsia="en-US"/>
        </w:rPr>
        <w:t xml:space="preserve"> </w:t>
      </w:r>
      <w:r w:rsidRPr="004D46B2">
        <w:rPr>
          <w:rFonts w:ascii="Calibri" w:eastAsia="Times New Roman" w:hAnsi="Calibri" w:cs="Calibri"/>
          <w:color w:val="4A4A4A"/>
          <w:sz w:val="21"/>
          <w:szCs w:val="21"/>
          <w:shd w:val="clear" w:color="auto" w:fill="FFFFFF"/>
          <w:lang w:eastAsia="en-US"/>
        </w:rPr>
        <w:t>as</w:t>
      </w:r>
      <w:r w:rsidR="003348DC">
        <w:rPr>
          <w:rFonts w:ascii="Calibri" w:eastAsia="Times New Roman" w:hAnsi="Calibri" w:cs="Calibri"/>
          <w:color w:val="4A4A4A"/>
          <w:sz w:val="21"/>
          <w:szCs w:val="21"/>
          <w:shd w:val="clear" w:color="auto" w:fill="FFFFFF"/>
          <w:lang w:eastAsia="en-US"/>
        </w:rPr>
        <w:t xml:space="preserve"> the</w:t>
      </w:r>
      <w:r w:rsidRPr="004D46B2">
        <w:rPr>
          <w:rFonts w:ascii="Calibri" w:eastAsia="Times New Roman" w:hAnsi="Calibri" w:cs="Calibri"/>
          <w:color w:val="4A4A4A"/>
          <w:sz w:val="21"/>
          <w:szCs w:val="21"/>
          <w:shd w:val="clear" w:color="auto" w:fill="FFFFFF"/>
          <w:lang w:eastAsia="en-US"/>
        </w:rPr>
        <w:t xml:space="preserve"> UN Population</w:t>
      </w:r>
      <w:r w:rsidR="003348DC">
        <w:rPr>
          <w:rFonts w:ascii="Calibri" w:eastAsia="Times New Roman" w:hAnsi="Calibri" w:cs="Calibri"/>
          <w:color w:val="4A4A4A"/>
          <w:sz w:val="21"/>
          <w:szCs w:val="21"/>
          <w:shd w:val="clear" w:color="auto" w:fill="FFFFFF"/>
          <w:lang w:eastAsia="en-US"/>
        </w:rPr>
        <w:t xml:space="preserve"> for that year,</w:t>
      </w:r>
      <w:r w:rsidRPr="004D46B2">
        <w:rPr>
          <w:rFonts w:ascii="Calibri" w:eastAsia="Times New Roman" w:hAnsi="Calibri" w:cs="Calibri"/>
          <w:color w:val="4A4A4A"/>
          <w:sz w:val="21"/>
          <w:szCs w:val="21"/>
          <w:shd w:val="clear" w:color="auto" w:fill="FFFFFF"/>
          <w:lang w:eastAsia="en-US"/>
        </w:rPr>
        <w:t> </w:t>
      </w:r>
      <w:r w:rsidR="003348DC">
        <w:rPr>
          <w:rFonts w:ascii="Calibri" w:eastAsia="Times New Roman" w:hAnsi="Calibri" w:cs="Calibri"/>
          <w:color w:val="4A4A4A"/>
          <w:sz w:val="21"/>
          <w:szCs w:val="21"/>
          <w:shd w:val="clear" w:color="auto" w:fill="FFFFFF"/>
          <w:lang w:eastAsia="en-US"/>
        </w:rPr>
        <w:t>times the proportion of the population at risk at baseline.</w:t>
      </w:r>
    </w:p>
    <w:p w14:paraId="755A2CEA" w14:textId="77777777" w:rsidR="004D46B2" w:rsidRPr="004D46B2" w:rsidRDefault="004D46B2" w:rsidP="004D46B2">
      <w:pPr>
        <w:shd w:val="clear" w:color="auto" w:fill="FFFFFF"/>
        <w:spacing w:after="0" w:line="240" w:lineRule="auto"/>
        <w:textAlignment w:val="baseline"/>
        <w:rPr>
          <w:rFonts w:ascii="Segoe UI" w:eastAsia="Times New Roman" w:hAnsi="Segoe UI" w:cs="Segoe UI"/>
          <w:sz w:val="18"/>
          <w:szCs w:val="18"/>
          <w:lang w:val="en-US" w:eastAsia="en-US"/>
        </w:rPr>
      </w:pPr>
      <w:r w:rsidRPr="004D46B2">
        <w:rPr>
          <w:rFonts w:ascii="Times New Roman" w:eastAsia="Times New Roman" w:hAnsi="Times New Roman" w:cs="Times New Roman"/>
          <w:color w:val="4A4A4A"/>
          <w:sz w:val="21"/>
          <w:szCs w:val="21"/>
          <w:lang w:val="en-US" w:eastAsia="en-US"/>
        </w:rPr>
        <w:t> </w:t>
      </w:r>
    </w:p>
    <w:p w14:paraId="1F7A07E4" w14:textId="77777777" w:rsidR="004D46B2" w:rsidRPr="00CB5DDC" w:rsidRDefault="004D46B2" w:rsidP="004D46B2">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4D46B2">
        <w:rPr>
          <w:rFonts w:ascii="Calibri" w:eastAsia="Times New Roman" w:hAnsi="Calibri" w:cs="Calibri"/>
          <w:color w:val="4A4A4A"/>
          <w:sz w:val="21"/>
          <w:szCs w:val="21"/>
          <w:shd w:val="clear" w:color="auto" w:fill="FFFFFF"/>
          <w:lang w:eastAsia="en-US"/>
        </w:rPr>
        <w:t>The </w:t>
      </w:r>
      <w:r w:rsidRPr="00CB5DDC">
        <w:rPr>
          <w:rFonts w:ascii="Calibri" w:eastAsia="Times New Roman" w:hAnsi="Calibri" w:cs="Calibri"/>
          <w:color w:val="4A4A4A"/>
          <w:sz w:val="21"/>
          <w:szCs w:val="21"/>
          <w:shd w:val="clear" w:color="auto" w:fill="FFFFFF"/>
          <w:lang w:eastAsia="en-US"/>
        </w:rPr>
        <w:t>total number of new cases, T, is estimated from the number of malaria cases reported by a Ministry of Health which is adjusted to take into account (</w:t>
      </w:r>
      <w:proofErr w:type="spellStart"/>
      <w:r w:rsidRPr="00CB5DDC">
        <w:rPr>
          <w:rFonts w:ascii="Calibri" w:eastAsia="Times New Roman" w:hAnsi="Calibri" w:cs="Calibri"/>
          <w:color w:val="4A4A4A"/>
          <w:sz w:val="21"/>
          <w:szCs w:val="21"/>
          <w:shd w:val="clear" w:color="auto" w:fill="FFFFFF"/>
          <w:lang w:eastAsia="en-US"/>
        </w:rPr>
        <w:t>i</w:t>
      </w:r>
      <w:proofErr w:type="spellEnd"/>
      <w:r w:rsidRPr="00CB5DDC">
        <w:rPr>
          <w:rFonts w:ascii="Calibri" w:eastAsia="Times New Roman" w:hAnsi="Calibri" w:cs="Calibri"/>
          <w:color w:val="4A4A4A"/>
          <w:sz w:val="21"/>
          <w:szCs w:val="21"/>
          <w:shd w:val="clear" w:color="auto" w:fill="FFFFFF"/>
          <w:lang w:eastAsia="en-US"/>
        </w:rPr>
        <w:t>) incompleteness in reporting systems (ii) patients seeking treatment in the private sector, self-medicating or not seeking treatment at all, and (iii) potential over-diagnosis through the lack of laboratory confirmation of cases. The procedure, which is described in the </w:t>
      </w:r>
      <w:r w:rsidRPr="00CB5DDC">
        <w:rPr>
          <w:rFonts w:ascii="Calibri" w:eastAsia="Times New Roman" w:hAnsi="Calibri" w:cs="Calibri"/>
          <w:i/>
          <w:iCs/>
          <w:color w:val="4A4A4A"/>
          <w:sz w:val="21"/>
          <w:szCs w:val="21"/>
          <w:shd w:val="clear" w:color="auto" w:fill="FFFFFF"/>
          <w:lang w:eastAsia="en-US"/>
        </w:rPr>
        <w:t>World malaria report 2009</w:t>
      </w:r>
      <w:r w:rsidRPr="00CB5DDC">
        <w:rPr>
          <w:rFonts w:ascii="Calibri" w:eastAsia="Times New Roman" w:hAnsi="Calibri" w:cs="Calibri"/>
          <w:color w:val="4A4A4A"/>
          <w:sz w:val="21"/>
          <w:szCs w:val="21"/>
          <w:shd w:val="clear" w:color="auto" w:fill="FFFFFF"/>
          <w:lang w:eastAsia="en-US"/>
        </w:rPr>
        <w:t> (2), combines data reported by NMCPs (reported cases, reporting completeness and likelihood that cases are parasite positive) with data obtained from nationally representative household surveys on health-service use. Briefly, </w:t>
      </w:r>
      <w:r w:rsidRPr="00CB5DDC">
        <w:rPr>
          <w:rFonts w:ascii="Calibri" w:eastAsia="Times New Roman" w:hAnsi="Calibri" w:cs="Calibri"/>
          <w:color w:val="4A4A4A"/>
          <w:sz w:val="21"/>
          <w:szCs w:val="21"/>
          <w:lang w:val="en-US" w:eastAsia="en-US"/>
        </w:rPr>
        <w:t> </w:t>
      </w:r>
    </w:p>
    <w:p w14:paraId="278D8B79" w14:textId="77777777" w:rsidR="004D46B2" w:rsidRPr="00CB5DDC" w:rsidRDefault="004D46B2" w:rsidP="004D46B2">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CB5DDC">
        <w:rPr>
          <w:rFonts w:ascii="Calibri" w:eastAsia="Times New Roman" w:hAnsi="Calibri" w:cs="Calibri"/>
          <w:color w:val="4A4A4A"/>
          <w:sz w:val="21"/>
          <w:szCs w:val="21"/>
          <w:lang w:val="en-US" w:eastAsia="en-US"/>
        </w:rPr>
        <w:t> </w:t>
      </w:r>
    </w:p>
    <w:p w14:paraId="7C2C6C08" w14:textId="77777777" w:rsidR="004D46B2" w:rsidRPr="008D12B3" w:rsidRDefault="004D46B2" w:rsidP="004D46B2">
      <w:pPr>
        <w:shd w:val="clear" w:color="auto" w:fill="FFFFFF"/>
        <w:spacing w:after="0" w:line="240" w:lineRule="auto"/>
        <w:jc w:val="center"/>
        <w:rPr>
          <w:rFonts w:ascii="Segoe UI" w:eastAsia="Times New Roman" w:hAnsi="Segoe UI" w:cs="Segoe UI"/>
          <w:color w:val="4A4A4A"/>
          <w:lang w:val="es-ES" w:eastAsia="en-US"/>
        </w:rPr>
      </w:pPr>
      <w:r w:rsidRPr="008D12B3">
        <w:rPr>
          <w:rFonts w:ascii="MathJax_Math-italic" w:eastAsia="Times New Roman" w:hAnsi="MathJax_Math-italic" w:cs="Segoe UI"/>
          <w:color w:val="4A4A4A"/>
          <w:sz w:val="23"/>
          <w:szCs w:val="23"/>
          <w:bdr w:val="none" w:sz="0" w:space="0" w:color="auto" w:frame="1"/>
          <w:lang w:val="es-ES" w:eastAsia="en-US"/>
        </w:rPr>
        <w:t>T</w:t>
      </w:r>
      <w:proofErr w:type="gramStart"/>
      <w:r w:rsidRPr="008D12B3">
        <w:rPr>
          <w:rFonts w:ascii="MathJax_Main" w:eastAsia="Times New Roman" w:hAnsi="MathJax_Main" w:cs="Segoe UI"/>
          <w:color w:val="4A4A4A"/>
          <w:sz w:val="23"/>
          <w:szCs w:val="23"/>
          <w:bdr w:val="none" w:sz="0" w:space="0" w:color="auto" w:frame="1"/>
          <w:lang w:val="es-ES" w:eastAsia="en-US"/>
        </w:rPr>
        <w:t>=(</w:t>
      </w:r>
      <w:proofErr w:type="gramEnd"/>
      <w:r w:rsidRPr="008D12B3">
        <w:rPr>
          <w:rFonts w:ascii="MathJax_Main" w:eastAsia="Times New Roman" w:hAnsi="MathJax_Main" w:cs="Segoe UI"/>
          <w:color w:val="4A4A4A"/>
          <w:sz w:val="23"/>
          <w:szCs w:val="23"/>
          <w:bdr w:val="none" w:sz="0" w:space="0" w:color="auto" w:frame="1"/>
          <w:lang w:val="es-ES" w:eastAsia="en-US"/>
        </w:rPr>
        <w:t>a+(</w:t>
      </w:r>
      <w:r w:rsidRPr="008D12B3">
        <w:rPr>
          <w:rFonts w:ascii="MathJax_Math-italic" w:eastAsia="Times New Roman" w:hAnsi="MathJax_Math-italic" w:cs="Segoe UI"/>
          <w:color w:val="4A4A4A"/>
          <w:sz w:val="23"/>
          <w:szCs w:val="23"/>
          <w:bdr w:val="none" w:sz="0" w:space="0" w:color="auto" w:frame="1"/>
          <w:lang w:val="es-ES" w:eastAsia="en-US"/>
        </w:rPr>
        <w:t>c</w:t>
      </w:r>
      <w:r w:rsidRPr="008D12B3">
        <w:rPr>
          <w:rFonts w:ascii="MathJax_Main" w:eastAsia="Times New Roman" w:hAnsi="MathJax_Main" w:cs="Segoe UI" w:hint="eastAsia"/>
          <w:color w:val="4A4A4A"/>
          <w:sz w:val="23"/>
          <w:szCs w:val="23"/>
          <w:bdr w:val="none" w:sz="0" w:space="0" w:color="auto" w:frame="1"/>
          <w:lang w:val="es-ES" w:eastAsia="en-US"/>
        </w:rPr>
        <w:t> × </w:t>
      </w:r>
      <w:r w:rsidRPr="008D12B3">
        <w:rPr>
          <w:rFonts w:ascii="MathJax_Math-italic" w:eastAsia="Times New Roman" w:hAnsi="MathJax_Math-italic" w:cs="Segoe UI"/>
          <w:color w:val="4A4A4A"/>
          <w:sz w:val="23"/>
          <w:szCs w:val="23"/>
          <w:bdr w:val="none" w:sz="0" w:space="0" w:color="auto" w:frame="1"/>
          <w:lang w:val="es-ES" w:eastAsia="en-US"/>
        </w:rPr>
        <w:t>e</w:t>
      </w:r>
      <w:r w:rsidRPr="008D12B3">
        <w:rPr>
          <w:rFonts w:ascii="MathJax_Main" w:eastAsia="Times New Roman" w:hAnsi="MathJax_Main" w:cs="Segoe UI"/>
          <w:color w:val="4A4A4A"/>
          <w:sz w:val="23"/>
          <w:szCs w:val="23"/>
          <w:bdr w:val="none" w:sz="0" w:space="0" w:color="auto" w:frame="1"/>
          <w:lang w:val="es-ES" w:eastAsia="en-US"/>
        </w:rPr>
        <w:t>)/</w:t>
      </w:r>
      <w:r w:rsidRPr="008D12B3">
        <w:rPr>
          <w:rFonts w:ascii="MathJax_Math-italic" w:eastAsia="Times New Roman" w:hAnsi="MathJax_Math-italic" w:cs="Segoe UI"/>
          <w:color w:val="4A4A4A"/>
          <w:sz w:val="23"/>
          <w:szCs w:val="23"/>
          <w:bdr w:val="none" w:sz="0" w:space="0" w:color="auto" w:frame="1"/>
          <w:lang w:val="es-ES" w:eastAsia="en-US"/>
        </w:rPr>
        <w:t>d</w:t>
      </w:r>
      <w:r w:rsidRPr="008D12B3">
        <w:rPr>
          <w:rFonts w:ascii="MathJax_Main" w:eastAsia="Times New Roman" w:hAnsi="MathJax_Main" w:cs="Segoe UI"/>
          <w:color w:val="4A4A4A"/>
          <w:sz w:val="23"/>
          <w:szCs w:val="23"/>
          <w:bdr w:val="none" w:sz="0" w:space="0" w:color="auto" w:frame="1"/>
          <w:lang w:val="es-ES" w:eastAsia="en-US"/>
        </w:rPr>
        <w:t>)</w:t>
      </w:r>
      <w:r w:rsidRPr="008D12B3">
        <w:rPr>
          <w:rFonts w:ascii="MathJax_Main" w:eastAsia="Times New Roman" w:hAnsi="MathJax_Main" w:cs="Segoe UI" w:hint="eastAsia"/>
          <w:color w:val="4A4A4A"/>
          <w:sz w:val="23"/>
          <w:szCs w:val="23"/>
          <w:bdr w:val="none" w:sz="0" w:space="0" w:color="auto" w:frame="1"/>
          <w:lang w:val="es-ES" w:eastAsia="en-US"/>
        </w:rPr>
        <w:t>×</w:t>
      </w:r>
      <w:r w:rsidRPr="008D12B3">
        <w:rPr>
          <w:rFonts w:ascii="MathJax_Main" w:eastAsia="Times New Roman" w:hAnsi="MathJax_Main" w:cs="Segoe UI"/>
          <w:color w:val="4A4A4A"/>
          <w:sz w:val="23"/>
          <w:szCs w:val="23"/>
          <w:bdr w:val="none" w:sz="0" w:space="0" w:color="auto" w:frame="1"/>
          <w:lang w:val="es-ES" w:eastAsia="en-US"/>
        </w:rPr>
        <w:t>(1+</w:t>
      </w:r>
      <w:r w:rsidRPr="008D12B3">
        <w:rPr>
          <w:rFonts w:ascii="MathJax_Math-italic" w:eastAsia="Times New Roman" w:hAnsi="MathJax_Math-italic" w:cs="Segoe UI"/>
          <w:color w:val="4A4A4A"/>
          <w:sz w:val="23"/>
          <w:szCs w:val="23"/>
          <w:bdr w:val="none" w:sz="0" w:space="0" w:color="auto" w:frame="1"/>
          <w:lang w:val="es-ES" w:eastAsia="en-US"/>
        </w:rPr>
        <w:t>h</w:t>
      </w:r>
      <w:r w:rsidRPr="008D12B3">
        <w:rPr>
          <w:rFonts w:ascii="MathJax_Main" w:eastAsia="Times New Roman" w:hAnsi="MathJax_Main" w:cs="Segoe UI"/>
          <w:color w:val="4A4A4A"/>
          <w:sz w:val="23"/>
          <w:szCs w:val="23"/>
          <w:bdr w:val="none" w:sz="0" w:space="0" w:color="auto" w:frame="1"/>
          <w:lang w:val="es-ES" w:eastAsia="en-US"/>
        </w:rPr>
        <w:t>/</w:t>
      </w:r>
      <w:r w:rsidRPr="008D12B3">
        <w:rPr>
          <w:rFonts w:ascii="MathJax_Math-italic" w:eastAsia="Times New Roman" w:hAnsi="MathJax_Math-italic" w:cs="Segoe UI"/>
          <w:color w:val="4A4A4A"/>
          <w:sz w:val="23"/>
          <w:szCs w:val="23"/>
          <w:bdr w:val="none" w:sz="0" w:space="0" w:color="auto" w:frame="1"/>
          <w:lang w:val="es-ES" w:eastAsia="en-US"/>
        </w:rPr>
        <w:t>g</w:t>
      </w:r>
      <w:r w:rsidRPr="008D12B3">
        <w:rPr>
          <w:rFonts w:ascii="MathJax_Main" w:eastAsia="Times New Roman" w:hAnsi="MathJax_Main" w:cs="Segoe UI"/>
          <w:color w:val="4A4A4A"/>
          <w:sz w:val="23"/>
          <w:szCs w:val="23"/>
          <w:bdr w:val="none" w:sz="0" w:space="0" w:color="auto" w:frame="1"/>
          <w:lang w:val="es-ES" w:eastAsia="en-US"/>
        </w:rPr>
        <w:t>+((1−</w:t>
      </w:r>
      <w:r w:rsidRPr="008D12B3">
        <w:rPr>
          <w:rFonts w:ascii="MathJax_Math-italic" w:eastAsia="Times New Roman" w:hAnsi="MathJax_Math-italic" w:cs="Segoe UI"/>
          <w:color w:val="4A4A4A"/>
          <w:sz w:val="23"/>
          <w:szCs w:val="23"/>
          <w:bdr w:val="none" w:sz="0" w:space="0" w:color="auto" w:frame="1"/>
          <w:lang w:val="es-ES" w:eastAsia="en-US"/>
        </w:rPr>
        <w:t>g</w:t>
      </w:r>
      <w:r w:rsidRPr="008D12B3">
        <w:rPr>
          <w:rFonts w:ascii="MathJax_Main" w:eastAsia="Times New Roman" w:hAnsi="MathJax_Main" w:cs="Segoe UI"/>
          <w:color w:val="4A4A4A"/>
          <w:sz w:val="23"/>
          <w:szCs w:val="23"/>
          <w:bdr w:val="none" w:sz="0" w:space="0" w:color="auto" w:frame="1"/>
          <w:lang w:val="es-ES" w:eastAsia="en-US"/>
        </w:rPr>
        <w:t>−</w:t>
      </w:r>
      <w:r w:rsidRPr="008D12B3">
        <w:rPr>
          <w:rFonts w:ascii="MathJax_Math-italic" w:eastAsia="Times New Roman" w:hAnsi="MathJax_Math-italic" w:cs="Segoe UI"/>
          <w:color w:val="4A4A4A"/>
          <w:sz w:val="23"/>
          <w:szCs w:val="23"/>
          <w:bdr w:val="none" w:sz="0" w:space="0" w:color="auto" w:frame="1"/>
          <w:lang w:val="es-ES" w:eastAsia="en-US"/>
        </w:rPr>
        <w:t>h</w:t>
      </w:r>
      <w:r w:rsidRPr="008D12B3">
        <w:rPr>
          <w:rFonts w:ascii="MathJax_Main" w:eastAsia="Times New Roman" w:hAnsi="MathJax_Main" w:cs="Segoe UI"/>
          <w:color w:val="4A4A4A"/>
          <w:sz w:val="23"/>
          <w:szCs w:val="23"/>
          <w:bdr w:val="none" w:sz="0" w:space="0" w:color="auto" w:frame="1"/>
          <w:lang w:val="es-ES" w:eastAsia="en-US"/>
        </w:rPr>
        <w:t>)/2)/</w:t>
      </w:r>
      <w:r w:rsidRPr="008D12B3">
        <w:rPr>
          <w:rFonts w:ascii="MathJax_Math-italic" w:eastAsia="Times New Roman" w:hAnsi="MathJax_Math-italic" w:cs="Segoe UI"/>
          <w:color w:val="4A4A4A"/>
          <w:sz w:val="23"/>
          <w:szCs w:val="23"/>
          <w:bdr w:val="none" w:sz="0" w:space="0" w:color="auto" w:frame="1"/>
          <w:lang w:val="es-ES" w:eastAsia="en-US"/>
        </w:rPr>
        <w:t>g</w:t>
      </w:r>
      <w:r w:rsidRPr="008D12B3">
        <w:rPr>
          <w:rFonts w:ascii="MathJax_Main" w:eastAsia="Times New Roman" w:hAnsi="MathJax_Main" w:cs="Segoe UI"/>
          <w:color w:val="4A4A4A"/>
          <w:sz w:val="23"/>
          <w:szCs w:val="23"/>
          <w:bdr w:val="none" w:sz="0" w:space="0" w:color="auto" w:frame="1"/>
          <w:lang w:val="es-ES" w:eastAsia="en-US"/>
        </w:rPr>
        <w:t>)</w:t>
      </w:r>
    </w:p>
    <w:p w14:paraId="4F396F42" w14:textId="77777777" w:rsidR="004D46B2" w:rsidRPr="008D12B3" w:rsidRDefault="004D46B2" w:rsidP="004D46B2">
      <w:pPr>
        <w:shd w:val="clear" w:color="auto" w:fill="FFFFFF"/>
        <w:spacing w:after="0" w:line="240" w:lineRule="auto"/>
        <w:rPr>
          <w:rFonts w:ascii="Segoe UI" w:eastAsia="Times New Roman" w:hAnsi="Segoe UI" w:cs="Segoe UI"/>
          <w:color w:val="4A4A4A"/>
          <w:sz w:val="18"/>
          <w:szCs w:val="18"/>
          <w:lang w:val="es-ES" w:eastAsia="en-US"/>
        </w:rPr>
      </w:pPr>
      <w:r w:rsidRPr="008D12B3">
        <w:rPr>
          <w:rFonts w:ascii="Times New Roman" w:eastAsia="Times New Roman" w:hAnsi="Times New Roman" w:cs="Times New Roman"/>
          <w:color w:val="4A4A4A"/>
          <w:sz w:val="24"/>
          <w:szCs w:val="24"/>
          <w:lang w:val="es-ES" w:eastAsia="en-US"/>
        </w:rPr>
        <w:t> </w:t>
      </w:r>
    </w:p>
    <w:p w14:paraId="696E16A8" w14:textId="7D74C19A" w:rsidR="004D46B2" w:rsidRPr="00CB5DDC" w:rsidRDefault="004D46B2" w:rsidP="004D46B2">
      <w:pPr>
        <w:spacing w:after="0" w:line="240" w:lineRule="auto"/>
        <w:textAlignment w:val="baseline"/>
        <w:rPr>
          <w:rFonts w:ascii="Segoe UI" w:eastAsia="Times New Roman" w:hAnsi="Segoe UI" w:cs="Segoe UI"/>
          <w:color w:val="4A4A4A"/>
          <w:sz w:val="18"/>
          <w:szCs w:val="18"/>
          <w:lang w:val="en-US" w:eastAsia="en-US"/>
        </w:rPr>
      </w:pPr>
      <w:r w:rsidRPr="00CB5DDC">
        <w:rPr>
          <w:rFonts w:ascii="Arial" w:eastAsia="Times New Roman" w:hAnsi="Arial" w:cs="Arial"/>
          <w:color w:val="4A4A4A"/>
          <w:sz w:val="20"/>
          <w:szCs w:val="20"/>
          <w:lang w:val="en-US" w:eastAsia="en-US"/>
        </w:rPr>
        <w:t>where: </w:t>
      </w:r>
      <w:r w:rsidRPr="00CB5DDC">
        <w:rPr>
          <w:rFonts w:ascii="Arial" w:eastAsia="Times New Roman" w:hAnsi="Arial" w:cs="Arial"/>
          <w:color w:val="4A4A4A"/>
          <w:sz w:val="20"/>
          <w:szCs w:val="20"/>
          <w:lang w:val="en-US" w:eastAsia="en-US"/>
        </w:rPr>
        <w:br/>
        <w:t xml:space="preserve">a is </w:t>
      </w:r>
      <w:r w:rsidR="00A56E22">
        <w:rPr>
          <w:rFonts w:ascii="Arial" w:eastAsia="Times New Roman" w:hAnsi="Arial" w:cs="Arial"/>
          <w:color w:val="4A4A4A"/>
          <w:sz w:val="20"/>
          <w:szCs w:val="20"/>
          <w:lang w:val="en-US" w:eastAsia="en-US"/>
        </w:rPr>
        <w:t xml:space="preserve">the number of </w:t>
      </w:r>
      <w:r w:rsidRPr="00CB5DDC">
        <w:rPr>
          <w:rFonts w:ascii="Arial" w:eastAsia="Times New Roman" w:hAnsi="Arial" w:cs="Arial"/>
          <w:color w:val="4A4A4A"/>
          <w:sz w:val="20"/>
          <w:szCs w:val="20"/>
          <w:lang w:val="en-US" w:eastAsia="en-US"/>
        </w:rPr>
        <w:t>malaria cases confirmed in public sector </w:t>
      </w:r>
      <w:r w:rsidRPr="00CB5DDC">
        <w:rPr>
          <w:rFonts w:ascii="Arial" w:eastAsia="Times New Roman" w:hAnsi="Arial" w:cs="Arial"/>
          <w:color w:val="4A4A4A"/>
          <w:sz w:val="20"/>
          <w:szCs w:val="20"/>
          <w:lang w:val="en-US" w:eastAsia="en-US"/>
        </w:rPr>
        <w:br/>
        <w:t xml:space="preserve">b is </w:t>
      </w:r>
      <w:r w:rsidR="00A56E22">
        <w:rPr>
          <w:rFonts w:ascii="Arial" w:eastAsia="Times New Roman" w:hAnsi="Arial" w:cs="Arial"/>
          <w:color w:val="4A4A4A"/>
          <w:sz w:val="20"/>
          <w:szCs w:val="20"/>
          <w:lang w:val="en-US" w:eastAsia="en-US"/>
        </w:rPr>
        <w:t xml:space="preserve">the number of </w:t>
      </w:r>
      <w:r w:rsidRPr="00CB5DDC">
        <w:rPr>
          <w:rFonts w:ascii="Arial" w:eastAsia="Times New Roman" w:hAnsi="Arial" w:cs="Arial"/>
          <w:color w:val="4A4A4A"/>
          <w:sz w:val="20"/>
          <w:szCs w:val="20"/>
          <w:lang w:val="en-US" w:eastAsia="en-US"/>
        </w:rPr>
        <w:t>suspected cases tested </w:t>
      </w:r>
      <w:r w:rsidRPr="00CB5DDC">
        <w:rPr>
          <w:rFonts w:ascii="Arial" w:eastAsia="Times New Roman" w:hAnsi="Arial" w:cs="Arial"/>
          <w:color w:val="4A4A4A"/>
          <w:sz w:val="20"/>
          <w:szCs w:val="20"/>
          <w:lang w:val="en-US" w:eastAsia="en-US"/>
        </w:rPr>
        <w:br/>
        <w:t xml:space="preserve">c is </w:t>
      </w:r>
      <w:r w:rsidR="00A56E22">
        <w:rPr>
          <w:rFonts w:ascii="Arial" w:eastAsia="Times New Roman" w:hAnsi="Arial" w:cs="Arial"/>
          <w:color w:val="4A4A4A"/>
          <w:sz w:val="20"/>
          <w:szCs w:val="20"/>
          <w:lang w:val="en-US" w:eastAsia="en-US"/>
        </w:rPr>
        <w:t xml:space="preserve">the number of </w:t>
      </w:r>
      <w:r w:rsidRPr="00CB5DDC">
        <w:rPr>
          <w:rFonts w:ascii="Arial" w:eastAsia="Times New Roman" w:hAnsi="Arial" w:cs="Arial"/>
          <w:color w:val="4A4A4A"/>
          <w:sz w:val="20"/>
          <w:szCs w:val="20"/>
          <w:lang w:val="en-US" w:eastAsia="en-US"/>
        </w:rPr>
        <w:t>presumed cases (not tested but treated as malaria) </w:t>
      </w:r>
      <w:r w:rsidRPr="00CB5DDC">
        <w:rPr>
          <w:rFonts w:ascii="Arial" w:eastAsia="Times New Roman" w:hAnsi="Arial" w:cs="Arial"/>
          <w:color w:val="4A4A4A"/>
          <w:sz w:val="20"/>
          <w:szCs w:val="20"/>
          <w:lang w:val="en-US" w:eastAsia="en-US"/>
        </w:rPr>
        <w:br/>
      </w:r>
      <w:r w:rsidRPr="00CB5DDC">
        <w:rPr>
          <w:rFonts w:ascii="Arial" w:eastAsia="Times New Roman" w:hAnsi="Arial" w:cs="Arial"/>
          <w:i/>
          <w:iCs/>
          <w:color w:val="4A4A4A"/>
          <w:sz w:val="20"/>
          <w:szCs w:val="20"/>
          <w:lang w:val="en-US" w:eastAsia="en-US"/>
        </w:rPr>
        <w:t>d </w:t>
      </w:r>
      <w:r w:rsidRPr="00CB5DDC">
        <w:rPr>
          <w:rFonts w:ascii="Arial" w:eastAsia="Times New Roman" w:hAnsi="Arial" w:cs="Arial"/>
          <w:color w:val="4A4A4A"/>
          <w:sz w:val="20"/>
          <w:szCs w:val="20"/>
          <w:lang w:val="en-US" w:eastAsia="en-US"/>
        </w:rPr>
        <w:t xml:space="preserve">is </w:t>
      </w:r>
      <w:r w:rsidR="00A56E22">
        <w:rPr>
          <w:rFonts w:ascii="Arial" w:eastAsia="Times New Roman" w:hAnsi="Arial" w:cs="Arial"/>
          <w:color w:val="4A4A4A"/>
          <w:sz w:val="20"/>
          <w:szCs w:val="20"/>
          <w:lang w:val="en-US" w:eastAsia="en-US"/>
        </w:rPr>
        <w:t xml:space="preserve">the </w:t>
      </w:r>
      <w:r w:rsidRPr="00CB5DDC">
        <w:rPr>
          <w:rFonts w:ascii="Arial" w:eastAsia="Times New Roman" w:hAnsi="Arial" w:cs="Arial"/>
          <w:color w:val="4A4A4A"/>
          <w:sz w:val="20"/>
          <w:szCs w:val="20"/>
          <w:lang w:val="en-US" w:eastAsia="en-US"/>
        </w:rPr>
        <w:t>reporting completeness </w:t>
      </w:r>
      <w:r w:rsidRPr="00CB5DDC">
        <w:rPr>
          <w:rFonts w:ascii="Arial" w:eastAsia="Times New Roman" w:hAnsi="Arial" w:cs="Arial"/>
          <w:color w:val="4A4A4A"/>
          <w:sz w:val="20"/>
          <w:szCs w:val="20"/>
          <w:lang w:val="en-US" w:eastAsia="en-US"/>
        </w:rPr>
        <w:br/>
      </w:r>
      <w:r w:rsidRPr="00CB5DDC">
        <w:rPr>
          <w:rFonts w:ascii="Arial" w:eastAsia="Times New Roman" w:hAnsi="Arial" w:cs="Arial"/>
          <w:i/>
          <w:iCs/>
          <w:color w:val="4A4A4A"/>
          <w:sz w:val="20"/>
          <w:szCs w:val="20"/>
          <w:lang w:val="en-US" w:eastAsia="en-US"/>
        </w:rPr>
        <w:t>e </w:t>
      </w:r>
      <w:r w:rsidRPr="00CB5DDC">
        <w:rPr>
          <w:rFonts w:ascii="Arial" w:eastAsia="Times New Roman" w:hAnsi="Arial" w:cs="Arial"/>
          <w:color w:val="4A4A4A"/>
          <w:sz w:val="20"/>
          <w:szCs w:val="20"/>
          <w:lang w:val="en-US" w:eastAsia="en-US"/>
        </w:rPr>
        <w:t xml:space="preserve">is </w:t>
      </w:r>
      <w:r w:rsidR="00A56E22">
        <w:rPr>
          <w:rFonts w:ascii="Arial" w:eastAsia="Times New Roman" w:hAnsi="Arial" w:cs="Arial"/>
          <w:color w:val="4A4A4A"/>
          <w:sz w:val="20"/>
          <w:szCs w:val="20"/>
          <w:lang w:val="en-US" w:eastAsia="en-US"/>
        </w:rPr>
        <w:t xml:space="preserve">the </w:t>
      </w:r>
      <w:r w:rsidRPr="00CB5DDC">
        <w:rPr>
          <w:rFonts w:ascii="Arial" w:eastAsia="Times New Roman" w:hAnsi="Arial" w:cs="Arial"/>
          <w:color w:val="4A4A4A"/>
          <w:sz w:val="20"/>
          <w:szCs w:val="20"/>
          <w:lang w:val="en-US" w:eastAsia="en-US"/>
        </w:rPr>
        <w:t>test positivity rate (malaria positive fraction) = a/b </w:t>
      </w:r>
      <w:r w:rsidRPr="00CB5DDC">
        <w:rPr>
          <w:rFonts w:ascii="Arial" w:eastAsia="Times New Roman" w:hAnsi="Arial" w:cs="Arial"/>
          <w:color w:val="4A4A4A"/>
          <w:sz w:val="20"/>
          <w:szCs w:val="20"/>
          <w:lang w:val="en-US" w:eastAsia="en-US"/>
        </w:rPr>
        <w:br/>
      </w:r>
      <w:r w:rsidRPr="00CB5DDC">
        <w:rPr>
          <w:rFonts w:ascii="Arial" w:eastAsia="Times New Roman" w:hAnsi="Arial" w:cs="Arial"/>
          <w:i/>
          <w:iCs/>
          <w:color w:val="4A4A4A"/>
          <w:sz w:val="20"/>
          <w:szCs w:val="20"/>
          <w:lang w:val="en-US" w:eastAsia="en-US"/>
        </w:rPr>
        <w:t>f </w:t>
      </w:r>
      <w:r w:rsidRPr="00CB5DDC">
        <w:rPr>
          <w:rFonts w:ascii="Arial" w:eastAsia="Times New Roman" w:hAnsi="Arial" w:cs="Arial"/>
          <w:color w:val="4A4A4A"/>
          <w:sz w:val="20"/>
          <w:szCs w:val="20"/>
          <w:lang w:val="en-US" w:eastAsia="en-US"/>
        </w:rPr>
        <w:t xml:space="preserve">is </w:t>
      </w:r>
      <w:r w:rsidR="00C152E2">
        <w:rPr>
          <w:rFonts w:ascii="Arial" w:eastAsia="Times New Roman" w:hAnsi="Arial" w:cs="Arial"/>
          <w:color w:val="4A4A4A"/>
          <w:sz w:val="20"/>
          <w:szCs w:val="20"/>
          <w:lang w:val="en-US" w:eastAsia="en-US"/>
        </w:rPr>
        <w:t xml:space="preserve">the estimated </w:t>
      </w:r>
      <w:r w:rsidRPr="00CB5DDC">
        <w:rPr>
          <w:rFonts w:ascii="Arial" w:eastAsia="Times New Roman" w:hAnsi="Arial" w:cs="Arial"/>
          <w:color w:val="4A4A4A"/>
          <w:sz w:val="20"/>
          <w:szCs w:val="20"/>
          <w:lang w:val="en-US" w:eastAsia="en-US"/>
        </w:rPr>
        <w:t>cases in public sector, calculated by (a + (c x </w:t>
      </w:r>
      <w:r w:rsidRPr="00CB5DDC">
        <w:rPr>
          <w:rFonts w:ascii="Arial" w:eastAsia="Times New Roman" w:hAnsi="Arial" w:cs="Arial"/>
          <w:i/>
          <w:iCs/>
          <w:color w:val="4A4A4A"/>
          <w:sz w:val="20"/>
          <w:szCs w:val="20"/>
          <w:lang w:val="en-US" w:eastAsia="en-US"/>
        </w:rPr>
        <w:t>e</w:t>
      </w:r>
      <w:r w:rsidRPr="00CB5DDC">
        <w:rPr>
          <w:rFonts w:ascii="Arial" w:eastAsia="Times New Roman" w:hAnsi="Arial" w:cs="Arial"/>
          <w:color w:val="4A4A4A"/>
          <w:sz w:val="20"/>
          <w:szCs w:val="20"/>
          <w:lang w:val="en-US" w:eastAsia="en-US"/>
        </w:rPr>
        <w:t>))/</w:t>
      </w:r>
      <w:r w:rsidRPr="00CB5DDC">
        <w:rPr>
          <w:rFonts w:ascii="Arial" w:eastAsia="Times New Roman" w:hAnsi="Arial" w:cs="Arial"/>
          <w:i/>
          <w:iCs/>
          <w:color w:val="4A4A4A"/>
          <w:sz w:val="20"/>
          <w:szCs w:val="20"/>
          <w:lang w:val="en-US" w:eastAsia="en-US"/>
        </w:rPr>
        <w:t>d</w:t>
      </w:r>
      <w:r w:rsidRPr="00CB5DDC">
        <w:rPr>
          <w:rFonts w:ascii="Arial" w:eastAsia="Times New Roman" w:hAnsi="Arial" w:cs="Arial"/>
          <w:color w:val="4A4A4A"/>
          <w:sz w:val="20"/>
          <w:szCs w:val="20"/>
          <w:lang w:val="en-US" w:eastAsia="en-US"/>
        </w:rPr>
        <w:t> </w:t>
      </w:r>
      <w:r w:rsidRPr="00CB5DDC">
        <w:rPr>
          <w:rFonts w:ascii="Arial" w:eastAsia="Times New Roman" w:hAnsi="Arial" w:cs="Arial"/>
          <w:color w:val="4A4A4A"/>
          <w:sz w:val="20"/>
          <w:szCs w:val="20"/>
          <w:lang w:val="en-US" w:eastAsia="en-US"/>
        </w:rPr>
        <w:br/>
      </w:r>
      <w:r w:rsidRPr="00CB5DDC">
        <w:rPr>
          <w:rFonts w:ascii="Arial" w:eastAsia="Times New Roman" w:hAnsi="Arial" w:cs="Arial"/>
          <w:i/>
          <w:iCs/>
          <w:color w:val="4A4A4A"/>
          <w:sz w:val="20"/>
          <w:szCs w:val="20"/>
          <w:lang w:val="en-US" w:eastAsia="en-US"/>
        </w:rPr>
        <w:t>g </w:t>
      </w:r>
      <w:r w:rsidRPr="00CB5DDC">
        <w:rPr>
          <w:rFonts w:ascii="Arial" w:eastAsia="Times New Roman" w:hAnsi="Arial" w:cs="Arial"/>
          <w:color w:val="4A4A4A"/>
          <w:sz w:val="20"/>
          <w:szCs w:val="20"/>
          <w:lang w:val="en-US" w:eastAsia="en-US"/>
        </w:rPr>
        <w:t xml:space="preserve">is </w:t>
      </w:r>
      <w:r w:rsidR="00C152E2">
        <w:rPr>
          <w:rFonts w:ascii="Arial" w:eastAsia="Times New Roman" w:hAnsi="Arial" w:cs="Arial"/>
          <w:color w:val="4A4A4A"/>
          <w:sz w:val="20"/>
          <w:szCs w:val="20"/>
          <w:lang w:val="en-US" w:eastAsia="en-US"/>
        </w:rPr>
        <w:t xml:space="preserve">the fraction </w:t>
      </w:r>
      <w:r w:rsidRPr="00CB5DDC">
        <w:rPr>
          <w:rFonts w:ascii="Arial" w:eastAsia="Times New Roman" w:hAnsi="Arial" w:cs="Arial"/>
          <w:color w:val="4A4A4A"/>
          <w:sz w:val="20"/>
          <w:szCs w:val="20"/>
          <w:lang w:val="en-US" w:eastAsia="en-US"/>
        </w:rPr>
        <w:t xml:space="preserve">seeking </w:t>
      </w:r>
      <w:r w:rsidR="00C152E2">
        <w:rPr>
          <w:rFonts w:ascii="Arial" w:eastAsia="Times New Roman" w:hAnsi="Arial" w:cs="Arial"/>
          <w:color w:val="4A4A4A"/>
          <w:sz w:val="20"/>
          <w:szCs w:val="20"/>
          <w:lang w:val="en-US" w:eastAsia="en-US"/>
        </w:rPr>
        <w:t xml:space="preserve">treatment </w:t>
      </w:r>
      <w:r w:rsidRPr="00CB5DDC">
        <w:rPr>
          <w:rFonts w:ascii="Arial" w:eastAsia="Times New Roman" w:hAnsi="Arial" w:cs="Arial"/>
          <w:color w:val="4A4A4A"/>
          <w:sz w:val="20"/>
          <w:szCs w:val="20"/>
          <w:lang w:val="en-US" w:eastAsia="en-US"/>
        </w:rPr>
        <w:t>in public sector </w:t>
      </w:r>
      <w:r w:rsidRPr="00CB5DDC">
        <w:rPr>
          <w:rFonts w:ascii="Arial" w:eastAsia="Times New Roman" w:hAnsi="Arial" w:cs="Arial"/>
          <w:color w:val="4A4A4A"/>
          <w:sz w:val="20"/>
          <w:szCs w:val="20"/>
          <w:lang w:val="en-US" w:eastAsia="en-US"/>
        </w:rPr>
        <w:br/>
      </w:r>
      <w:r w:rsidRPr="00CB5DDC">
        <w:rPr>
          <w:rFonts w:ascii="Arial" w:eastAsia="Times New Roman" w:hAnsi="Arial" w:cs="Arial"/>
          <w:i/>
          <w:iCs/>
          <w:color w:val="4A4A4A"/>
          <w:sz w:val="20"/>
          <w:szCs w:val="20"/>
          <w:lang w:val="en-US" w:eastAsia="en-US"/>
        </w:rPr>
        <w:t>h </w:t>
      </w:r>
      <w:r w:rsidRPr="00CB5DDC">
        <w:rPr>
          <w:rFonts w:ascii="Arial" w:eastAsia="Times New Roman" w:hAnsi="Arial" w:cs="Arial"/>
          <w:color w:val="4A4A4A"/>
          <w:sz w:val="20"/>
          <w:szCs w:val="20"/>
          <w:lang w:val="en-US" w:eastAsia="en-US"/>
        </w:rPr>
        <w:t>is </w:t>
      </w:r>
      <w:r w:rsidR="00C152E2">
        <w:rPr>
          <w:rFonts w:ascii="Arial" w:eastAsia="Times New Roman" w:hAnsi="Arial" w:cs="Arial"/>
          <w:color w:val="4A4A4A"/>
          <w:sz w:val="20"/>
          <w:szCs w:val="20"/>
          <w:lang w:val="en-US" w:eastAsia="en-US"/>
        </w:rPr>
        <w:t xml:space="preserve">the fraction </w:t>
      </w:r>
      <w:r w:rsidRPr="00CB5DDC">
        <w:rPr>
          <w:rFonts w:ascii="Arial" w:eastAsia="Times New Roman" w:hAnsi="Arial" w:cs="Arial"/>
          <w:color w:val="4A4A4A"/>
          <w:sz w:val="20"/>
          <w:szCs w:val="20"/>
          <w:lang w:val="en-US" w:eastAsia="en-US"/>
        </w:rPr>
        <w:t xml:space="preserve">seeking </w:t>
      </w:r>
      <w:r w:rsidR="00C152E2">
        <w:rPr>
          <w:rFonts w:ascii="Arial" w:eastAsia="Times New Roman" w:hAnsi="Arial" w:cs="Arial"/>
          <w:color w:val="4A4A4A"/>
          <w:sz w:val="20"/>
          <w:szCs w:val="20"/>
          <w:lang w:val="en-US" w:eastAsia="en-US"/>
        </w:rPr>
        <w:t>treatment</w:t>
      </w:r>
      <w:r w:rsidR="00C152E2" w:rsidRPr="00CB5DDC">
        <w:rPr>
          <w:rFonts w:ascii="Arial" w:eastAsia="Times New Roman" w:hAnsi="Arial" w:cs="Arial"/>
          <w:color w:val="4A4A4A"/>
          <w:sz w:val="20"/>
          <w:szCs w:val="20"/>
          <w:lang w:val="en-US" w:eastAsia="en-US"/>
        </w:rPr>
        <w:t xml:space="preserve"> </w:t>
      </w:r>
      <w:r w:rsidRPr="00CB5DDC">
        <w:rPr>
          <w:rFonts w:ascii="Arial" w:eastAsia="Times New Roman" w:hAnsi="Arial" w:cs="Arial"/>
          <w:color w:val="4A4A4A"/>
          <w:sz w:val="20"/>
          <w:szCs w:val="20"/>
          <w:lang w:val="en-US" w:eastAsia="en-US"/>
        </w:rPr>
        <w:t>in private sector </w:t>
      </w:r>
      <w:r w:rsidRPr="00CB5DDC">
        <w:rPr>
          <w:rFonts w:ascii="Arial" w:eastAsia="Times New Roman" w:hAnsi="Arial" w:cs="Arial"/>
          <w:color w:val="4A4A4A"/>
          <w:sz w:val="20"/>
          <w:szCs w:val="20"/>
          <w:lang w:val="en-US" w:eastAsia="en-US"/>
        </w:rPr>
        <w:br/>
      </w:r>
      <w:proofErr w:type="spellStart"/>
      <w:r w:rsidRPr="00CB5DDC">
        <w:rPr>
          <w:rFonts w:ascii="Arial" w:eastAsia="Times New Roman" w:hAnsi="Arial" w:cs="Arial"/>
          <w:i/>
          <w:iCs/>
          <w:color w:val="4A4A4A"/>
          <w:sz w:val="20"/>
          <w:szCs w:val="20"/>
          <w:lang w:val="en-US" w:eastAsia="en-US"/>
        </w:rPr>
        <w:t>i</w:t>
      </w:r>
      <w:proofErr w:type="spellEnd"/>
      <w:r w:rsidRPr="00CB5DDC">
        <w:rPr>
          <w:rFonts w:ascii="Arial" w:eastAsia="Times New Roman" w:hAnsi="Arial" w:cs="Arial"/>
          <w:i/>
          <w:iCs/>
          <w:color w:val="4A4A4A"/>
          <w:sz w:val="20"/>
          <w:szCs w:val="20"/>
          <w:lang w:val="en-US" w:eastAsia="en-US"/>
        </w:rPr>
        <w:t> </w:t>
      </w:r>
      <w:r w:rsidRPr="00CB5DDC">
        <w:rPr>
          <w:rFonts w:ascii="Arial" w:eastAsia="Times New Roman" w:hAnsi="Arial" w:cs="Arial"/>
          <w:color w:val="4A4A4A"/>
          <w:sz w:val="20"/>
          <w:szCs w:val="20"/>
          <w:lang w:val="en-US" w:eastAsia="en-US"/>
        </w:rPr>
        <w:t>is the fraction not seeking treatment, calculated by (1-</w:t>
      </w:r>
      <w:r w:rsidRPr="00CB5DDC">
        <w:rPr>
          <w:rFonts w:ascii="Arial" w:eastAsia="Times New Roman" w:hAnsi="Arial" w:cs="Arial"/>
          <w:i/>
          <w:iCs/>
          <w:color w:val="4A4A4A"/>
          <w:sz w:val="20"/>
          <w:szCs w:val="20"/>
          <w:lang w:val="en-US" w:eastAsia="en-US"/>
        </w:rPr>
        <w:t>g</w:t>
      </w:r>
      <w:r w:rsidRPr="00CB5DDC">
        <w:rPr>
          <w:rFonts w:ascii="Arial" w:eastAsia="Times New Roman" w:hAnsi="Arial" w:cs="Arial"/>
          <w:color w:val="4A4A4A"/>
          <w:sz w:val="20"/>
          <w:szCs w:val="20"/>
          <w:lang w:val="en-US" w:eastAsia="en-US"/>
        </w:rPr>
        <w:t>-</w:t>
      </w:r>
      <w:r w:rsidRPr="00CB5DDC">
        <w:rPr>
          <w:rFonts w:ascii="Arial" w:eastAsia="Times New Roman" w:hAnsi="Arial" w:cs="Arial"/>
          <w:i/>
          <w:iCs/>
          <w:color w:val="4A4A4A"/>
          <w:sz w:val="20"/>
          <w:szCs w:val="20"/>
          <w:lang w:val="en-US" w:eastAsia="en-US"/>
        </w:rPr>
        <w:t>h</w:t>
      </w:r>
      <w:r w:rsidRPr="00CB5DDC">
        <w:rPr>
          <w:rFonts w:ascii="Arial" w:eastAsia="Times New Roman" w:hAnsi="Arial" w:cs="Arial"/>
          <w:color w:val="4A4A4A"/>
          <w:sz w:val="20"/>
          <w:szCs w:val="20"/>
          <w:lang w:val="en-US" w:eastAsia="en-US"/>
        </w:rPr>
        <w:t>)/2  </w:t>
      </w:r>
      <w:r w:rsidRPr="00CB5DDC">
        <w:rPr>
          <w:rFonts w:ascii="Arial" w:eastAsia="Times New Roman" w:hAnsi="Arial" w:cs="Arial"/>
          <w:color w:val="4A4A4A"/>
          <w:sz w:val="20"/>
          <w:szCs w:val="20"/>
          <w:lang w:val="en-US" w:eastAsia="en-US"/>
        </w:rPr>
        <w:br/>
      </w:r>
      <w:r w:rsidRPr="00CB5DDC">
        <w:rPr>
          <w:rFonts w:ascii="Arial" w:eastAsia="Times New Roman" w:hAnsi="Arial" w:cs="Arial"/>
          <w:i/>
          <w:iCs/>
          <w:color w:val="4A4A4A"/>
          <w:sz w:val="20"/>
          <w:szCs w:val="20"/>
          <w:lang w:val="en-US" w:eastAsia="en-US"/>
        </w:rPr>
        <w:t>j </w:t>
      </w:r>
      <w:r w:rsidRPr="00CB5DDC">
        <w:rPr>
          <w:rFonts w:ascii="Arial" w:eastAsia="Times New Roman" w:hAnsi="Arial" w:cs="Arial"/>
          <w:color w:val="4A4A4A"/>
          <w:sz w:val="20"/>
          <w:szCs w:val="20"/>
          <w:lang w:val="en-US" w:eastAsia="en-US"/>
        </w:rPr>
        <w:t xml:space="preserve">is </w:t>
      </w:r>
      <w:r w:rsidR="00C152E2">
        <w:rPr>
          <w:rFonts w:ascii="Arial" w:eastAsia="Times New Roman" w:hAnsi="Arial" w:cs="Arial"/>
          <w:color w:val="4A4A4A"/>
          <w:sz w:val="20"/>
          <w:szCs w:val="20"/>
          <w:lang w:val="en-US" w:eastAsia="en-US"/>
        </w:rPr>
        <w:t xml:space="preserve">the </w:t>
      </w:r>
      <w:r w:rsidRPr="00CB5DDC">
        <w:rPr>
          <w:rFonts w:ascii="Arial" w:eastAsia="Times New Roman" w:hAnsi="Arial" w:cs="Arial"/>
          <w:color w:val="4A4A4A"/>
          <w:sz w:val="20"/>
          <w:szCs w:val="20"/>
          <w:lang w:val="en-US" w:eastAsia="en-US"/>
        </w:rPr>
        <w:t>cases in private sector</w:t>
      </w:r>
      <w:r w:rsidR="00C152E2">
        <w:rPr>
          <w:rFonts w:ascii="Arial" w:eastAsia="Times New Roman" w:hAnsi="Arial" w:cs="Arial"/>
          <w:color w:val="4A4A4A"/>
          <w:sz w:val="20"/>
          <w:szCs w:val="20"/>
          <w:lang w:val="en-US" w:eastAsia="en-US"/>
        </w:rPr>
        <w:t>,</w:t>
      </w:r>
      <w:r w:rsidRPr="00CB5DDC">
        <w:rPr>
          <w:rFonts w:ascii="Arial" w:eastAsia="Times New Roman" w:hAnsi="Arial" w:cs="Arial"/>
          <w:color w:val="4A4A4A"/>
          <w:sz w:val="20"/>
          <w:szCs w:val="20"/>
          <w:lang w:val="en-US" w:eastAsia="en-US"/>
        </w:rPr>
        <w:t xml:space="preserve"> calculated </w:t>
      </w:r>
      <w:r w:rsidR="00C152E2">
        <w:rPr>
          <w:rFonts w:ascii="Arial" w:eastAsia="Times New Roman" w:hAnsi="Arial" w:cs="Arial"/>
          <w:color w:val="4A4A4A"/>
          <w:sz w:val="20"/>
          <w:szCs w:val="20"/>
          <w:lang w:val="en-US" w:eastAsia="en-US"/>
        </w:rPr>
        <w:t>as</w:t>
      </w:r>
      <w:r w:rsidRPr="00CB5DDC">
        <w:rPr>
          <w:rFonts w:ascii="Arial" w:eastAsia="Times New Roman" w:hAnsi="Arial" w:cs="Arial"/>
          <w:color w:val="4A4A4A"/>
          <w:sz w:val="20"/>
          <w:szCs w:val="20"/>
          <w:lang w:val="en-US" w:eastAsia="en-US"/>
        </w:rPr>
        <w:t> </w:t>
      </w:r>
      <w:r w:rsidRPr="00CB5DDC">
        <w:rPr>
          <w:rFonts w:ascii="Arial" w:eastAsia="Times New Roman" w:hAnsi="Arial" w:cs="Arial"/>
          <w:i/>
          <w:iCs/>
          <w:color w:val="4A4A4A"/>
          <w:sz w:val="20"/>
          <w:szCs w:val="20"/>
          <w:lang w:val="en-US" w:eastAsia="en-US"/>
        </w:rPr>
        <w:t>f x h/g</w:t>
      </w:r>
      <w:r w:rsidRPr="00CB5DDC">
        <w:rPr>
          <w:rFonts w:ascii="Arial" w:eastAsia="Times New Roman" w:hAnsi="Arial" w:cs="Arial"/>
          <w:color w:val="4A4A4A"/>
          <w:sz w:val="20"/>
          <w:szCs w:val="20"/>
          <w:lang w:val="en-US" w:eastAsia="en-US"/>
        </w:rPr>
        <w:t> </w:t>
      </w:r>
      <w:r w:rsidRPr="00CB5DDC">
        <w:rPr>
          <w:rFonts w:ascii="Arial" w:eastAsia="Times New Roman" w:hAnsi="Arial" w:cs="Arial"/>
          <w:color w:val="4A4A4A"/>
          <w:sz w:val="20"/>
          <w:szCs w:val="20"/>
          <w:lang w:val="en-US" w:eastAsia="en-US"/>
        </w:rPr>
        <w:br/>
      </w:r>
      <w:r w:rsidRPr="00CB5DDC">
        <w:rPr>
          <w:rFonts w:ascii="Arial" w:eastAsia="Times New Roman" w:hAnsi="Arial" w:cs="Arial"/>
          <w:i/>
          <w:iCs/>
          <w:color w:val="4A4A4A"/>
          <w:sz w:val="20"/>
          <w:szCs w:val="20"/>
          <w:lang w:val="en-US" w:eastAsia="en-US"/>
        </w:rPr>
        <w:t>k </w:t>
      </w:r>
      <w:r w:rsidRPr="00CB5DDC">
        <w:rPr>
          <w:rFonts w:ascii="Arial" w:eastAsia="Times New Roman" w:hAnsi="Arial" w:cs="Arial"/>
          <w:color w:val="4A4A4A"/>
          <w:sz w:val="20"/>
          <w:szCs w:val="20"/>
          <w:lang w:val="en-US" w:eastAsia="en-US"/>
        </w:rPr>
        <w:t xml:space="preserve">is </w:t>
      </w:r>
      <w:r w:rsidR="00C152E2">
        <w:rPr>
          <w:rFonts w:ascii="Arial" w:eastAsia="Times New Roman" w:hAnsi="Arial" w:cs="Arial"/>
          <w:color w:val="4A4A4A"/>
          <w:sz w:val="20"/>
          <w:szCs w:val="20"/>
          <w:lang w:val="en-US" w:eastAsia="en-US"/>
        </w:rPr>
        <w:t xml:space="preserve">the </w:t>
      </w:r>
      <w:r w:rsidRPr="00CB5DDC">
        <w:rPr>
          <w:rFonts w:ascii="Arial" w:eastAsia="Times New Roman" w:hAnsi="Arial" w:cs="Arial"/>
          <w:color w:val="4A4A4A"/>
          <w:sz w:val="20"/>
          <w:szCs w:val="20"/>
          <w:lang w:val="en-US" w:eastAsia="en-US"/>
        </w:rPr>
        <w:t>cases not in private and not in public, calculated by </w:t>
      </w:r>
      <w:r w:rsidRPr="00CB5DDC">
        <w:rPr>
          <w:rFonts w:ascii="Arial" w:eastAsia="Times New Roman" w:hAnsi="Arial" w:cs="Arial"/>
          <w:i/>
          <w:iCs/>
          <w:color w:val="4A4A4A"/>
          <w:sz w:val="20"/>
          <w:szCs w:val="20"/>
          <w:lang w:val="en-US" w:eastAsia="en-US"/>
        </w:rPr>
        <w:t>f </w:t>
      </w:r>
      <w:r w:rsidRPr="00CB5DDC">
        <w:rPr>
          <w:rFonts w:ascii="Arial" w:eastAsia="Times New Roman" w:hAnsi="Arial" w:cs="Arial"/>
          <w:color w:val="4A4A4A"/>
          <w:sz w:val="20"/>
          <w:szCs w:val="20"/>
          <w:lang w:val="en-US" w:eastAsia="en-US"/>
        </w:rPr>
        <w:t>x </w:t>
      </w:r>
      <w:proofErr w:type="spellStart"/>
      <w:r w:rsidRPr="00CB5DDC">
        <w:rPr>
          <w:rFonts w:ascii="Arial" w:eastAsia="Times New Roman" w:hAnsi="Arial" w:cs="Arial"/>
          <w:i/>
          <w:iCs/>
          <w:color w:val="4A4A4A"/>
          <w:sz w:val="20"/>
          <w:szCs w:val="20"/>
          <w:lang w:val="en-US" w:eastAsia="en-US"/>
        </w:rPr>
        <w:t>i</w:t>
      </w:r>
      <w:proofErr w:type="spellEnd"/>
      <w:r w:rsidRPr="00CB5DDC">
        <w:rPr>
          <w:rFonts w:ascii="Arial" w:eastAsia="Times New Roman" w:hAnsi="Arial" w:cs="Arial"/>
          <w:color w:val="4A4A4A"/>
          <w:sz w:val="20"/>
          <w:szCs w:val="20"/>
          <w:lang w:val="en-US" w:eastAsia="en-US"/>
        </w:rPr>
        <w:t>/</w:t>
      </w:r>
      <w:r w:rsidRPr="00CB5DDC">
        <w:rPr>
          <w:rFonts w:ascii="Arial" w:eastAsia="Times New Roman" w:hAnsi="Arial" w:cs="Arial"/>
          <w:i/>
          <w:iCs/>
          <w:color w:val="4A4A4A"/>
          <w:sz w:val="20"/>
          <w:szCs w:val="20"/>
          <w:lang w:val="en-US" w:eastAsia="en-US"/>
        </w:rPr>
        <w:t>g</w:t>
      </w:r>
      <w:r w:rsidRPr="00CB5DDC">
        <w:rPr>
          <w:rFonts w:ascii="Arial" w:eastAsia="Times New Roman" w:hAnsi="Arial" w:cs="Arial"/>
          <w:color w:val="4A4A4A"/>
          <w:sz w:val="20"/>
          <w:szCs w:val="20"/>
          <w:lang w:val="en-US" w:eastAsia="en-US"/>
        </w:rPr>
        <w:t> </w:t>
      </w:r>
      <w:r w:rsidRPr="00CB5DDC">
        <w:rPr>
          <w:rFonts w:ascii="Arial" w:eastAsia="Times New Roman" w:hAnsi="Arial" w:cs="Arial"/>
          <w:color w:val="4A4A4A"/>
          <w:sz w:val="20"/>
          <w:szCs w:val="20"/>
          <w:lang w:val="en-US" w:eastAsia="en-US"/>
        </w:rPr>
        <w:br/>
      </w:r>
      <w:r w:rsidRPr="00CB5DDC">
        <w:rPr>
          <w:rFonts w:ascii="Arial" w:eastAsia="Times New Roman" w:hAnsi="Arial" w:cs="Arial"/>
          <w:i/>
          <w:iCs/>
          <w:color w:val="4A4A4A"/>
          <w:sz w:val="20"/>
          <w:szCs w:val="20"/>
          <w:lang w:val="en-US" w:eastAsia="en-US"/>
        </w:rPr>
        <w:t>T </w:t>
      </w:r>
      <w:r w:rsidRPr="00CB5DDC">
        <w:rPr>
          <w:rFonts w:ascii="Arial" w:eastAsia="Times New Roman" w:hAnsi="Arial" w:cs="Arial"/>
          <w:color w:val="4A4A4A"/>
          <w:sz w:val="20"/>
          <w:szCs w:val="20"/>
          <w:lang w:val="en-US" w:eastAsia="en-US"/>
        </w:rPr>
        <w:t>is total cases, calculated by </w:t>
      </w:r>
      <w:r w:rsidRPr="00CB5DDC">
        <w:rPr>
          <w:rFonts w:ascii="Arial" w:eastAsia="Times New Roman" w:hAnsi="Arial" w:cs="Arial"/>
          <w:i/>
          <w:iCs/>
          <w:color w:val="4A4A4A"/>
          <w:sz w:val="20"/>
          <w:szCs w:val="20"/>
          <w:lang w:val="en-US" w:eastAsia="en-US"/>
        </w:rPr>
        <w:t>f </w:t>
      </w:r>
      <w:r w:rsidRPr="00CB5DDC">
        <w:rPr>
          <w:rFonts w:ascii="Arial" w:eastAsia="Times New Roman" w:hAnsi="Arial" w:cs="Arial"/>
          <w:color w:val="4A4A4A"/>
          <w:sz w:val="20"/>
          <w:szCs w:val="20"/>
          <w:lang w:val="en-US" w:eastAsia="en-US"/>
        </w:rPr>
        <w:t>+ </w:t>
      </w:r>
      <w:r w:rsidRPr="00CB5DDC">
        <w:rPr>
          <w:rFonts w:ascii="Arial" w:eastAsia="Times New Roman" w:hAnsi="Arial" w:cs="Arial"/>
          <w:i/>
          <w:iCs/>
          <w:color w:val="4A4A4A"/>
          <w:sz w:val="20"/>
          <w:szCs w:val="20"/>
          <w:lang w:val="en-US" w:eastAsia="en-US"/>
        </w:rPr>
        <w:t>j </w:t>
      </w:r>
      <w:r w:rsidRPr="00CB5DDC">
        <w:rPr>
          <w:rFonts w:ascii="Arial" w:eastAsia="Times New Roman" w:hAnsi="Arial" w:cs="Arial"/>
          <w:color w:val="4A4A4A"/>
          <w:sz w:val="20"/>
          <w:szCs w:val="20"/>
          <w:lang w:val="en-US" w:eastAsia="en-US"/>
        </w:rPr>
        <w:t>+ </w:t>
      </w:r>
      <w:r w:rsidRPr="00CB5DDC">
        <w:rPr>
          <w:rFonts w:ascii="Arial" w:eastAsia="Times New Roman" w:hAnsi="Arial" w:cs="Arial"/>
          <w:i/>
          <w:iCs/>
          <w:color w:val="4A4A4A"/>
          <w:sz w:val="20"/>
          <w:szCs w:val="20"/>
          <w:lang w:val="en-US" w:eastAsia="en-US"/>
        </w:rPr>
        <w:t>k</w:t>
      </w:r>
      <w:r w:rsidRPr="00CB5DDC">
        <w:rPr>
          <w:rFonts w:ascii="Arial" w:eastAsia="Times New Roman" w:hAnsi="Arial" w:cs="Arial"/>
          <w:color w:val="4A4A4A"/>
          <w:sz w:val="20"/>
          <w:szCs w:val="20"/>
          <w:lang w:val="en-US" w:eastAsia="en-US"/>
        </w:rPr>
        <w:t>.  </w:t>
      </w:r>
    </w:p>
    <w:p w14:paraId="3F682983" w14:textId="77777777" w:rsidR="004D46B2" w:rsidRPr="00CB5DDC" w:rsidRDefault="004D46B2" w:rsidP="004D46B2">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CB5DDC">
        <w:rPr>
          <w:rFonts w:ascii="Calibri" w:eastAsia="Times New Roman" w:hAnsi="Calibri" w:cs="Calibri"/>
          <w:color w:val="4A4A4A"/>
          <w:sz w:val="21"/>
          <w:szCs w:val="21"/>
          <w:lang w:val="en-US" w:eastAsia="en-US"/>
        </w:rPr>
        <w:t> </w:t>
      </w:r>
    </w:p>
    <w:p w14:paraId="3F07184A" w14:textId="4185828D" w:rsidR="00C152E2" w:rsidRPr="008D12B3" w:rsidRDefault="004D46B2" w:rsidP="004D46B2">
      <w:pPr>
        <w:shd w:val="clear" w:color="auto" w:fill="FFFFFF"/>
        <w:spacing w:after="0" w:line="240" w:lineRule="auto"/>
        <w:textAlignment w:val="baseline"/>
        <w:rPr>
          <w:rFonts w:ascii="Calibri" w:eastAsia="Times New Roman" w:hAnsi="Calibri" w:cs="Calibri"/>
          <w:color w:val="4A4A4A"/>
          <w:sz w:val="21"/>
          <w:szCs w:val="21"/>
          <w:shd w:val="clear" w:color="auto" w:fill="FFFFFF"/>
          <w:lang w:eastAsia="en-US"/>
        </w:rPr>
      </w:pPr>
      <w:r w:rsidRPr="00CB5DDC">
        <w:rPr>
          <w:rFonts w:ascii="Calibri" w:eastAsia="Times New Roman" w:hAnsi="Calibri" w:cs="Calibri"/>
          <w:color w:val="4A4A4A"/>
          <w:sz w:val="21"/>
          <w:szCs w:val="21"/>
          <w:shd w:val="clear" w:color="auto" w:fill="FFFFFF"/>
          <w:lang w:eastAsia="en-US"/>
        </w:rPr>
        <w:t>To estimate the uncertainty around the number of cases, the test positivity rate was assumed to have a normal distribution centred on the </w:t>
      </w:r>
      <w:r w:rsidRPr="00CB5DDC">
        <w:rPr>
          <w:rFonts w:ascii="Cambria Math" w:eastAsia="Times New Roman" w:hAnsi="Cambria Math" w:cs="Segoe UI"/>
          <w:i/>
          <w:iCs/>
          <w:color w:val="4A4A4A"/>
          <w:sz w:val="21"/>
          <w:szCs w:val="21"/>
          <w:shd w:val="clear" w:color="auto" w:fill="FFFFFF"/>
          <w:lang w:eastAsia="en-US"/>
        </w:rPr>
        <w:t>Test positivity rate</w:t>
      </w:r>
      <w:r w:rsidRPr="00CB5DDC">
        <w:rPr>
          <w:rFonts w:ascii="Calibri" w:eastAsia="Times New Roman" w:hAnsi="Calibri" w:cs="Calibri"/>
          <w:color w:val="4A4A4A"/>
          <w:sz w:val="21"/>
          <w:szCs w:val="21"/>
          <w:shd w:val="clear" w:color="auto" w:fill="FFFFFF"/>
          <w:lang w:eastAsia="en-US"/>
        </w:rPr>
        <w:t> value and standard deviation defined as </w:t>
      </w:r>
    </w:p>
    <w:p w14:paraId="0BFA4780" w14:textId="77777777" w:rsidR="004D46B2" w:rsidRPr="00CB5DDC" w:rsidRDefault="004D46B2" w:rsidP="004D46B2">
      <w:pPr>
        <w:shd w:val="clear" w:color="auto" w:fill="FFFFFF"/>
        <w:spacing w:after="0" w:line="240" w:lineRule="auto"/>
        <w:jc w:val="center"/>
        <w:rPr>
          <w:rFonts w:ascii="Times New Roman" w:eastAsia="Times New Roman" w:hAnsi="Times New Roman" w:cs="Times New Roman"/>
          <w:color w:val="4A4A4A"/>
          <w:sz w:val="24"/>
          <w:szCs w:val="24"/>
          <w:lang w:val="en-US" w:eastAsia="en-US"/>
        </w:rPr>
      </w:pPr>
      <w:r w:rsidRPr="008D12B3">
        <w:rPr>
          <w:rFonts w:ascii="MathJax_Main" w:eastAsia="Times New Roman" w:hAnsi="MathJax_Main" w:cs="Segoe UI"/>
          <w:color w:val="4A4A4A"/>
          <w:sz w:val="19"/>
          <w:szCs w:val="20"/>
          <w:bdr w:val="none" w:sz="0" w:space="0" w:color="auto" w:frame="1"/>
          <w:lang w:val="en-US" w:eastAsia="en-US"/>
        </w:rPr>
        <w:t>0.244</w:t>
      </w:r>
      <w:r w:rsidRPr="008D12B3">
        <w:rPr>
          <w:rFonts w:ascii="MathJax_Main" w:eastAsia="Times New Roman" w:hAnsi="MathJax_Main" w:cs="Segoe UI" w:hint="eastAsia"/>
          <w:color w:val="4A4A4A"/>
          <w:sz w:val="19"/>
          <w:szCs w:val="20"/>
          <w:bdr w:val="none" w:sz="0" w:space="0" w:color="auto" w:frame="1"/>
          <w:lang w:val="en-US" w:eastAsia="en-US"/>
        </w:rPr>
        <w:t> ×</w:t>
      </w:r>
      <w:r w:rsidRPr="008D12B3">
        <w:rPr>
          <w:rFonts w:ascii="MathJax_Main" w:eastAsia="Times New Roman" w:hAnsi="MathJax_Main" w:cs="Segoe UI" w:hint="eastAsia"/>
          <w:color w:val="4A4A4A"/>
          <w:sz w:val="21"/>
          <w:bdr w:val="none" w:sz="0" w:space="0" w:color="auto" w:frame="1"/>
          <w:lang w:val="en-US" w:eastAsia="en-US"/>
        </w:rPr>
        <w:t> </w:t>
      </w:r>
      <w:r w:rsidRPr="008D12B3">
        <w:rPr>
          <w:rFonts w:ascii="MathJax_Math-italic" w:eastAsia="Times New Roman" w:hAnsi="MathJax_Math-italic" w:cs="Segoe UI"/>
          <w:color w:val="4A4A4A"/>
          <w:sz w:val="21"/>
          <w:bdr w:val="none" w:sz="0" w:space="0" w:color="auto" w:frame="1"/>
          <w:lang w:val="en-US" w:eastAsia="en-US"/>
        </w:rPr>
        <w:t>Test</w:t>
      </w:r>
      <w:r w:rsidRPr="008D12B3">
        <w:rPr>
          <w:rFonts w:ascii="MathJax_Main" w:eastAsia="Times New Roman" w:hAnsi="MathJax_Main" w:cs="Segoe UI" w:hint="eastAsia"/>
          <w:color w:val="4A4A4A"/>
          <w:sz w:val="21"/>
          <w:bdr w:val="none" w:sz="0" w:space="0" w:color="auto" w:frame="1"/>
          <w:lang w:val="en-US" w:eastAsia="en-US"/>
        </w:rPr>
        <w:t> </w:t>
      </w:r>
      <w:r w:rsidRPr="008D12B3">
        <w:rPr>
          <w:rFonts w:ascii="MathJax_Math-italic" w:eastAsia="Times New Roman" w:hAnsi="MathJax_Math-italic" w:cs="Segoe UI"/>
          <w:color w:val="4A4A4A"/>
          <w:sz w:val="21"/>
          <w:bdr w:val="none" w:sz="0" w:space="0" w:color="auto" w:frame="1"/>
          <w:lang w:val="en-US" w:eastAsia="en-US"/>
        </w:rPr>
        <w:t>positivity</w:t>
      </w:r>
      <w:r w:rsidRPr="008D12B3">
        <w:rPr>
          <w:rFonts w:ascii="MathJax_Main" w:eastAsia="Times New Roman" w:hAnsi="MathJax_Main" w:cs="Segoe UI" w:hint="eastAsia"/>
          <w:color w:val="4A4A4A"/>
          <w:sz w:val="21"/>
          <w:bdr w:val="none" w:sz="0" w:space="0" w:color="auto" w:frame="1"/>
          <w:lang w:val="en-US" w:eastAsia="en-US"/>
        </w:rPr>
        <w:t> </w:t>
      </w:r>
      <w:r w:rsidRPr="008D12B3">
        <w:rPr>
          <w:rFonts w:ascii="MathJax_Math-italic" w:eastAsia="Times New Roman" w:hAnsi="MathJax_Math-italic" w:cs="Segoe UI"/>
          <w:color w:val="4A4A4A"/>
          <w:sz w:val="21"/>
          <w:bdr w:val="none" w:sz="0" w:space="0" w:color="auto" w:frame="1"/>
          <w:lang w:val="en-US" w:eastAsia="en-US"/>
        </w:rPr>
        <w:t>rate</w:t>
      </w:r>
      <w:r w:rsidRPr="008D12B3">
        <w:rPr>
          <w:rFonts w:ascii="MathJax_Main" w:eastAsia="Times New Roman" w:hAnsi="MathJax_Main" w:cs="Segoe UI"/>
          <w:color w:val="4A4A4A"/>
          <w:sz w:val="14"/>
          <w:szCs w:val="15"/>
          <w:bdr w:val="none" w:sz="0" w:space="0" w:color="auto" w:frame="1"/>
          <w:vertAlign w:val="superscript"/>
          <w:lang w:val="en-US" w:eastAsia="en-US"/>
        </w:rPr>
        <w:t>0</w:t>
      </w:r>
      <w:r w:rsidRPr="008D12B3">
        <w:rPr>
          <w:rFonts w:ascii="MathJax_Main" w:eastAsia="Times New Roman" w:hAnsi="MathJax_Main" w:cs="Segoe UI"/>
          <w:color w:val="4A4A4A"/>
          <w:sz w:val="16"/>
          <w:szCs w:val="16"/>
          <w:bdr w:val="none" w:sz="0" w:space="0" w:color="auto" w:frame="1"/>
          <w:vertAlign w:val="superscript"/>
          <w:lang w:val="en-US" w:eastAsia="en-US"/>
        </w:rPr>
        <w:t>.5547</w:t>
      </w:r>
    </w:p>
    <w:p w14:paraId="1B95BF1C" w14:textId="77777777" w:rsidR="004D46B2" w:rsidRPr="004D46B2" w:rsidRDefault="004D46B2" w:rsidP="004D46B2">
      <w:pPr>
        <w:shd w:val="clear" w:color="auto" w:fill="FFFFFF"/>
        <w:spacing w:after="0" w:line="240" w:lineRule="auto"/>
        <w:rPr>
          <w:rFonts w:ascii="Segoe UI" w:eastAsia="Times New Roman" w:hAnsi="Segoe UI" w:cs="Segoe UI"/>
          <w:color w:val="000000"/>
          <w:sz w:val="18"/>
          <w:szCs w:val="18"/>
          <w:lang w:val="en-US" w:eastAsia="en-US"/>
        </w:rPr>
      </w:pPr>
      <w:r w:rsidRPr="00CB5DDC">
        <w:rPr>
          <w:rFonts w:ascii="Calibri" w:eastAsia="Times New Roman" w:hAnsi="Calibri" w:cs="Calibri"/>
          <w:color w:val="4A4A4A"/>
          <w:sz w:val="21"/>
          <w:szCs w:val="21"/>
          <w:shd w:val="clear" w:color="auto" w:fill="FFFFFF"/>
          <w:lang w:eastAsia="en-US"/>
        </w:rPr>
        <w:t xml:space="preserve"> and truncated to be in the range 0, 1. Reporting completeness was assumed to have one of three distributions, depending on the range or value reported by the NMCP. If the range was greater than 80% the distribution was assumed to be triangular, with </w:t>
      </w:r>
      <w:r w:rsidRPr="004D46B2">
        <w:rPr>
          <w:rFonts w:ascii="Calibri" w:eastAsia="Times New Roman" w:hAnsi="Calibri" w:cs="Calibri"/>
          <w:color w:val="4A4A4A"/>
          <w:sz w:val="21"/>
          <w:szCs w:val="21"/>
          <w:shd w:val="clear" w:color="auto" w:fill="FFFFFF"/>
          <w:lang w:eastAsia="en-US"/>
        </w:rPr>
        <w:t>limits of 0.8 and 1 and the peak at 0.8. If the range was greater than 50</w:t>
      </w:r>
      <w:r w:rsidRPr="00CB5DDC">
        <w:rPr>
          <w:rFonts w:ascii="Calibri" w:eastAsia="Times New Roman" w:hAnsi="Calibri" w:cs="Calibri"/>
          <w:color w:val="4A4A4A"/>
          <w:sz w:val="21"/>
          <w:szCs w:val="21"/>
          <w:shd w:val="clear" w:color="auto" w:fill="FFFFFF"/>
          <w:lang w:eastAsia="en-US"/>
        </w:rPr>
        <w:t>% then the distribution was assumed to be rectangular, with limits of 0.5 and 0.8. Finally, if the range was lower than 50% the distribution was assumed to be triangular, with limits of 0 and 0.5 and the peak at 0.5 (3</w:t>
      </w:r>
      <w:proofErr w:type="gramStart"/>
      <w:r w:rsidRPr="00CB5DDC">
        <w:rPr>
          <w:rFonts w:ascii="Calibri" w:eastAsia="Times New Roman" w:hAnsi="Calibri" w:cs="Calibri"/>
          <w:color w:val="4A4A4A"/>
          <w:sz w:val="21"/>
          <w:szCs w:val="21"/>
          <w:shd w:val="clear" w:color="auto" w:fill="FFFFFF"/>
          <w:lang w:eastAsia="en-US"/>
        </w:rPr>
        <w:t>)</w:t>
      </w:r>
      <w:r w:rsidRPr="00CB5DDC">
        <w:rPr>
          <w:rFonts w:ascii="Arial" w:eastAsia="Times New Roman" w:hAnsi="Arial" w:cs="Arial"/>
          <w:color w:val="4A4A4A"/>
          <w:sz w:val="20"/>
          <w:szCs w:val="20"/>
          <w:shd w:val="clear" w:color="auto" w:fill="FFFFFF"/>
          <w:lang w:val="en-US" w:eastAsia="en-US"/>
        </w:rPr>
        <w:t> .</w:t>
      </w:r>
      <w:proofErr w:type="gramEnd"/>
      <w:r w:rsidRPr="00CB5DDC">
        <w:rPr>
          <w:rFonts w:ascii="Arial" w:eastAsia="Times New Roman" w:hAnsi="Arial" w:cs="Arial"/>
          <w:color w:val="4A4A4A"/>
          <w:sz w:val="20"/>
          <w:szCs w:val="20"/>
          <w:shd w:val="clear" w:color="auto" w:fill="FFFFFF"/>
          <w:lang w:val="en-US" w:eastAsia="en-US"/>
        </w:rPr>
        <w:t xml:space="preserve"> I</w:t>
      </w:r>
      <w:r w:rsidRPr="00CB5DDC">
        <w:rPr>
          <w:rFonts w:ascii="Calibri" w:eastAsia="Times New Roman" w:hAnsi="Calibri" w:cs="Calibri"/>
          <w:color w:val="4A4A4A"/>
          <w:sz w:val="21"/>
          <w:szCs w:val="21"/>
          <w:shd w:val="clear" w:color="auto" w:fill="FFFFFF"/>
          <w:lang w:val="en-US" w:eastAsia="en-US"/>
        </w:rPr>
        <w:t>f the reporting completeness was reported as a value and was greater than 80%, a beta distribution was assumed with a mean value of the reported value (maximum of 95%) and confidence intervals (CIs) of 5</w:t>
      </w:r>
      <w:r w:rsidRPr="004D46B2">
        <w:rPr>
          <w:rFonts w:ascii="Calibri" w:eastAsia="Times New Roman" w:hAnsi="Calibri" w:cs="Calibri"/>
          <w:color w:val="4A4A4A"/>
          <w:sz w:val="21"/>
          <w:szCs w:val="21"/>
          <w:shd w:val="clear" w:color="auto" w:fill="FFFFFF"/>
          <w:lang w:val="en-US" w:eastAsia="en-US"/>
        </w:rPr>
        <w:t>% round the mean value. </w:t>
      </w:r>
      <w:r w:rsidRPr="004D46B2">
        <w:rPr>
          <w:rFonts w:ascii="Calibri" w:eastAsia="Times New Roman" w:hAnsi="Calibri" w:cs="Calibri"/>
          <w:color w:val="4A4A4A"/>
          <w:sz w:val="21"/>
          <w:szCs w:val="21"/>
          <w:shd w:val="clear" w:color="auto" w:fill="FFFFFF"/>
          <w:lang w:eastAsia="en-US"/>
        </w:rPr>
        <w:t xml:space="preserve">The proportions of children for whom </w:t>
      </w:r>
      <w:r w:rsidRPr="004D46B2">
        <w:rPr>
          <w:rFonts w:ascii="Calibri" w:eastAsia="Times New Roman" w:hAnsi="Calibri" w:cs="Calibri"/>
          <w:color w:val="4A4A4A"/>
          <w:sz w:val="21"/>
          <w:szCs w:val="21"/>
          <w:shd w:val="clear" w:color="auto" w:fill="FFFFFF"/>
          <w:lang w:eastAsia="en-US"/>
        </w:rPr>
        <w:lastRenderedPageBreak/>
        <w:t>care was sought in the private sector and in the public sector were assumed to have a beta distribution, with the mean value being the estimated value in the survey and the standard deviation calculated from the range of the estimated 95% confidence intervals (CI) divided by 4. The proportion of children for whom care was not sought was assumed to have a rectangular distribution, with the lower limit 0 and upper limit calculated as </w:t>
      </w:r>
      <w:r w:rsidRPr="004D46B2">
        <w:rPr>
          <w:rFonts w:ascii="Calibri" w:eastAsia="Times New Roman" w:hAnsi="Calibri" w:cs="Calibri"/>
          <w:color w:val="4A4A4A"/>
          <w:sz w:val="21"/>
          <w:szCs w:val="21"/>
          <w:shd w:val="clear" w:color="auto" w:fill="FFFFFF"/>
          <w:lang w:val="en-US" w:eastAsia="en-US"/>
        </w:rPr>
        <w:t>1 minus the proportion that sought care in public or private sector. </w:t>
      </w:r>
      <w:r w:rsidRPr="004D46B2">
        <w:rPr>
          <w:rFonts w:ascii="Calibri" w:eastAsia="Times New Roman" w:hAnsi="Calibri" w:cs="Calibri"/>
          <w:color w:val="4A4A4A"/>
          <w:sz w:val="21"/>
          <w:szCs w:val="21"/>
          <w:lang w:val="en-US" w:eastAsia="en-US"/>
        </w:rPr>
        <w:t> </w:t>
      </w:r>
    </w:p>
    <w:p w14:paraId="5AD16532" w14:textId="77777777" w:rsidR="004D46B2" w:rsidRPr="004D46B2" w:rsidRDefault="004D46B2" w:rsidP="004D46B2">
      <w:pPr>
        <w:shd w:val="clear" w:color="auto" w:fill="FFFFFF"/>
        <w:spacing w:after="0" w:line="240" w:lineRule="auto"/>
        <w:textAlignment w:val="baseline"/>
        <w:rPr>
          <w:rFonts w:ascii="Segoe UI" w:eastAsia="Times New Roman" w:hAnsi="Segoe UI" w:cs="Segoe UI"/>
          <w:sz w:val="18"/>
          <w:szCs w:val="18"/>
          <w:lang w:val="en-US" w:eastAsia="en-US"/>
        </w:rPr>
      </w:pPr>
      <w:r w:rsidRPr="004D46B2">
        <w:rPr>
          <w:rFonts w:ascii="Calibri" w:eastAsia="Times New Roman" w:hAnsi="Calibri" w:cs="Calibri"/>
          <w:sz w:val="21"/>
          <w:szCs w:val="21"/>
          <w:lang w:val="en-US" w:eastAsia="en-US"/>
        </w:rPr>
        <w:t> </w:t>
      </w:r>
    </w:p>
    <w:p w14:paraId="2E2408B4" w14:textId="484D00FA" w:rsidR="004D46B2" w:rsidRPr="004D46B2" w:rsidRDefault="004D46B2" w:rsidP="004D46B2">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4D46B2">
        <w:rPr>
          <w:rFonts w:ascii="Calibri" w:eastAsia="Times New Roman" w:hAnsi="Calibri" w:cs="Calibri"/>
          <w:color w:val="4A4A4A"/>
          <w:sz w:val="21"/>
          <w:szCs w:val="21"/>
          <w:shd w:val="clear" w:color="auto" w:fill="FFFFFF"/>
          <w:lang w:eastAsia="en-US"/>
        </w:rPr>
        <w:t xml:space="preserve">Values for the proportion seeking care were linearly interpolated between the years that have a survey, and were extrapolated for the years before the first or after the last survey. Missing values for the distributions were imputed using a mixture of the distribution of the country, with equal probability for the </w:t>
      </w:r>
      <w:r w:rsidRPr="00CB5DDC">
        <w:rPr>
          <w:rFonts w:ascii="Calibri" w:eastAsia="Times New Roman" w:hAnsi="Calibri" w:cs="Calibri"/>
          <w:color w:val="4A4A4A"/>
          <w:sz w:val="21"/>
          <w:szCs w:val="21"/>
          <w:shd w:val="clear" w:color="auto" w:fill="FFFFFF"/>
          <w:lang w:eastAsia="en-US"/>
        </w:rPr>
        <w:t>years where values were present or, if there was no value at all for any year in the country, a mixture of the distribution of the region for that year. The data were analysed using the R statistical software (4). Confidence intervals were obtained from 10000 </w:t>
      </w:r>
      <w:proofErr w:type="spellStart"/>
      <w:r w:rsidRPr="00CB5DDC">
        <w:rPr>
          <w:rFonts w:ascii="Calibri" w:eastAsia="Times New Roman" w:hAnsi="Calibri" w:cs="Calibri"/>
          <w:color w:val="4A4A4A"/>
          <w:sz w:val="21"/>
          <w:szCs w:val="21"/>
          <w:shd w:val="clear" w:color="auto" w:fill="FFFFFF"/>
          <w:lang w:eastAsia="en-US"/>
        </w:rPr>
        <w:t>drawns</w:t>
      </w:r>
      <w:proofErr w:type="spellEnd"/>
      <w:r w:rsidRPr="00CB5DDC">
        <w:rPr>
          <w:rFonts w:ascii="Calibri" w:eastAsia="Times New Roman" w:hAnsi="Calibri" w:cs="Calibri"/>
          <w:color w:val="4A4A4A"/>
          <w:sz w:val="21"/>
          <w:szCs w:val="21"/>
          <w:shd w:val="clear" w:color="auto" w:fill="FFFFFF"/>
          <w:lang w:eastAsia="en-US"/>
        </w:rPr>
        <w:t> of the convoluted distributions.  (Afghanistan, Bangladesh, Bolivia (</w:t>
      </w:r>
      <w:proofErr w:type="spellStart"/>
      <w:r w:rsidRPr="00CB5DDC">
        <w:rPr>
          <w:rFonts w:ascii="Calibri" w:eastAsia="Times New Roman" w:hAnsi="Calibri" w:cs="Calibri"/>
          <w:color w:val="4A4A4A"/>
          <w:sz w:val="21"/>
          <w:szCs w:val="21"/>
          <w:shd w:val="clear" w:color="auto" w:fill="FFFFFF"/>
          <w:lang w:eastAsia="en-US"/>
        </w:rPr>
        <w:t>Plurinational</w:t>
      </w:r>
      <w:proofErr w:type="spellEnd"/>
      <w:r w:rsidRPr="00CB5DDC">
        <w:rPr>
          <w:rFonts w:ascii="Calibri" w:eastAsia="Times New Roman" w:hAnsi="Calibri" w:cs="Calibri"/>
          <w:color w:val="4A4A4A"/>
          <w:sz w:val="21"/>
          <w:szCs w:val="21"/>
          <w:shd w:val="clear" w:color="auto" w:fill="FFFFFF"/>
          <w:lang w:eastAsia="en-US"/>
        </w:rPr>
        <w:t xml:space="preserve"> State of), Botswana, Brazil, Cambodia, Colombia, Dominican </w:t>
      </w:r>
      <w:r w:rsidRPr="004D46B2">
        <w:rPr>
          <w:rFonts w:ascii="Calibri" w:eastAsia="Times New Roman" w:hAnsi="Calibri" w:cs="Calibri"/>
          <w:color w:val="4A4A4A"/>
          <w:sz w:val="21"/>
          <w:szCs w:val="21"/>
          <w:shd w:val="clear" w:color="auto" w:fill="FFFFFF"/>
          <w:lang w:eastAsia="en-US"/>
        </w:rPr>
        <w:t>Republic, Eritrea, Ethiopia, French Guiana, Gambia, Guatemala, Guyana, Haiti, Honduras, India, Indonesia, Lao People’s Democratic Republic, Madagascar, Mauritania, Myanmar, Namibia, Nepal, Nicaragua, Pakistan, Panama, Papua New Guinea, Peru, Philippines, Rwanda, Senegal, Solomon Islands, Timor-Leste, Vanuatu, Venezuela (Bolivarian Republic of), Viet Nam, Yemen and Zimbabwe. </w:t>
      </w:r>
      <w:r w:rsidRPr="004D46B2">
        <w:rPr>
          <w:rFonts w:ascii="Calibri" w:eastAsia="Times New Roman" w:hAnsi="Calibri" w:cs="Calibri"/>
          <w:color w:val="4A4A4A"/>
          <w:sz w:val="21"/>
          <w:szCs w:val="21"/>
          <w:shd w:val="clear" w:color="auto" w:fill="FFFFFF"/>
          <w:lang w:val="en-US" w:eastAsia="en-US"/>
        </w:rPr>
        <w:t>For India, the values were obtained at subnational level using the same methodology, but adjusting the private sector for an additional factor due to the active case detection, estimated as the ratio of the test positivity rate in the active case detection over the test positivity rate for the passive case detection. This factor was assumed to have a normal distribution, with mean value and standard deviation calculated from the values reported in 2010. Bangladesh, Bolivia</w:t>
      </w:r>
      <w:r w:rsidR="005D03CD">
        <w:rPr>
          <w:rFonts w:ascii="Calibri" w:eastAsia="Times New Roman" w:hAnsi="Calibri" w:cs="Calibri"/>
          <w:color w:val="4A4A4A"/>
          <w:sz w:val="21"/>
          <w:szCs w:val="21"/>
          <w:shd w:val="clear" w:color="auto" w:fill="FFFFFF"/>
          <w:lang w:val="en-US" w:eastAsia="en-US"/>
        </w:rPr>
        <w:t xml:space="preserve"> (</w:t>
      </w:r>
      <w:proofErr w:type="spellStart"/>
      <w:r w:rsidR="005D03CD">
        <w:rPr>
          <w:rFonts w:ascii="Calibri" w:eastAsia="Times New Roman" w:hAnsi="Calibri" w:cs="Calibri"/>
          <w:color w:val="4A4A4A"/>
          <w:sz w:val="21"/>
          <w:szCs w:val="21"/>
          <w:shd w:val="clear" w:color="auto" w:fill="FFFFFF"/>
          <w:lang w:val="en-US" w:eastAsia="en-US"/>
        </w:rPr>
        <w:t>plurinational</w:t>
      </w:r>
      <w:proofErr w:type="spellEnd"/>
      <w:r w:rsidR="005D03CD">
        <w:rPr>
          <w:rFonts w:ascii="Calibri" w:eastAsia="Times New Roman" w:hAnsi="Calibri" w:cs="Calibri"/>
          <w:color w:val="4A4A4A"/>
          <w:sz w:val="21"/>
          <w:szCs w:val="21"/>
          <w:shd w:val="clear" w:color="auto" w:fill="FFFFFF"/>
          <w:lang w:val="en-US" w:eastAsia="en-US"/>
        </w:rPr>
        <w:t xml:space="preserve"> State of)</w:t>
      </w:r>
      <w:r w:rsidRPr="004D46B2">
        <w:rPr>
          <w:rFonts w:ascii="Calibri" w:eastAsia="Times New Roman" w:hAnsi="Calibri" w:cs="Calibri"/>
          <w:color w:val="4A4A4A"/>
          <w:sz w:val="21"/>
          <w:szCs w:val="21"/>
          <w:shd w:val="clear" w:color="auto" w:fill="FFFFFF"/>
          <w:lang w:val="en-US" w:eastAsia="en-US"/>
        </w:rPr>
        <w:t>, Botswana, Brazil, Colombia, Dominican Republic, French Guiana, Guatemala, Guyana, Haiti, Honduras, Myanmar (since 2013), Rwanda,</w:t>
      </w:r>
      <w:r w:rsidR="005D03CD">
        <w:rPr>
          <w:rFonts w:ascii="Calibri" w:eastAsia="Times New Roman" w:hAnsi="Calibri" w:cs="Calibri"/>
          <w:color w:val="4A4A4A"/>
          <w:sz w:val="21"/>
          <w:szCs w:val="21"/>
          <w:shd w:val="clear" w:color="auto" w:fill="FFFFFF"/>
          <w:lang w:val="en-US" w:eastAsia="en-US"/>
        </w:rPr>
        <w:t xml:space="preserve"> </w:t>
      </w:r>
      <w:r w:rsidRPr="004D46B2">
        <w:rPr>
          <w:rFonts w:ascii="Calibri" w:eastAsia="Times New Roman" w:hAnsi="Calibri" w:cs="Calibri"/>
          <w:color w:val="4A4A4A"/>
          <w:sz w:val="21"/>
          <w:szCs w:val="21"/>
          <w:shd w:val="clear" w:color="auto" w:fill="FFFFFF"/>
          <w:lang w:val="en-US" w:eastAsia="en-US"/>
        </w:rPr>
        <w:t>and Venezuela (Bolivarian Republic of) report cases from the private and public sector together; therefore, no adjustment for private sector seeking treatment was made</w:t>
      </w:r>
      <w:r w:rsidR="00A56E22">
        <w:rPr>
          <w:rFonts w:ascii="Calibri" w:eastAsia="Times New Roman" w:hAnsi="Calibri" w:cs="Calibri"/>
          <w:color w:val="4A4A4A"/>
          <w:sz w:val="21"/>
          <w:szCs w:val="21"/>
          <w:shd w:val="clear" w:color="auto" w:fill="FFFFFF"/>
          <w:lang w:val="en-US" w:eastAsia="en-US"/>
        </w:rPr>
        <w:t xml:space="preserve"> while for Indonesia, 25% of the private was assume to be reported in the public sector since 2017</w:t>
      </w:r>
      <w:r w:rsidRPr="004D46B2">
        <w:rPr>
          <w:rFonts w:ascii="Calibri" w:eastAsia="Times New Roman" w:hAnsi="Calibri" w:cs="Calibri"/>
          <w:color w:val="4A4A4A"/>
          <w:sz w:val="21"/>
          <w:szCs w:val="21"/>
          <w:shd w:val="clear" w:color="auto" w:fill="FFFFFF"/>
          <w:lang w:val="en-US" w:eastAsia="en-US"/>
        </w:rPr>
        <w:t>. </w:t>
      </w:r>
      <w:r w:rsidRPr="004D46B2">
        <w:rPr>
          <w:rFonts w:ascii="Calibri" w:eastAsia="Times New Roman" w:hAnsi="Calibri" w:cs="Calibri"/>
          <w:color w:val="4A4A4A"/>
          <w:sz w:val="21"/>
          <w:szCs w:val="21"/>
          <w:lang w:val="en-US" w:eastAsia="en-US"/>
        </w:rPr>
        <w:t> </w:t>
      </w:r>
    </w:p>
    <w:p w14:paraId="376EBD8E" w14:textId="77777777" w:rsidR="004D46B2" w:rsidRPr="004D46B2" w:rsidRDefault="004D46B2" w:rsidP="004D46B2">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4D46B2">
        <w:rPr>
          <w:rFonts w:ascii="Calibri" w:eastAsia="Times New Roman" w:hAnsi="Calibri" w:cs="Calibri"/>
          <w:color w:val="4A4A4A"/>
          <w:sz w:val="21"/>
          <w:szCs w:val="21"/>
          <w:lang w:val="en-US" w:eastAsia="en-US"/>
        </w:rPr>
        <w:t> </w:t>
      </w:r>
    </w:p>
    <w:p w14:paraId="2E6AB419" w14:textId="20437605" w:rsidR="004D46B2" w:rsidRPr="004D46B2" w:rsidRDefault="004D46B2" w:rsidP="004D46B2">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4D46B2">
        <w:rPr>
          <w:rFonts w:ascii="Calibri" w:eastAsia="Times New Roman" w:hAnsi="Calibri" w:cs="Calibri"/>
          <w:color w:val="4A4A4A"/>
          <w:sz w:val="21"/>
          <w:szCs w:val="21"/>
          <w:shd w:val="clear" w:color="auto" w:fill="FFFFFF"/>
          <w:lang w:eastAsia="en-US"/>
        </w:rPr>
        <w:t>For some high-transmission African countries the quality of case reporting is considered insufficient for the above formulae to be applied.  In such cases estimates of the number of malaria cases are derived from information on parasite prevalence obtained from household surveys. First, data on parasite prevalence from nearly 60 000 survey records were assembled within a spatiotemporal Bayesian geostatistical model, along with environmental and sociodemographic covariates, and data distribution on interventions such as ITNs, antimalarial drugs and IRS. The geospatial model enabled predictions of Plasmodium falciparum prevalence in children aged 2–10 years, at a resolution of 5 × 5 km2, throughout all malaria endemic African countries for each year from 2000 to 2016 (see </w:t>
      </w:r>
      <w:hyperlink r:id="rId12" w:tgtFrame="_blank" w:history="1">
        <w:r w:rsidRPr="004D46B2">
          <w:rPr>
            <w:rFonts w:ascii="Calibri" w:eastAsia="Times New Roman" w:hAnsi="Calibri" w:cs="Calibri"/>
            <w:color w:val="0000FF"/>
            <w:sz w:val="21"/>
            <w:szCs w:val="21"/>
            <w:u w:val="single"/>
            <w:shd w:val="clear" w:color="auto" w:fill="FFFFFF"/>
            <w:lang w:eastAsia="en-US"/>
          </w:rPr>
          <w:t>http://www.map.ox.ac.uk/making-maps/</w:t>
        </w:r>
      </w:hyperlink>
      <w:r w:rsidRPr="004D46B2">
        <w:rPr>
          <w:rFonts w:ascii="Calibri" w:eastAsia="Times New Roman" w:hAnsi="Calibri" w:cs="Calibri"/>
          <w:color w:val="4A4A4A"/>
          <w:sz w:val="21"/>
          <w:szCs w:val="21"/>
          <w:shd w:val="clear" w:color="auto" w:fill="FFFFFF"/>
          <w:lang w:eastAsia="en-US"/>
        </w:rPr>
        <w:t> for methods on the development of maps by the Malaria Atlas Project). Second, an ensemble model was developed to predict malaria incidence as a function of parasite prevalence. The model was then applied to the estimated parasite prevalence in order to obtain estimates of the malaria case incidence at 5 × 5 km</w:t>
      </w:r>
      <w:r w:rsidRPr="004D46B2">
        <w:rPr>
          <w:rFonts w:ascii="Calibri" w:eastAsia="Times New Roman" w:hAnsi="Calibri" w:cs="Calibri"/>
          <w:color w:val="4A4A4A"/>
          <w:sz w:val="16"/>
          <w:szCs w:val="16"/>
          <w:shd w:val="clear" w:color="auto" w:fill="FFFFFF"/>
          <w:vertAlign w:val="superscript"/>
          <w:lang w:eastAsia="en-US"/>
        </w:rPr>
        <w:t>2</w:t>
      </w:r>
      <w:r w:rsidRPr="004D46B2">
        <w:rPr>
          <w:rFonts w:ascii="Calibri" w:eastAsia="Times New Roman" w:hAnsi="Calibri" w:cs="Calibri"/>
          <w:color w:val="4A4A4A"/>
          <w:sz w:val="21"/>
          <w:szCs w:val="21"/>
          <w:shd w:val="clear" w:color="auto" w:fill="FFFFFF"/>
          <w:lang w:eastAsia="en-US"/>
        </w:rPr>
        <w:t> resolution for each year from 2000 to 2016. Data for each 5 × 5 km</w:t>
      </w:r>
      <w:r w:rsidRPr="004D46B2">
        <w:rPr>
          <w:rFonts w:ascii="Calibri" w:eastAsia="Times New Roman" w:hAnsi="Calibri" w:cs="Calibri"/>
          <w:color w:val="4A4A4A"/>
          <w:sz w:val="16"/>
          <w:szCs w:val="16"/>
          <w:shd w:val="clear" w:color="auto" w:fill="FFFFFF"/>
          <w:vertAlign w:val="superscript"/>
          <w:lang w:eastAsia="en-US"/>
        </w:rPr>
        <w:t>2</w:t>
      </w:r>
      <w:r w:rsidRPr="004D46B2">
        <w:rPr>
          <w:rFonts w:ascii="Calibri" w:eastAsia="Times New Roman" w:hAnsi="Calibri" w:cs="Calibri"/>
          <w:color w:val="4A4A4A"/>
          <w:sz w:val="21"/>
          <w:szCs w:val="21"/>
          <w:shd w:val="clear" w:color="auto" w:fill="FFFFFF"/>
          <w:lang w:eastAsia="en-US"/>
        </w:rPr>
        <w:t> area were then aggregated within country and regional boundaries to obtain both national and regional estimates of malaria cases </w:t>
      </w:r>
      <w:r w:rsidRPr="004D46B2">
        <w:rPr>
          <w:rFonts w:ascii="Calibri" w:eastAsia="Times New Roman" w:hAnsi="Calibri" w:cs="Calibri"/>
          <w:color w:val="000000"/>
          <w:sz w:val="21"/>
          <w:szCs w:val="21"/>
          <w:shd w:val="clear" w:color="auto" w:fill="FFFFFF"/>
          <w:lang w:eastAsia="en-US"/>
        </w:rPr>
        <w:t>(5)</w:t>
      </w:r>
      <w:r w:rsidRPr="004D46B2">
        <w:rPr>
          <w:rFonts w:ascii="Calibri" w:eastAsia="Times New Roman" w:hAnsi="Calibri" w:cs="Calibri"/>
          <w:color w:val="4A4A4A"/>
          <w:sz w:val="21"/>
          <w:szCs w:val="21"/>
          <w:shd w:val="clear" w:color="auto" w:fill="FFFFFF"/>
          <w:lang w:eastAsia="en-US"/>
        </w:rPr>
        <w:t>. (</w:t>
      </w:r>
      <w:r w:rsidR="00A56E22">
        <w:rPr>
          <w:rFonts w:ascii="Calibri" w:eastAsia="Times New Roman" w:hAnsi="Calibri" w:cs="Calibri"/>
          <w:color w:val="4A4A4A"/>
          <w:sz w:val="21"/>
          <w:szCs w:val="21"/>
          <w:shd w:val="clear" w:color="auto" w:fill="FFFFFF"/>
          <w:lang w:eastAsia="en-US"/>
        </w:rPr>
        <w:t xml:space="preserve">Angola, </w:t>
      </w:r>
      <w:r w:rsidRPr="004D46B2">
        <w:rPr>
          <w:rFonts w:ascii="Calibri" w:eastAsia="Times New Roman" w:hAnsi="Calibri" w:cs="Calibri"/>
          <w:color w:val="4A4A4A"/>
          <w:sz w:val="21"/>
          <w:szCs w:val="21"/>
          <w:shd w:val="clear" w:color="auto" w:fill="FFFFFF"/>
          <w:lang w:eastAsia="en-US"/>
        </w:rPr>
        <w:t>Benin,</w:t>
      </w:r>
      <w:r w:rsidR="00A56E22">
        <w:rPr>
          <w:rFonts w:ascii="Calibri" w:eastAsia="Times New Roman" w:hAnsi="Calibri" w:cs="Calibri"/>
          <w:color w:val="4A4A4A"/>
          <w:sz w:val="21"/>
          <w:szCs w:val="21"/>
          <w:shd w:val="clear" w:color="auto" w:fill="FFFFFF"/>
          <w:lang w:eastAsia="en-US"/>
        </w:rPr>
        <w:t xml:space="preserve"> Burkina Faso, Burundi,</w:t>
      </w:r>
      <w:r w:rsidRPr="004D46B2">
        <w:rPr>
          <w:rFonts w:ascii="Calibri" w:eastAsia="Times New Roman" w:hAnsi="Calibri" w:cs="Calibri"/>
          <w:color w:val="4A4A4A"/>
          <w:sz w:val="21"/>
          <w:szCs w:val="21"/>
          <w:shd w:val="clear" w:color="auto" w:fill="FFFFFF"/>
          <w:lang w:eastAsia="en-US"/>
        </w:rPr>
        <w:t xml:space="preserve"> Cameroon, Central African Republic, Chad, Congo, Côte d'Ivoire, Democratic Republic of the Congo, Equatorial Guinea, Gabon, </w:t>
      </w:r>
      <w:r w:rsidR="00A56E22">
        <w:rPr>
          <w:rFonts w:ascii="Calibri" w:eastAsia="Times New Roman" w:hAnsi="Calibri" w:cs="Calibri"/>
          <w:color w:val="4A4A4A"/>
          <w:sz w:val="21"/>
          <w:szCs w:val="21"/>
          <w:shd w:val="clear" w:color="auto" w:fill="FFFFFF"/>
          <w:lang w:eastAsia="en-US"/>
        </w:rPr>
        <w:t xml:space="preserve">Ghana, </w:t>
      </w:r>
      <w:r w:rsidRPr="004D46B2">
        <w:rPr>
          <w:rFonts w:ascii="Calibri" w:eastAsia="Times New Roman" w:hAnsi="Calibri" w:cs="Calibri"/>
          <w:color w:val="4A4A4A"/>
          <w:sz w:val="21"/>
          <w:szCs w:val="21"/>
          <w:shd w:val="clear" w:color="auto" w:fill="FFFFFF"/>
          <w:lang w:eastAsia="en-US"/>
        </w:rPr>
        <w:t>Guinea,</w:t>
      </w:r>
      <w:r w:rsidR="003D4282">
        <w:rPr>
          <w:rFonts w:ascii="Calibri" w:eastAsia="Times New Roman" w:hAnsi="Calibri" w:cs="Calibri"/>
          <w:color w:val="4A4A4A"/>
          <w:sz w:val="21"/>
          <w:szCs w:val="21"/>
          <w:shd w:val="clear" w:color="auto" w:fill="FFFFFF"/>
          <w:lang w:eastAsia="en-US"/>
        </w:rPr>
        <w:t xml:space="preserve"> </w:t>
      </w:r>
      <w:r w:rsidR="00A56E22">
        <w:rPr>
          <w:rFonts w:ascii="Calibri" w:eastAsia="Times New Roman" w:hAnsi="Calibri" w:cs="Calibri"/>
          <w:color w:val="4A4A4A"/>
          <w:sz w:val="21"/>
          <w:szCs w:val="21"/>
          <w:shd w:val="clear" w:color="auto" w:fill="FFFFFF"/>
          <w:lang w:eastAsia="en-US"/>
        </w:rPr>
        <w:t xml:space="preserve">Guinea-Bissau, </w:t>
      </w:r>
      <w:r w:rsidRPr="004D46B2">
        <w:rPr>
          <w:rFonts w:ascii="Calibri" w:eastAsia="Times New Roman" w:hAnsi="Calibri" w:cs="Calibri"/>
          <w:color w:val="4A4A4A"/>
          <w:sz w:val="21"/>
          <w:szCs w:val="21"/>
          <w:shd w:val="clear" w:color="auto" w:fill="FFFFFF"/>
          <w:lang w:eastAsia="en-US"/>
        </w:rPr>
        <w:t xml:space="preserve"> Kenya,</w:t>
      </w:r>
      <w:r w:rsidR="00A56E22">
        <w:rPr>
          <w:rFonts w:ascii="Calibri" w:eastAsia="Times New Roman" w:hAnsi="Calibri" w:cs="Calibri"/>
          <w:color w:val="4A4A4A"/>
          <w:sz w:val="21"/>
          <w:szCs w:val="21"/>
          <w:shd w:val="clear" w:color="auto" w:fill="FFFFFF"/>
          <w:lang w:eastAsia="en-US"/>
        </w:rPr>
        <w:t xml:space="preserve"> Liberia, </w:t>
      </w:r>
      <w:r w:rsidRPr="004D46B2">
        <w:rPr>
          <w:rFonts w:ascii="Calibri" w:eastAsia="Times New Roman" w:hAnsi="Calibri" w:cs="Calibri"/>
          <w:color w:val="4A4A4A"/>
          <w:sz w:val="21"/>
          <w:szCs w:val="21"/>
          <w:shd w:val="clear" w:color="auto" w:fill="FFFFFF"/>
          <w:lang w:eastAsia="en-US"/>
        </w:rPr>
        <w:t xml:space="preserve"> Malawi, Mali, Mozambique, Niger, Nigeria,</w:t>
      </w:r>
      <w:r w:rsidR="00A56E22">
        <w:rPr>
          <w:rFonts w:ascii="Calibri" w:eastAsia="Times New Roman" w:hAnsi="Calibri" w:cs="Calibri"/>
          <w:color w:val="4A4A4A"/>
          <w:sz w:val="21"/>
          <w:szCs w:val="21"/>
          <w:shd w:val="clear" w:color="auto" w:fill="FFFFFF"/>
          <w:lang w:eastAsia="en-US"/>
        </w:rPr>
        <w:t xml:space="preserve"> Sierra Leone,</w:t>
      </w:r>
      <w:r w:rsidRPr="004D46B2">
        <w:rPr>
          <w:rFonts w:ascii="Calibri" w:eastAsia="Times New Roman" w:hAnsi="Calibri" w:cs="Calibri"/>
          <w:color w:val="4A4A4A"/>
          <w:sz w:val="21"/>
          <w:szCs w:val="21"/>
          <w:shd w:val="clear" w:color="auto" w:fill="FFFFFF"/>
          <w:lang w:eastAsia="en-US"/>
        </w:rPr>
        <w:t xml:space="preserve"> Somalia, South Sudan, Sudan, Togo</w:t>
      </w:r>
      <w:r w:rsidR="00A56E22">
        <w:rPr>
          <w:rFonts w:ascii="Calibri" w:eastAsia="Times New Roman" w:hAnsi="Calibri" w:cs="Calibri"/>
          <w:color w:val="4A4A4A"/>
          <w:sz w:val="21"/>
          <w:szCs w:val="21"/>
          <w:shd w:val="clear" w:color="auto" w:fill="FFFFFF"/>
          <w:lang w:eastAsia="en-US"/>
        </w:rPr>
        <w:t>, Uganda,  United Republic of Tanzania</w:t>
      </w:r>
      <w:r w:rsidRPr="004D46B2">
        <w:rPr>
          <w:rFonts w:ascii="Calibri" w:eastAsia="Times New Roman" w:hAnsi="Calibri" w:cs="Calibri"/>
          <w:color w:val="4A4A4A"/>
          <w:sz w:val="21"/>
          <w:szCs w:val="21"/>
          <w:shd w:val="clear" w:color="auto" w:fill="FFFFFF"/>
          <w:lang w:eastAsia="en-US"/>
        </w:rPr>
        <w:t xml:space="preserve"> and Zambia)</w:t>
      </w:r>
      <w:r w:rsidRPr="004D46B2">
        <w:rPr>
          <w:rFonts w:ascii="Calibri" w:eastAsia="Times New Roman" w:hAnsi="Calibri" w:cs="Calibri"/>
          <w:color w:val="4A4A4A"/>
          <w:sz w:val="21"/>
          <w:szCs w:val="21"/>
          <w:lang w:val="en-US" w:eastAsia="en-US"/>
        </w:rPr>
        <w:t> </w:t>
      </w:r>
    </w:p>
    <w:p w14:paraId="6240D900" w14:textId="77777777" w:rsidR="005D03CD" w:rsidRDefault="005D03CD" w:rsidP="004D46B2">
      <w:pPr>
        <w:shd w:val="clear" w:color="auto" w:fill="FFFFFF"/>
        <w:spacing w:after="0" w:line="240" w:lineRule="auto"/>
        <w:textAlignment w:val="baseline"/>
        <w:rPr>
          <w:rFonts w:ascii="Calibri" w:eastAsia="Times New Roman" w:hAnsi="Calibri" w:cs="Calibri"/>
          <w:color w:val="4A4A4A"/>
          <w:sz w:val="21"/>
          <w:szCs w:val="21"/>
          <w:shd w:val="clear" w:color="auto" w:fill="FFFFFF"/>
          <w:lang w:eastAsia="en-US"/>
        </w:rPr>
      </w:pPr>
    </w:p>
    <w:p w14:paraId="4E8BEFCF" w14:textId="1B5613EB" w:rsidR="004D46B2" w:rsidRPr="004D46B2" w:rsidRDefault="004D46B2" w:rsidP="004D46B2">
      <w:pPr>
        <w:shd w:val="clear" w:color="auto" w:fill="FFFFFF"/>
        <w:spacing w:after="0" w:line="240" w:lineRule="auto"/>
        <w:textAlignment w:val="baseline"/>
        <w:rPr>
          <w:rFonts w:ascii="Segoe UI" w:eastAsia="Times New Roman" w:hAnsi="Segoe UI" w:cs="Segoe UI"/>
          <w:color w:val="4A4A4A"/>
          <w:sz w:val="18"/>
          <w:szCs w:val="18"/>
          <w:lang w:val="en-US" w:eastAsia="en-US"/>
        </w:rPr>
      </w:pPr>
      <w:r w:rsidRPr="004D46B2">
        <w:rPr>
          <w:rFonts w:ascii="Calibri" w:eastAsia="Times New Roman" w:hAnsi="Calibri" w:cs="Calibri"/>
          <w:color w:val="4A4A4A"/>
          <w:sz w:val="21"/>
          <w:szCs w:val="21"/>
          <w:shd w:val="clear" w:color="auto" w:fill="FFFFFF"/>
          <w:lang w:eastAsia="en-US"/>
        </w:rPr>
        <w:t xml:space="preserve">For most of the elimination </w:t>
      </w:r>
      <w:r w:rsidR="005D03CD">
        <w:rPr>
          <w:rFonts w:ascii="Calibri" w:eastAsia="Times New Roman" w:hAnsi="Calibri" w:cs="Calibri"/>
          <w:color w:val="4A4A4A"/>
          <w:sz w:val="21"/>
          <w:szCs w:val="21"/>
          <w:shd w:val="clear" w:color="auto" w:fill="FFFFFF"/>
          <w:lang w:eastAsia="en-US"/>
        </w:rPr>
        <w:t xml:space="preserve">or near elimination </w:t>
      </w:r>
      <w:r w:rsidRPr="004D46B2">
        <w:rPr>
          <w:rFonts w:ascii="Calibri" w:eastAsia="Times New Roman" w:hAnsi="Calibri" w:cs="Calibri"/>
          <w:color w:val="4A4A4A"/>
          <w:sz w:val="21"/>
          <w:szCs w:val="21"/>
          <w:shd w:val="clear" w:color="auto" w:fill="FFFFFF"/>
          <w:lang w:eastAsia="en-US"/>
        </w:rPr>
        <w:t>countries, the number of indigenous cases registered by the NMCPs are reported without further adjustments. (Algeria, Argentina,</w:t>
      </w:r>
      <w:r w:rsidR="005D03CD">
        <w:rPr>
          <w:rFonts w:ascii="Calibri" w:eastAsia="Times New Roman" w:hAnsi="Calibri" w:cs="Calibri"/>
          <w:color w:val="4A4A4A"/>
          <w:sz w:val="21"/>
          <w:szCs w:val="21"/>
          <w:shd w:val="clear" w:color="auto" w:fill="FFFFFF"/>
          <w:lang w:eastAsia="en-US"/>
        </w:rPr>
        <w:t xml:space="preserve"> Armenia, Azerbaijan,</w:t>
      </w:r>
      <w:r w:rsidRPr="004D46B2">
        <w:rPr>
          <w:rFonts w:ascii="Calibri" w:eastAsia="Times New Roman" w:hAnsi="Calibri" w:cs="Calibri"/>
          <w:color w:val="4A4A4A"/>
          <w:sz w:val="21"/>
          <w:szCs w:val="21"/>
          <w:shd w:val="clear" w:color="auto" w:fill="FFFFFF"/>
          <w:lang w:eastAsia="en-US"/>
        </w:rPr>
        <w:t xml:space="preserve"> Belize, Bhutan, Cabo Verde, China, Comoros, Costa Rica, Democratic People’s Republic of Korea, </w:t>
      </w:r>
      <w:r w:rsidR="003D4282" w:rsidRPr="004D46B2">
        <w:rPr>
          <w:rFonts w:ascii="Calibri" w:eastAsia="Times New Roman" w:hAnsi="Calibri" w:cs="Calibri"/>
          <w:color w:val="4A4A4A"/>
          <w:sz w:val="21"/>
          <w:szCs w:val="21"/>
          <w:shd w:val="clear" w:color="auto" w:fill="FFFFFF"/>
          <w:lang w:eastAsia="en-US"/>
        </w:rPr>
        <w:t>Djibouti</w:t>
      </w:r>
      <w:r w:rsidRPr="004D46B2">
        <w:rPr>
          <w:rFonts w:ascii="Calibri" w:eastAsia="Times New Roman" w:hAnsi="Calibri" w:cs="Calibri"/>
          <w:color w:val="4A4A4A"/>
          <w:sz w:val="21"/>
          <w:szCs w:val="21"/>
          <w:shd w:val="clear" w:color="auto" w:fill="FFFFFF"/>
          <w:lang w:eastAsia="en-US"/>
        </w:rPr>
        <w:t>, Ecuador,</w:t>
      </w:r>
      <w:r w:rsidR="005D03CD">
        <w:rPr>
          <w:rFonts w:ascii="Calibri" w:eastAsia="Times New Roman" w:hAnsi="Calibri" w:cs="Calibri"/>
          <w:color w:val="4A4A4A"/>
          <w:sz w:val="21"/>
          <w:szCs w:val="21"/>
          <w:shd w:val="clear" w:color="auto" w:fill="FFFFFF"/>
          <w:lang w:eastAsia="en-US"/>
        </w:rPr>
        <w:t xml:space="preserve"> Egypt, </w:t>
      </w:r>
      <w:r w:rsidRPr="004D46B2">
        <w:rPr>
          <w:rFonts w:ascii="Calibri" w:eastAsia="Times New Roman" w:hAnsi="Calibri" w:cs="Calibri"/>
          <w:color w:val="4A4A4A"/>
          <w:sz w:val="21"/>
          <w:szCs w:val="21"/>
          <w:shd w:val="clear" w:color="auto" w:fill="FFFFFF"/>
          <w:lang w:eastAsia="en-US"/>
        </w:rPr>
        <w:t xml:space="preserve"> El Salvador, </w:t>
      </w:r>
      <w:r w:rsidR="005D03CD">
        <w:rPr>
          <w:rFonts w:ascii="Calibri" w:eastAsia="Times New Roman" w:hAnsi="Calibri" w:cs="Calibri"/>
          <w:color w:val="4A4A4A"/>
          <w:sz w:val="21"/>
          <w:szCs w:val="21"/>
          <w:shd w:val="clear" w:color="auto" w:fill="FFFFFF"/>
          <w:lang w:eastAsia="en-US"/>
        </w:rPr>
        <w:t xml:space="preserve">Eswatini, Georgia, </w:t>
      </w:r>
      <w:r w:rsidRPr="004D46B2">
        <w:rPr>
          <w:rFonts w:ascii="Calibri" w:eastAsia="Times New Roman" w:hAnsi="Calibri" w:cs="Calibri"/>
          <w:color w:val="4A4A4A"/>
          <w:sz w:val="21"/>
          <w:szCs w:val="21"/>
          <w:shd w:val="clear" w:color="auto" w:fill="FFFFFF"/>
          <w:lang w:eastAsia="en-US"/>
        </w:rPr>
        <w:t>Iran (Islamic Republic of), Iraq,</w:t>
      </w:r>
      <w:r w:rsidR="005D03CD">
        <w:rPr>
          <w:rFonts w:ascii="Calibri" w:eastAsia="Times New Roman" w:hAnsi="Calibri" w:cs="Calibri"/>
          <w:color w:val="4A4A4A"/>
          <w:sz w:val="21"/>
          <w:szCs w:val="21"/>
          <w:shd w:val="clear" w:color="auto" w:fill="FFFFFF"/>
          <w:lang w:eastAsia="en-US"/>
        </w:rPr>
        <w:t xml:space="preserve"> Kazakhstan, Kyrgyzstan,</w:t>
      </w:r>
      <w:r w:rsidRPr="004D46B2">
        <w:rPr>
          <w:rFonts w:ascii="Calibri" w:eastAsia="Times New Roman" w:hAnsi="Calibri" w:cs="Calibri"/>
          <w:color w:val="4A4A4A"/>
          <w:sz w:val="21"/>
          <w:szCs w:val="21"/>
          <w:shd w:val="clear" w:color="auto" w:fill="FFFFFF"/>
          <w:lang w:eastAsia="en-US"/>
        </w:rPr>
        <w:t xml:space="preserve"> Malaysia, Mexico, </w:t>
      </w:r>
      <w:r w:rsidR="003D4282">
        <w:rPr>
          <w:rFonts w:ascii="Calibri" w:eastAsia="Times New Roman" w:hAnsi="Calibri" w:cs="Calibri"/>
          <w:color w:val="4A4A4A"/>
          <w:sz w:val="21"/>
          <w:szCs w:val="21"/>
          <w:shd w:val="clear" w:color="auto" w:fill="FFFFFF"/>
          <w:lang w:eastAsia="en-US"/>
        </w:rPr>
        <w:t>Morocco</w:t>
      </w:r>
      <w:r w:rsidR="005D03CD">
        <w:rPr>
          <w:rFonts w:ascii="Calibri" w:eastAsia="Times New Roman" w:hAnsi="Calibri" w:cs="Calibri"/>
          <w:color w:val="4A4A4A"/>
          <w:sz w:val="21"/>
          <w:szCs w:val="21"/>
          <w:shd w:val="clear" w:color="auto" w:fill="FFFFFF"/>
          <w:lang w:eastAsia="en-US"/>
        </w:rPr>
        <w:t xml:space="preserve">, Oman, </w:t>
      </w:r>
      <w:r w:rsidRPr="004D46B2">
        <w:rPr>
          <w:rFonts w:ascii="Calibri" w:eastAsia="Times New Roman" w:hAnsi="Calibri" w:cs="Calibri"/>
          <w:color w:val="4A4A4A"/>
          <w:sz w:val="21"/>
          <w:szCs w:val="21"/>
          <w:shd w:val="clear" w:color="auto" w:fill="FFFFFF"/>
          <w:lang w:eastAsia="en-US"/>
        </w:rPr>
        <w:t xml:space="preserve">Paraguay, Republic of Korea, Sao Tome and Principe, Saudi Arabia, South Africa, </w:t>
      </w:r>
      <w:r w:rsidR="005D03CD">
        <w:rPr>
          <w:rFonts w:ascii="Calibri" w:eastAsia="Times New Roman" w:hAnsi="Calibri" w:cs="Calibri"/>
          <w:color w:val="4A4A4A"/>
          <w:sz w:val="21"/>
          <w:szCs w:val="21"/>
          <w:shd w:val="clear" w:color="auto" w:fill="FFFFFF"/>
          <w:lang w:eastAsia="en-US"/>
        </w:rPr>
        <w:t xml:space="preserve">Sri Lanka, </w:t>
      </w:r>
      <w:r w:rsidRPr="004D46B2">
        <w:rPr>
          <w:rFonts w:ascii="Calibri" w:eastAsia="Times New Roman" w:hAnsi="Calibri" w:cs="Calibri"/>
          <w:color w:val="4A4A4A"/>
          <w:sz w:val="21"/>
          <w:szCs w:val="21"/>
          <w:shd w:val="clear" w:color="auto" w:fill="FFFFFF"/>
          <w:lang w:eastAsia="en-US"/>
        </w:rPr>
        <w:t>Suriname,</w:t>
      </w:r>
      <w:r w:rsidR="005D03CD">
        <w:rPr>
          <w:rFonts w:ascii="Calibri" w:eastAsia="Times New Roman" w:hAnsi="Calibri" w:cs="Calibri"/>
          <w:color w:val="4A4A4A"/>
          <w:sz w:val="21"/>
          <w:szCs w:val="21"/>
          <w:shd w:val="clear" w:color="auto" w:fill="FFFFFF"/>
          <w:lang w:eastAsia="en-US"/>
        </w:rPr>
        <w:t xml:space="preserve"> Syrian Arab Republic, </w:t>
      </w:r>
      <w:r w:rsidRPr="004D46B2">
        <w:rPr>
          <w:rFonts w:ascii="Calibri" w:eastAsia="Times New Roman" w:hAnsi="Calibri" w:cs="Calibri"/>
          <w:color w:val="4A4A4A"/>
          <w:sz w:val="21"/>
          <w:szCs w:val="21"/>
          <w:shd w:val="clear" w:color="auto" w:fill="FFFFFF"/>
          <w:lang w:eastAsia="en-US"/>
        </w:rPr>
        <w:t xml:space="preserve"> Thailand</w:t>
      </w:r>
      <w:r w:rsidR="005D03CD">
        <w:rPr>
          <w:rFonts w:ascii="Calibri" w:eastAsia="Times New Roman" w:hAnsi="Calibri" w:cs="Calibri"/>
          <w:color w:val="4A4A4A"/>
          <w:sz w:val="21"/>
          <w:szCs w:val="21"/>
          <w:shd w:val="clear" w:color="auto" w:fill="FFFFFF"/>
          <w:lang w:eastAsia="en-US"/>
        </w:rPr>
        <w:t>, Turkey, Turkmenistan, United Arab Emirates and Uzbekistan</w:t>
      </w:r>
      <w:r w:rsidRPr="004D46B2">
        <w:rPr>
          <w:rFonts w:ascii="Calibri" w:eastAsia="Times New Roman" w:hAnsi="Calibri" w:cs="Calibri"/>
          <w:color w:val="4A4A4A"/>
          <w:sz w:val="21"/>
          <w:szCs w:val="21"/>
          <w:shd w:val="clear" w:color="auto" w:fill="FFFFFF"/>
          <w:lang w:eastAsia="en-US"/>
        </w:rPr>
        <w:t>).</w:t>
      </w:r>
      <w:r w:rsidRPr="004D46B2">
        <w:rPr>
          <w:rFonts w:ascii="Calibri" w:eastAsia="Times New Roman" w:hAnsi="Calibri" w:cs="Calibri"/>
          <w:color w:val="4A4A4A"/>
          <w:sz w:val="21"/>
          <w:szCs w:val="21"/>
          <w:lang w:val="en-US" w:eastAsia="en-US"/>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lastRenderedPageBreak/>
        <w:t>4.d. Validation</w:t>
      </w:r>
    </w:p>
    <w:p w14:paraId="0CD6FA91" w14:textId="09DA39F3" w:rsidR="007F62ED" w:rsidRPr="007F62ED" w:rsidRDefault="007F62ED" w:rsidP="008D12B3">
      <w:pPr>
        <w:pStyle w:val="MText"/>
        <w:rPr>
          <w:lang w:val="en-US"/>
        </w:rPr>
      </w:pPr>
      <w:r>
        <w:t>Burden estimates presented in t</w:t>
      </w:r>
      <w:r w:rsidRPr="007F62ED">
        <w:t xml:space="preserve">he World Malaria Report </w:t>
      </w:r>
      <w:r>
        <w:t>are</w:t>
      </w:r>
      <w:r w:rsidRPr="007F62ED">
        <w:t xml:space="preserve"> sent to the countries via regional offices for consultation and approval.</w:t>
      </w:r>
    </w:p>
    <w:p w14:paraId="0025F830" w14:textId="40B3FFC9"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294D56C6" w14:textId="7815BF4E" w:rsidR="003B0F41" w:rsidRPr="00A96255" w:rsidRDefault="003B0F41" w:rsidP="00576CFA">
      <w:pPr>
        <w:pStyle w:val="MText"/>
      </w:pPr>
      <w:r>
        <w:t>NA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28192003" w14:textId="4185782E" w:rsidR="004D46B2" w:rsidRPr="00696BD7" w:rsidRDefault="004D46B2" w:rsidP="004D46B2">
      <w:pPr>
        <w:pStyle w:val="paragraph"/>
        <w:numPr>
          <w:ilvl w:val="0"/>
          <w:numId w:val="7"/>
        </w:numPr>
        <w:shd w:val="clear" w:color="auto" w:fill="FFFFFF"/>
        <w:spacing w:before="0" w:beforeAutospacing="0" w:after="0" w:afterAutospacing="0"/>
        <w:ind w:left="135" w:firstLine="0"/>
        <w:textAlignment w:val="baseline"/>
        <w:rPr>
          <w:rStyle w:val="eop"/>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38604611" w14:textId="77777777" w:rsidR="00776F3D" w:rsidRDefault="00776F3D" w:rsidP="00696BD7">
      <w:pPr>
        <w:pStyle w:val="paragraph"/>
        <w:shd w:val="clear" w:color="auto" w:fill="FFFFFF"/>
        <w:spacing w:before="0" w:beforeAutospacing="0" w:after="0" w:afterAutospacing="0"/>
        <w:ind w:left="135"/>
        <w:textAlignment w:val="baseline"/>
        <w:rPr>
          <w:sz w:val="21"/>
          <w:szCs w:val="21"/>
        </w:rPr>
      </w:pPr>
    </w:p>
    <w:p w14:paraId="66EDE13D" w14:textId="77777777" w:rsidR="004D46B2" w:rsidRDefault="004D46B2" w:rsidP="004D46B2">
      <w:pPr>
        <w:pStyle w:val="paragraph"/>
        <w:shd w:val="clear" w:color="auto" w:fill="FFFFFF"/>
        <w:spacing w:before="0" w:beforeAutospacing="0" w:after="0" w:afterAutospacing="0"/>
        <w:textAlignment w:val="baseline"/>
        <w:rPr>
          <w:color w:val="4A4A4A"/>
          <w:sz w:val="21"/>
          <w:szCs w:val="21"/>
        </w:rPr>
      </w:pPr>
      <w:r>
        <w:rPr>
          <w:rStyle w:val="normaltextrun"/>
          <w:rFonts w:ascii="Calibri" w:hAnsi="Calibri" w:cs="Calibri"/>
          <w:color w:val="4A4A4A"/>
          <w:sz w:val="21"/>
          <w:szCs w:val="21"/>
          <w:shd w:val="clear" w:color="auto" w:fill="FFFFFF"/>
          <w:lang w:val="en-GB"/>
        </w:rPr>
        <w:t>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where made or extrapolation of the first or last survey. When no reported data is available the number of cases is interpolated taking into account the population growth.  </w:t>
      </w:r>
      <w:r>
        <w:rPr>
          <w:rStyle w:val="eop"/>
          <w:rFonts w:ascii="Calibri" w:hAnsi="Calibri" w:cs="Calibri"/>
          <w:color w:val="4A4A4A"/>
          <w:sz w:val="21"/>
          <w:szCs w:val="21"/>
        </w:rPr>
        <w:t> </w:t>
      </w:r>
    </w:p>
    <w:p w14:paraId="4EE6CC4F" w14:textId="77777777" w:rsidR="004D46B2" w:rsidRDefault="004D46B2" w:rsidP="004D46B2">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0738C2CD" w14:textId="77777777" w:rsidR="004D46B2" w:rsidRDefault="004D46B2" w:rsidP="004D46B2">
      <w:pPr>
        <w:pStyle w:val="paragraph"/>
        <w:numPr>
          <w:ilvl w:val="0"/>
          <w:numId w:val="8"/>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2795EC9E" w14:textId="77777777" w:rsidR="004D46B2" w:rsidRDefault="004D46B2" w:rsidP="004D46B2">
      <w:pPr>
        <w:pStyle w:val="paragraph"/>
        <w:shd w:val="clear" w:color="auto" w:fill="FFFFFF"/>
        <w:spacing w:before="0" w:beforeAutospacing="0" w:after="0" w:afterAutospacing="0"/>
        <w:textAlignment w:val="baseline"/>
        <w:rPr>
          <w:color w:val="4A4A4A"/>
          <w:sz w:val="21"/>
          <w:szCs w:val="21"/>
        </w:rPr>
      </w:pPr>
      <w:r>
        <w:rPr>
          <w:rStyle w:val="normaltextrun"/>
          <w:rFonts w:ascii="Calibri" w:hAnsi="Calibri" w:cs="Calibri"/>
          <w:color w:val="4A4A4A"/>
          <w:sz w:val="21"/>
          <w:szCs w:val="21"/>
          <w:shd w:val="clear" w:color="auto" w:fill="FFFFFF"/>
          <w:lang w:val="en-GB"/>
        </w:rPr>
        <w:t>Not Applicable</w:t>
      </w:r>
      <w:r>
        <w:rPr>
          <w:rStyle w:val="eop"/>
          <w:rFonts w:ascii="Calibri" w:hAnsi="Calibri" w:cs="Calibri"/>
          <w:color w:val="4A4A4A"/>
          <w:sz w:val="21"/>
          <w:szCs w:val="21"/>
        </w:rPr>
        <w:t> </w:t>
      </w:r>
    </w:p>
    <w:p w14:paraId="27033367" w14:textId="265CDC3F" w:rsidR="00EC2915" w:rsidRPr="00CB5DDC" w:rsidRDefault="004D46B2" w:rsidP="00CB5DDC">
      <w:pPr>
        <w:pStyle w:val="paragraph"/>
        <w:shd w:val="clear" w:color="auto" w:fill="FFFFFF"/>
        <w:spacing w:before="0" w:beforeAutospacing="0" w:after="0" w:afterAutospacing="0"/>
        <w:textAlignment w:val="baseline"/>
        <w:rPr>
          <w:sz w:val="21"/>
          <w:szCs w:val="21"/>
        </w:rPr>
      </w:pPr>
      <w:r>
        <w:rPr>
          <w:rStyle w:val="eop"/>
          <w:color w:val="4A4A4A"/>
          <w:sz w:val="21"/>
          <w:szCs w:val="21"/>
        </w:rPr>
        <w:t> </w:t>
      </w:r>
    </w:p>
    <w:p w14:paraId="51FCD280" w14:textId="0DAB30E3" w:rsidR="00E1050F" w:rsidRPr="00A96255" w:rsidRDefault="00E1050F" w:rsidP="00F719A8">
      <w:pPr>
        <w:pStyle w:val="MHeader2"/>
      </w:pPr>
      <w:r w:rsidRPr="00A96255">
        <w:t>4.g. Regional aggregations</w:t>
      </w:r>
    </w:p>
    <w:p w14:paraId="23327535" w14:textId="53794084" w:rsidR="00576CFA" w:rsidRPr="00A96255" w:rsidRDefault="00CB5DDC" w:rsidP="00CB5DDC">
      <w:pPr>
        <w:pStyle w:val="MText"/>
      </w:pPr>
      <w:r>
        <w:t>Number of cases are aggregated by region, and uncertainty obtained from the aggregation of each country’s distribution. Population at risk is aggregated without any further adjustment. Estimation at global level are obtained from aggregation of the region values.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E7D17B3" w14:textId="77777777" w:rsidR="004D46B2" w:rsidRDefault="004D46B2" w:rsidP="004D46B2">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Information is provided by each country’s NMCP using a DHIS 2 application created specifically for this purpose.</w:t>
      </w:r>
      <w:r>
        <w:rPr>
          <w:rStyle w:val="eop"/>
          <w:rFonts w:ascii="Calibri" w:hAnsi="Calibri" w:cs="Calibri"/>
          <w:color w:val="4A4A4A"/>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429D9520" w14:textId="54027204" w:rsidR="00622229" w:rsidRPr="00A96255" w:rsidRDefault="00622229" w:rsidP="00576CFA">
      <w:pPr>
        <w:pStyle w:val="MText"/>
      </w:pPr>
      <w:r>
        <w:t xml:space="preserve">Burden estimates are </w:t>
      </w:r>
      <w:r w:rsidR="003B0F41">
        <w:t xml:space="preserve">first </w:t>
      </w:r>
      <w:r>
        <w:t xml:space="preserve">reviewed </w:t>
      </w:r>
      <w:r w:rsidR="003B0F41">
        <w:t xml:space="preserve">internally by GMP and WHO regional and country offices. This are then share to country for validation. Final </w:t>
      </w:r>
      <w:r w:rsidR="007F62ED">
        <w:t>approval</w:t>
      </w:r>
      <w:r w:rsidR="003B0F41">
        <w:t xml:space="preserve"> received </w:t>
      </w:r>
      <w:proofErr w:type="gramStart"/>
      <w:r w:rsidR="003B0F41">
        <w:t xml:space="preserve">from </w:t>
      </w:r>
      <w:r>
        <w:t xml:space="preserve"> the</w:t>
      </w:r>
      <w:proofErr w:type="gramEnd"/>
      <w:r w:rsidR="003B0F41">
        <w:t xml:space="preserve"> WHO division of </w:t>
      </w:r>
      <w:r>
        <w:t xml:space="preserve"> Data, </w:t>
      </w:r>
      <w:r w:rsidR="007F62ED">
        <w:t>Analytics.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F1B4FAD" w14:textId="2EBB49AD" w:rsidR="004D46B2" w:rsidRDefault="004D46B2" w:rsidP="008D12B3">
      <w:pPr>
        <w:pStyle w:val="paragraph"/>
        <w:shd w:val="clear" w:color="auto" w:fill="FFFFFF"/>
        <w:spacing w:before="0" w:beforeAutospacing="0" w:after="0" w:afterAutospacing="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 xml:space="preserve">We </w:t>
      </w:r>
      <w:r w:rsidR="003B0F41">
        <w:rPr>
          <w:rStyle w:val="normaltextrun"/>
          <w:rFonts w:ascii="Calibri" w:hAnsi="Calibri" w:cs="Calibri"/>
          <w:color w:val="4A4A4A"/>
          <w:sz w:val="21"/>
          <w:szCs w:val="21"/>
          <w:shd w:val="clear" w:color="auto" w:fill="FFFFFF"/>
          <w:lang w:val="en-GB"/>
        </w:rPr>
        <w:t xml:space="preserve">collect data using a standardize form </w:t>
      </w:r>
      <w:r>
        <w:rPr>
          <w:rStyle w:val="normaltextrun"/>
          <w:rFonts w:ascii="Calibri" w:hAnsi="Calibri" w:cs="Calibri"/>
          <w:color w:val="4A4A4A"/>
          <w:sz w:val="21"/>
          <w:szCs w:val="21"/>
          <w:shd w:val="clear" w:color="auto" w:fill="FFFFFF"/>
          <w:lang w:val="en-GB"/>
        </w:rPr>
        <w:t>depending on the status of malaria control, elimination or prevention of r</w:t>
      </w:r>
      <w:r w:rsidR="003B0F41">
        <w:rPr>
          <w:rStyle w:val="normaltextrun"/>
          <w:rFonts w:ascii="Calibri" w:hAnsi="Calibri" w:cs="Calibri"/>
          <w:color w:val="4A4A4A"/>
          <w:sz w:val="21"/>
          <w:szCs w:val="21"/>
          <w:shd w:val="clear" w:color="auto" w:fill="FFFFFF"/>
          <w:lang w:val="en-GB"/>
        </w:rPr>
        <w:t xml:space="preserve">eintroduction. We work closely with the </w:t>
      </w:r>
      <w:r w:rsidR="00696BD7">
        <w:rPr>
          <w:rStyle w:val="normaltextrun"/>
          <w:rFonts w:ascii="Calibri" w:hAnsi="Calibri" w:cs="Calibri"/>
          <w:color w:val="4A4A4A"/>
          <w:sz w:val="21"/>
          <w:szCs w:val="21"/>
          <w:shd w:val="clear" w:color="auto" w:fill="FFFFFF"/>
          <w:lang w:val="en-GB"/>
        </w:rPr>
        <w:t>collaborators</w:t>
      </w:r>
      <w:r w:rsidR="003B0F41">
        <w:rPr>
          <w:rStyle w:val="normaltextrun"/>
          <w:rFonts w:ascii="Calibri" w:hAnsi="Calibri" w:cs="Calibri"/>
          <w:color w:val="4A4A4A"/>
          <w:sz w:val="21"/>
          <w:szCs w:val="21"/>
          <w:shd w:val="clear" w:color="auto" w:fill="FFFFFF"/>
          <w:lang w:val="en-GB"/>
        </w:rPr>
        <w:t xml:space="preserve"> </w:t>
      </w:r>
      <w:r w:rsidR="00696BD7">
        <w:rPr>
          <w:rStyle w:val="normaltextrun"/>
          <w:rFonts w:ascii="Calibri" w:hAnsi="Calibri" w:cs="Calibri"/>
          <w:color w:val="4A4A4A"/>
          <w:sz w:val="21"/>
          <w:szCs w:val="21"/>
          <w:shd w:val="clear" w:color="auto" w:fill="FFFFFF"/>
          <w:lang w:val="en-GB"/>
        </w:rPr>
        <w:t>centres</w:t>
      </w:r>
      <w:r w:rsidR="003B0F41">
        <w:rPr>
          <w:rStyle w:val="normaltextrun"/>
          <w:rFonts w:ascii="Calibri" w:hAnsi="Calibri" w:cs="Calibri"/>
          <w:color w:val="4A4A4A"/>
          <w:sz w:val="21"/>
          <w:szCs w:val="21"/>
          <w:shd w:val="clear" w:color="auto" w:fill="FFFFFF"/>
          <w:lang w:val="en-GB"/>
        </w:rPr>
        <w:t xml:space="preserve"> and external </w:t>
      </w:r>
      <w:r w:rsidR="003D4282">
        <w:rPr>
          <w:rStyle w:val="normaltextrun"/>
          <w:rFonts w:ascii="Calibri" w:hAnsi="Calibri" w:cs="Calibri"/>
          <w:color w:val="4A4A4A"/>
          <w:sz w:val="21"/>
          <w:szCs w:val="21"/>
          <w:shd w:val="clear" w:color="auto" w:fill="FFFFFF"/>
          <w:lang w:val="en-GB"/>
        </w:rPr>
        <w:t>reviewers</w:t>
      </w:r>
      <w:r w:rsidR="003B0F41">
        <w:rPr>
          <w:rStyle w:val="normaltextrun"/>
          <w:rFonts w:ascii="Calibri" w:hAnsi="Calibri" w:cs="Calibri"/>
          <w:color w:val="4A4A4A"/>
          <w:sz w:val="21"/>
          <w:szCs w:val="21"/>
          <w:shd w:val="clear" w:color="auto" w:fill="FFFFFF"/>
          <w:lang w:val="en-GB"/>
        </w:rPr>
        <w:t xml:space="preserve"> to assure quality. </w:t>
      </w:r>
    </w:p>
    <w:p w14:paraId="03EF3244" w14:textId="77777777" w:rsidR="00EC2915" w:rsidRPr="00A96255" w:rsidRDefault="00EC2915" w:rsidP="008D12B3">
      <w:pPr>
        <w:pStyle w:val="paragraph"/>
        <w:shd w:val="clear" w:color="auto" w:fill="FFFFFF"/>
        <w:spacing w:before="0" w:beforeAutospacing="0" w:after="0" w:afterAutospacing="0"/>
        <w:textAlignment w:val="baseline"/>
      </w:pPr>
    </w:p>
    <w:p w14:paraId="34ADD322" w14:textId="1A21C057" w:rsidR="00E1050F" w:rsidRPr="00A96255" w:rsidRDefault="00576CFA" w:rsidP="00F719A8">
      <w:pPr>
        <w:pStyle w:val="MHeader2"/>
      </w:pPr>
      <w:r w:rsidRPr="00A96255">
        <w:t>4.k Qua</w:t>
      </w:r>
      <w:r w:rsidR="00E1050F" w:rsidRPr="00A96255">
        <w:t>lity assessment</w:t>
      </w:r>
    </w:p>
    <w:p w14:paraId="326EB0AB" w14:textId="0476B2A5" w:rsidR="00576CFA" w:rsidRPr="00A96255" w:rsidRDefault="007F62ED" w:rsidP="00576CFA">
      <w:pPr>
        <w:pStyle w:val="MText"/>
      </w:pPr>
      <w:r>
        <w:rPr>
          <w:rStyle w:val="normaltextrun"/>
          <w:rFonts w:ascii="Calibri" w:hAnsi="Calibri" w:cs="Calibri"/>
          <w:shd w:val="clear" w:color="auto" w:fill="FFFFFF"/>
        </w:rPr>
        <w:t>We perform internal validation for outliers and completeness and r</w:t>
      </w:r>
      <w:r w:rsidR="003B0F41">
        <w:rPr>
          <w:rStyle w:val="normaltextrun"/>
          <w:rFonts w:ascii="Calibri" w:hAnsi="Calibri" w:cs="Calibri"/>
          <w:shd w:val="clear" w:color="auto" w:fill="FFFFFF"/>
        </w:rPr>
        <w:t>ai</w:t>
      </w:r>
      <w:r>
        <w:rPr>
          <w:rStyle w:val="normaltextrun"/>
          <w:rFonts w:ascii="Calibri" w:hAnsi="Calibri" w:cs="Calibri"/>
          <w:shd w:val="clear" w:color="auto" w:fill="FFFFFF"/>
        </w:rPr>
        <w:t>se queries to countries through the regional offices for clarification. When necessary we rely on data quality assessment information from external sources such as partners working in malaria monitor and evaluation.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03B214A" w14:textId="179BF9B0" w:rsidR="00176B6D" w:rsidRPr="00CB5DDC" w:rsidRDefault="00D51E7C" w:rsidP="00CB5DDC">
      <w:pPr>
        <w:pStyle w:val="MText"/>
      </w:pPr>
      <w:r w:rsidRPr="00CB5DDC">
        <w:t>Data availability:</w:t>
      </w:r>
      <w:r w:rsidR="00176B6D" w:rsidRPr="00CB5DDC">
        <w:t xml:space="preserve"> </w:t>
      </w:r>
      <w:r w:rsidR="00176B6D" w:rsidRPr="00CB5DDC">
        <w:rPr>
          <w:rStyle w:val="eop"/>
        </w:rPr>
        <w:t> </w:t>
      </w:r>
    </w:p>
    <w:p w14:paraId="3778F704" w14:textId="77777777" w:rsidR="00176B6D" w:rsidRPr="00CB5DDC" w:rsidRDefault="00176B6D" w:rsidP="00CB5DDC">
      <w:pPr>
        <w:pStyle w:val="MText"/>
      </w:pPr>
      <w:r w:rsidRPr="00CB5DDC">
        <w:rPr>
          <w:rStyle w:val="normaltextrun"/>
        </w:rPr>
        <w:t>109 countries</w:t>
      </w:r>
      <w:r w:rsidRPr="00CB5DDC">
        <w:rPr>
          <w:rStyle w:val="eop"/>
        </w:rPr>
        <w:t> </w:t>
      </w:r>
    </w:p>
    <w:p w14:paraId="36A913D8" w14:textId="77777777" w:rsidR="00176B6D" w:rsidRPr="00CB5DDC" w:rsidRDefault="00176B6D" w:rsidP="00CB5DDC">
      <w:pPr>
        <w:pStyle w:val="MText"/>
      </w:pPr>
      <w:r w:rsidRPr="00CB5DDC">
        <w:rPr>
          <w:rStyle w:val="eop"/>
        </w:rPr>
        <w:t> </w:t>
      </w:r>
    </w:p>
    <w:p w14:paraId="0F6B1293" w14:textId="77777777" w:rsidR="00176B6D" w:rsidRPr="00CB5DDC" w:rsidRDefault="00176B6D" w:rsidP="00CB5DDC">
      <w:pPr>
        <w:pStyle w:val="MText"/>
      </w:pPr>
      <w:r w:rsidRPr="00CB5DDC">
        <w:rPr>
          <w:rStyle w:val="normaltextrun"/>
        </w:rPr>
        <w:t>Time series:</w:t>
      </w:r>
      <w:r w:rsidRPr="00CB5DDC">
        <w:rPr>
          <w:rStyle w:val="eop"/>
        </w:rPr>
        <w:t> </w:t>
      </w:r>
    </w:p>
    <w:p w14:paraId="19B4415C" w14:textId="77777777" w:rsidR="00176B6D" w:rsidRPr="00CB5DDC" w:rsidRDefault="00176B6D" w:rsidP="00CB5DDC">
      <w:pPr>
        <w:pStyle w:val="MText"/>
      </w:pPr>
      <w:r w:rsidRPr="00CB5DDC">
        <w:rPr>
          <w:rStyle w:val="normaltextrun"/>
        </w:rPr>
        <w:t>Annually from 2000</w:t>
      </w:r>
      <w:r w:rsidRPr="00CB5DDC">
        <w:rPr>
          <w:rStyle w:val="eop"/>
        </w:rPr>
        <w:t> </w:t>
      </w:r>
    </w:p>
    <w:p w14:paraId="464A8CCF" w14:textId="333C237D" w:rsidR="00576CFA" w:rsidRPr="00CB5DDC" w:rsidRDefault="00576CFA" w:rsidP="00CB5DDC">
      <w:pPr>
        <w:pStyle w:val="MText"/>
        <w:rPr>
          <w:highlight w:val="cyan"/>
        </w:rPr>
      </w:pPr>
    </w:p>
    <w:p w14:paraId="6157B338" w14:textId="77777777" w:rsidR="00CB5DDC" w:rsidRPr="00CB5DDC" w:rsidRDefault="00D51E7C" w:rsidP="00CB5DDC">
      <w:pPr>
        <w:pStyle w:val="MText"/>
      </w:pPr>
      <w:r w:rsidRPr="00CB5DDC">
        <w:t>Disaggregation:</w:t>
      </w:r>
    </w:p>
    <w:p w14:paraId="42E8CA56" w14:textId="5FDD4855" w:rsidR="00D51E7C" w:rsidRDefault="00176B6D" w:rsidP="00CB5DDC">
      <w:pPr>
        <w:pStyle w:val="MText"/>
        <w:rPr>
          <w:rStyle w:val="eop"/>
        </w:rPr>
      </w:pPr>
      <w:r w:rsidRPr="00CB5DDC">
        <w:rPr>
          <w:rStyle w:val="normaltextrun"/>
        </w:rPr>
        <w:t>The indicator is estimated at country level.</w:t>
      </w:r>
      <w:r w:rsidRPr="00CB5DDC">
        <w:rPr>
          <w:rStyle w:val="eop"/>
        </w:rPr>
        <w:t> </w:t>
      </w:r>
    </w:p>
    <w:p w14:paraId="472CBDAB" w14:textId="77777777" w:rsidR="000C3DEF" w:rsidRPr="00A96255" w:rsidRDefault="000C3DEF" w:rsidP="00CB5DDC">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649190D" w14:textId="77777777" w:rsidR="00CB5DDC" w:rsidRPr="00CB5DDC" w:rsidRDefault="00CB5DDC" w:rsidP="00CB5DDC">
      <w:pPr>
        <w:pStyle w:val="paragraph"/>
        <w:shd w:val="clear" w:color="auto" w:fill="FFFFFF"/>
        <w:spacing w:before="0" w:beforeAutospacing="0" w:after="0" w:afterAutospacing="0"/>
        <w:textAlignment w:val="baseline"/>
        <w:rPr>
          <w:color w:val="4A4A4A"/>
          <w:sz w:val="21"/>
          <w:szCs w:val="21"/>
        </w:rPr>
      </w:pPr>
      <w:r w:rsidRPr="00CB5DDC">
        <w:rPr>
          <w:rStyle w:val="normaltextrun"/>
          <w:rFonts w:ascii="Calibri" w:hAnsi="Calibri" w:cs="Calibri"/>
          <w:b/>
          <w:bCs/>
          <w:color w:val="4A4A4A"/>
          <w:sz w:val="21"/>
          <w:szCs w:val="21"/>
          <w:lang w:val="en-GB"/>
        </w:rPr>
        <w:t>Sources of discrepancies:</w:t>
      </w:r>
      <w:r w:rsidRPr="00CB5DDC">
        <w:rPr>
          <w:rStyle w:val="eop"/>
          <w:rFonts w:ascii="Calibri" w:hAnsi="Calibri" w:cs="Calibri"/>
          <w:color w:val="4A4A4A"/>
          <w:sz w:val="21"/>
          <w:szCs w:val="21"/>
        </w:rPr>
        <w:t> </w:t>
      </w:r>
    </w:p>
    <w:p w14:paraId="6D5309DF" w14:textId="77777777" w:rsidR="00CB5DDC" w:rsidRPr="00CB5DDC" w:rsidRDefault="00CB5DDC" w:rsidP="00CB5DDC">
      <w:pPr>
        <w:pStyle w:val="paragraph"/>
        <w:shd w:val="clear" w:color="auto" w:fill="FFFFFF"/>
        <w:spacing w:before="0" w:beforeAutospacing="0" w:after="0" w:afterAutospacing="0"/>
        <w:textAlignment w:val="baseline"/>
        <w:rPr>
          <w:color w:val="4A4A4A"/>
          <w:sz w:val="21"/>
          <w:szCs w:val="21"/>
        </w:rPr>
      </w:pPr>
      <w:r w:rsidRPr="00CB5DDC">
        <w:rPr>
          <w:rStyle w:val="normaltextrun"/>
          <w:rFonts w:ascii="Calibri" w:hAnsi="Calibri" w:cs="Calibri"/>
          <w:color w:val="4A4A4A"/>
          <w:sz w:val="21"/>
          <w:szCs w:val="21"/>
          <w:shd w:val="clear" w:color="auto" w:fill="FFFFFF"/>
          <w:lang w:val="en-GB"/>
        </w:rPr>
        <w:t>The estimated incidence can differ from the incidence reported by a Ministry of Health which can be affected by:</w:t>
      </w:r>
      <w:r w:rsidRPr="00CB5DDC">
        <w:rPr>
          <w:rStyle w:val="eop"/>
          <w:rFonts w:ascii="Calibri" w:hAnsi="Calibri" w:cs="Calibri"/>
          <w:color w:val="4A4A4A"/>
          <w:sz w:val="21"/>
          <w:szCs w:val="21"/>
        </w:rPr>
        <w:t> </w:t>
      </w:r>
    </w:p>
    <w:p w14:paraId="25AE9D7C" w14:textId="77777777" w:rsidR="00CB5DDC" w:rsidRPr="00CB5DDC" w:rsidRDefault="00CB5DDC" w:rsidP="008D12B3">
      <w:pPr>
        <w:pStyle w:val="paragraph"/>
        <w:numPr>
          <w:ilvl w:val="0"/>
          <w:numId w:val="9"/>
        </w:numPr>
        <w:shd w:val="clear" w:color="auto" w:fill="FFFFFF"/>
        <w:spacing w:before="0" w:beforeAutospacing="0" w:after="0" w:afterAutospacing="0"/>
        <w:ind w:hanging="720"/>
        <w:textAlignment w:val="baseline"/>
        <w:rPr>
          <w:color w:val="4A4A4A"/>
          <w:sz w:val="21"/>
          <w:szCs w:val="21"/>
        </w:rPr>
      </w:pPr>
      <w:r w:rsidRPr="00CB5DDC">
        <w:rPr>
          <w:rStyle w:val="normaltextrun"/>
          <w:rFonts w:ascii="Calibri" w:hAnsi="Calibri" w:cs="Calibri"/>
          <w:color w:val="4A4A4A"/>
          <w:sz w:val="21"/>
          <w:szCs w:val="21"/>
          <w:lang w:val="en-GB"/>
        </w:rPr>
        <w:t>the completeness of reporting: the number of reported cases can be lower than the estimated cases if the percentage of health facilities reporting in a month is less than 100%</w:t>
      </w:r>
      <w:r w:rsidRPr="00CB5DDC">
        <w:rPr>
          <w:rStyle w:val="eop"/>
          <w:rFonts w:ascii="Calibri" w:hAnsi="Calibri" w:cs="Calibri"/>
          <w:color w:val="4A4A4A"/>
          <w:sz w:val="21"/>
          <w:szCs w:val="21"/>
        </w:rPr>
        <w:t> </w:t>
      </w:r>
    </w:p>
    <w:p w14:paraId="36DC600F" w14:textId="77777777" w:rsidR="00CB5DDC" w:rsidRPr="00CB5DDC" w:rsidRDefault="00CB5DDC" w:rsidP="00CB5DDC">
      <w:pPr>
        <w:pStyle w:val="paragraph"/>
        <w:numPr>
          <w:ilvl w:val="0"/>
          <w:numId w:val="9"/>
        </w:numPr>
        <w:shd w:val="clear" w:color="auto" w:fill="FFFFFF"/>
        <w:spacing w:before="0" w:beforeAutospacing="0" w:after="0" w:afterAutospacing="0"/>
        <w:ind w:left="0" w:firstLine="0"/>
        <w:textAlignment w:val="baseline"/>
        <w:rPr>
          <w:color w:val="4A4A4A"/>
          <w:sz w:val="21"/>
          <w:szCs w:val="21"/>
        </w:rPr>
      </w:pPr>
      <w:r w:rsidRPr="00CB5DDC">
        <w:rPr>
          <w:rStyle w:val="normaltextrun"/>
          <w:rFonts w:ascii="Calibri" w:hAnsi="Calibri" w:cs="Calibri"/>
          <w:color w:val="4A4A4A"/>
          <w:sz w:val="21"/>
          <w:szCs w:val="21"/>
          <w:lang w:val="en-GB"/>
        </w:rPr>
        <w:t>the extent of malaria diagnostic testing (the number of slides examined or RDTs performed) </w:t>
      </w:r>
      <w:r w:rsidRPr="00CB5DDC">
        <w:rPr>
          <w:rStyle w:val="eop"/>
          <w:rFonts w:ascii="Calibri" w:hAnsi="Calibri" w:cs="Calibri"/>
          <w:color w:val="4A4A4A"/>
          <w:sz w:val="21"/>
          <w:szCs w:val="21"/>
        </w:rPr>
        <w:t> </w:t>
      </w:r>
    </w:p>
    <w:p w14:paraId="1356BBE0" w14:textId="3D2398E7" w:rsidR="00CB5DDC" w:rsidRPr="00CB5DDC" w:rsidRDefault="00CB5DDC" w:rsidP="00CB5DDC">
      <w:pPr>
        <w:pStyle w:val="paragraph"/>
        <w:numPr>
          <w:ilvl w:val="0"/>
          <w:numId w:val="9"/>
        </w:numPr>
        <w:shd w:val="clear" w:color="auto" w:fill="FFFFFF"/>
        <w:spacing w:before="0" w:beforeAutospacing="0" w:after="0" w:afterAutospacing="0"/>
        <w:ind w:left="0" w:firstLine="0"/>
        <w:textAlignment w:val="baseline"/>
        <w:rPr>
          <w:color w:val="4A4A4A"/>
          <w:sz w:val="21"/>
          <w:szCs w:val="21"/>
        </w:rPr>
      </w:pPr>
      <w:r w:rsidRPr="00CB5DDC">
        <w:rPr>
          <w:rStyle w:val="normaltextrun"/>
          <w:rFonts w:ascii="Calibri" w:hAnsi="Calibri" w:cs="Calibri"/>
          <w:color w:val="4A4A4A"/>
          <w:sz w:val="21"/>
          <w:szCs w:val="21"/>
          <w:lang w:val="en-GB"/>
        </w:rPr>
        <w:t>the use of private health facilities which are usually not included in reporting systems. </w:t>
      </w:r>
      <w:r w:rsidRPr="00CB5DDC">
        <w:rPr>
          <w:rStyle w:val="eop"/>
          <w:rFonts w:ascii="Calibri" w:hAnsi="Calibri" w:cs="Calibri"/>
          <w:color w:val="4A4A4A"/>
          <w:sz w:val="21"/>
          <w:szCs w:val="21"/>
        </w:rPr>
        <w:t> </w:t>
      </w:r>
    </w:p>
    <w:p w14:paraId="5AB6DD91" w14:textId="01724A8F"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4FC1933" w14:textId="77777777" w:rsidR="00176B6D" w:rsidRPr="00CB5DDC" w:rsidRDefault="00176B6D" w:rsidP="00176B6D">
      <w:pPr>
        <w:pStyle w:val="paragraph"/>
        <w:shd w:val="clear" w:color="auto" w:fill="FFFFFF"/>
        <w:spacing w:before="0" w:beforeAutospacing="0" w:after="0" w:afterAutospacing="0"/>
        <w:textAlignment w:val="baseline"/>
        <w:rPr>
          <w:rFonts w:ascii="Segoe UI" w:hAnsi="Segoe UI" w:cs="Segoe UI"/>
          <w:color w:val="4A4A4A"/>
          <w:sz w:val="18"/>
          <w:szCs w:val="18"/>
        </w:rPr>
      </w:pPr>
      <w:r w:rsidRPr="00CB5DDC">
        <w:rPr>
          <w:rStyle w:val="normaltextrun"/>
          <w:rFonts w:ascii="Calibri" w:hAnsi="Calibri" w:cs="Calibri"/>
          <w:b/>
          <w:bCs/>
          <w:color w:val="4A4A4A"/>
          <w:sz w:val="21"/>
          <w:szCs w:val="21"/>
          <w:lang w:val="es-ES"/>
        </w:rPr>
        <w:t>URL:</w:t>
      </w:r>
      <w:r w:rsidRPr="00CB5DDC">
        <w:rPr>
          <w:rStyle w:val="normaltextrun"/>
          <w:rFonts w:ascii="Calibri" w:hAnsi="Calibri" w:cs="Calibri"/>
          <w:color w:val="4A4A4A"/>
          <w:sz w:val="22"/>
          <w:szCs w:val="22"/>
          <w:lang w:val="es-ES"/>
        </w:rPr>
        <w:t> </w:t>
      </w:r>
      <w:r w:rsidRPr="00CB5DDC">
        <w:rPr>
          <w:rStyle w:val="eop"/>
          <w:rFonts w:ascii="Calibri" w:hAnsi="Calibri" w:cs="Calibri"/>
          <w:color w:val="4A4A4A"/>
          <w:sz w:val="22"/>
          <w:szCs w:val="22"/>
        </w:rPr>
        <w:t> </w:t>
      </w:r>
    </w:p>
    <w:p w14:paraId="265F82A9" w14:textId="2D9FB871" w:rsidR="00176B6D" w:rsidRPr="008D12B3" w:rsidRDefault="00696BD7" w:rsidP="00176B6D">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8D12B3">
        <w:rPr>
          <w:rFonts w:asciiTheme="minorHAnsi" w:hAnsiTheme="minorHAnsi" w:cstheme="minorHAnsi"/>
          <w:sz w:val="21"/>
          <w:szCs w:val="21"/>
        </w:rPr>
        <w:t>https://www.who.int/publications/i/item/9789240015791</w:t>
      </w:r>
      <w:r w:rsidR="00176B6D" w:rsidRPr="008D12B3">
        <w:rPr>
          <w:rStyle w:val="normaltextrun"/>
          <w:rFonts w:asciiTheme="minorHAnsi" w:hAnsiTheme="minorHAnsi" w:cstheme="minorHAnsi"/>
          <w:color w:val="4A4A4A"/>
          <w:sz w:val="21"/>
          <w:szCs w:val="21"/>
        </w:rPr>
        <w:t> </w:t>
      </w:r>
      <w:r w:rsidR="00176B6D" w:rsidRPr="008D12B3">
        <w:rPr>
          <w:rStyle w:val="eop"/>
          <w:rFonts w:asciiTheme="minorHAnsi" w:hAnsiTheme="minorHAnsi" w:cstheme="minorHAnsi"/>
          <w:color w:val="4A4A4A"/>
          <w:sz w:val="21"/>
          <w:szCs w:val="21"/>
        </w:rPr>
        <w:t> </w:t>
      </w:r>
    </w:p>
    <w:p w14:paraId="39244BA9" w14:textId="77777777" w:rsidR="00176B6D" w:rsidRDefault="00176B6D" w:rsidP="00176B6D">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0776A10" w14:textId="77777777" w:rsidR="00176B6D" w:rsidRPr="00CB5DDC" w:rsidRDefault="00176B6D" w:rsidP="00176B6D">
      <w:pPr>
        <w:pStyle w:val="paragraph"/>
        <w:shd w:val="clear" w:color="auto" w:fill="FFFFFF"/>
        <w:spacing w:before="0" w:beforeAutospacing="0" w:after="0" w:afterAutospacing="0"/>
        <w:textAlignment w:val="baseline"/>
        <w:rPr>
          <w:rFonts w:ascii="Segoe UI" w:hAnsi="Segoe UI" w:cs="Segoe UI"/>
          <w:color w:val="4A4A4A"/>
          <w:sz w:val="18"/>
          <w:szCs w:val="18"/>
        </w:rPr>
      </w:pPr>
      <w:r w:rsidRPr="00CB5DDC">
        <w:rPr>
          <w:rStyle w:val="normaltextrun"/>
          <w:rFonts w:ascii="Calibri" w:hAnsi="Calibri" w:cs="Calibri"/>
          <w:b/>
          <w:bCs/>
          <w:color w:val="4A4A4A"/>
          <w:sz w:val="21"/>
          <w:szCs w:val="21"/>
          <w:lang w:val="en-GB"/>
        </w:rPr>
        <w:t>References:</w:t>
      </w:r>
      <w:r w:rsidRPr="00CB5DDC">
        <w:rPr>
          <w:rStyle w:val="eop"/>
          <w:rFonts w:ascii="Calibri" w:hAnsi="Calibri" w:cs="Calibri"/>
          <w:color w:val="4A4A4A"/>
          <w:sz w:val="21"/>
          <w:szCs w:val="21"/>
        </w:rPr>
        <w:t> </w:t>
      </w:r>
    </w:p>
    <w:p w14:paraId="402CAF38" w14:textId="61D9CB93"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1. World Health Organization. World Malaria Report 20</w:t>
      </w:r>
      <w:r w:rsidR="00696BD7">
        <w:rPr>
          <w:rStyle w:val="normaltextrun"/>
          <w:rFonts w:ascii="Calibri" w:hAnsi="Calibri" w:cs="Calibri"/>
          <w:color w:val="4A4A4A"/>
          <w:sz w:val="21"/>
          <w:szCs w:val="21"/>
          <w:shd w:val="clear" w:color="auto" w:fill="FFFFFF"/>
          <w:lang w:val="en-GB"/>
        </w:rPr>
        <w:t>20</w:t>
      </w:r>
      <w:r w:rsidRPr="00CB5DDC">
        <w:rPr>
          <w:rStyle w:val="normaltextrun"/>
          <w:rFonts w:ascii="Calibri" w:hAnsi="Calibri" w:cs="Calibri"/>
          <w:color w:val="4A4A4A"/>
          <w:sz w:val="21"/>
          <w:szCs w:val="21"/>
          <w:shd w:val="clear" w:color="auto" w:fill="FFFFFF"/>
          <w:lang w:val="en-GB"/>
        </w:rPr>
        <w:t xml:space="preserve"> 20</w:t>
      </w:r>
      <w:r w:rsidR="00696BD7">
        <w:rPr>
          <w:rStyle w:val="normaltextrun"/>
          <w:rFonts w:ascii="Calibri" w:hAnsi="Calibri" w:cs="Calibri"/>
          <w:color w:val="4A4A4A"/>
          <w:sz w:val="21"/>
          <w:szCs w:val="21"/>
          <w:shd w:val="clear" w:color="auto" w:fill="FFFFFF"/>
          <w:lang w:val="en-GB"/>
        </w:rPr>
        <w:t>20</w:t>
      </w:r>
      <w:r w:rsidRPr="00CB5DDC">
        <w:rPr>
          <w:rStyle w:val="normaltextrun"/>
          <w:rFonts w:ascii="Calibri" w:hAnsi="Calibri" w:cs="Calibri"/>
          <w:color w:val="4A4A4A"/>
          <w:sz w:val="21"/>
          <w:szCs w:val="21"/>
          <w:shd w:val="clear" w:color="auto" w:fill="FFFFFF"/>
          <w:lang w:val="en-GB"/>
        </w:rPr>
        <w:t>. </w:t>
      </w:r>
      <w:r w:rsidRPr="00CB5DDC">
        <w:rPr>
          <w:rStyle w:val="eop"/>
          <w:rFonts w:ascii="Calibri" w:hAnsi="Calibri" w:cs="Calibri"/>
          <w:color w:val="4A4A4A"/>
          <w:sz w:val="21"/>
          <w:szCs w:val="21"/>
        </w:rPr>
        <w:t> </w:t>
      </w:r>
    </w:p>
    <w:p w14:paraId="0D4AD528" w14:textId="77777777"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2. World Health Organization. World Malaria Report 2008 [Internet]. Geneva: World Health Organization; 2008. Available from: http://apps.who.int/iris/bitstream/10665/43939/1/9789241563697_eng.pdf</w:t>
      </w:r>
      <w:r w:rsidRPr="00CB5DDC">
        <w:rPr>
          <w:rStyle w:val="eop"/>
          <w:rFonts w:ascii="Calibri" w:hAnsi="Calibri" w:cs="Calibri"/>
          <w:color w:val="4A4A4A"/>
          <w:sz w:val="21"/>
          <w:szCs w:val="21"/>
        </w:rPr>
        <w:t> </w:t>
      </w:r>
    </w:p>
    <w:p w14:paraId="0AE022E5" w14:textId="77777777"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3. </w:t>
      </w:r>
      <w:proofErr w:type="spellStart"/>
      <w:r w:rsidRPr="00CB5DDC">
        <w:rPr>
          <w:rStyle w:val="normaltextrun"/>
          <w:rFonts w:ascii="Calibri" w:hAnsi="Calibri" w:cs="Calibri"/>
          <w:color w:val="4A4A4A"/>
          <w:sz w:val="21"/>
          <w:szCs w:val="21"/>
          <w:shd w:val="clear" w:color="auto" w:fill="FFFFFF"/>
          <w:lang w:val="en-GB"/>
        </w:rPr>
        <w:t>Cibulskis</w:t>
      </w:r>
      <w:proofErr w:type="spellEnd"/>
      <w:r w:rsidRPr="00CB5DDC">
        <w:rPr>
          <w:rStyle w:val="normaltextrun"/>
          <w:rFonts w:ascii="Calibri" w:hAnsi="Calibri" w:cs="Calibri"/>
          <w:color w:val="4A4A4A"/>
          <w:sz w:val="21"/>
          <w:szCs w:val="21"/>
          <w:shd w:val="clear" w:color="auto" w:fill="FFFFFF"/>
          <w:lang w:val="en-GB"/>
        </w:rPr>
        <w:t xml:space="preserve"> RE, </w:t>
      </w:r>
      <w:proofErr w:type="spellStart"/>
      <w:r w:rsidRPr="00CB5DDC">
        <w:rPr>
          <w:rStyle w:val="normaltextrun"/>
          <w:rFonts w:ascii="Calibri" w:hAnsi="Calibri" w:cs="Calibri"/>
          <w:color w:val="4A4A4A"/>
          <w:sz w:val="21"/>
          <w:szCs w:val="21"/>
          <w:shd w:val="clear" w:color="auto" w:fill="FFFFFF"/>
          <w:lang w:val="en-GB"/>
        </w:rPr>
        <w:t>Aregawi</w:t>
      </w:r>
      <w:proofErr w:type="spellEnd"/>
      <w:r w:rsidRPr="00CB5DDC">
        <w:rPr>
          <w:rStyle w:val="normaltextrun"/>
          <w:rFonts w:ascii="Calibri" w:hAnsi="Calibri" w:cs="Calibri"/>
          <w:color w:val="4A4A4A"/>
          <w:sz w:val="21"/>
          <w:szCs w:val="21"/>
          <w:shd w:val="clear" w:color="auto" w:fill="FFFFFF"/>
          <w:lang w:val="en-GB"/>
        </w:rPr>
        <w:t xml:space="preserve"> M, Williams R, Otten M, Dye C. Worldwide Incidence of Malaria in 2009: Estimates, Time Trends, and a Critique of Methods. Mueller I, editor. </w:t>
      </w:r>
      <w:proofErr w:type="spellStart"/>
      <w:r w:rsidRPr="00CB5DDC">
        <w:rPr>
          <w:rStyle w:val="normaltextrun"/>
          <w:rFonts w:ascii="Calibri" w:hAnsi="Calibri" w:cs="Calibri"/>
          <w:color w:val="4A4A4A"/>
          <w:sz w:val="21"/>
          <w:szCs w:val="21"/>
          <w:shd w:val="clear" w:color="auto" w:fill="FFFFFF"/>
          <w:lang w:val="en-GB"/>
        </w:rPr>
        <w:t>PLoS</w:t>
      </w:r>
      <w:proofErr w:type="spellEnd"/>
      <w:r w:rsidRPr="00CB5DDC">
        <w:rPr>
          <w:rStyle w:val="normaltextrun"/>
          <w:rFonts w:ascii="Calibri" w:hAnsi="Calibri" w:cs="Calibri"/>
          <w:color w:val="4A4A4A"/>
          <w:sz w:val="21"/>
          <w:szCs w:val="21"/>
          <w:shd w:val="clear" w:color="auto" w:fill="FFFFFF"/>
          <w:lang w:val="en-GB"/>
        </w:rPr>
        <w:t xml:space="preserve"> Med. 2011 Dec 20;8(12</w:t>
      </w:r>
      <w:proofErr w:type="gramStart"/>
      <w:r w:rsidRPr="00CB5DDC">
        <w:rPr>
          <w:rStyle w:val="normaltextrun"/>
          <w:rFonts w:ascii="Calibri" w:hAnsi="Calibri" w:cs="Calibri"/>
          <w:color w:val="4A4A4A"/>
          <w:sz w:val="21"/>
          <w:szCs w:val="21"/>
          <w:shd w:val="clear" w:color="auto" w:fill="FFFFFF"/>
          <w:lang w:val="en-GB"/>
        </w:rPr>
        <w:t>):e</w:t>
      </w:r>
      <w:proofErr w:type="gramEnd"/>
      <w:r w:rsidRPr="00CB5DDC">
        <w:rPr>
          <w:rStyle w:val="normaltextrun"/>
          <w:rFonts w:ascii="Calibri" w:hAnsi="Calibri" w:cs="Calibri"/>
          <w:color w:val="4A4A4A"/>
          <w:sz w:val="21"/>
          <w:szCs w:val="21"/>
          <w:shd w:val="clear" w:color="auto" w:fill="FFFFFF"/>
          <w:lang w:val="en-GB"/>
        </w:rPr>
        <w:t>1001142. </w:t>
      </w:r>
      <w:r w:rsidRPr="00CB5DDC">
        <w:rPr>
          <w:rStyle w:val="eop"/>
          <w:rFonts w:ascii="Calibri" w:hAnsi="Calibri" w:cs="Calibri"/>
          <w:color w:val="4A4A4A"/>
          <w:sz w:val="21"/>
          <w:szCs w:val="21"/>
        </w:rPr>
        <w:t> </w:t>
      </w:r>
    </w:p>
    <w:p w14:paraId="53A769FB" w14:textId="7B63A3AF"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4. R Core Team. R: A Language and Environment for Statistical Computing [Internet]. Vienna, Austria: R Foundation for Statistical Computing; 20</w:t>
      </w:r>
      <w:r w:rsidR="00622229">
        <w:rPr>
          <w:rStyle w:val="normaltextrun"/>
          <w:rFonts w:ascii="Calibri" w:hAnsi="Calibri" w:cs="Calibri"/>
          <w:color w:val="4A4A4A"/>
          <w:sz w:val="21"/>
          <w:szCs w:val="21"/>
          <w:shd w:val="clear" w:color="auto" w:fill="FFFFFF"/>
          <w:lang w:val="en-GB"/>
        </w:rPr>
        <w:t>20</w:t>
      </w:r>
      <w:r w:rsidRPr="00CB5DDC">
        <w:rPr>
          <w:rStyle w:val="normaltextrun"/>
          <w:rFonts w:ascii="Calibri" w:hAnsi="Calibri" w:cs="Calibri"/>
          <w:color w:val="4A4A4A"/>
          <w:sz w:val="21"/>
          <w:szCs w:val="21"/>
          <w:shd w:val="clear" w:color="auto" w:fill="FFFFFF"/>
          <w:lang w:val="en-GB"/>
        </w:rPr>
        <w:t>. Available from: http://www.R-project.org/</w:t>
      </w:r>
      <w:r w:rsidRPr="00CB5DDC">
        <w:rPr>
          <w:rStyle w:val="eop"/>
          <w:rFonts w:ascii="Calibri" w:hAnsi="Calibri" w:cs="Calibri"/>
          <w:color w:val="4A4A4A"/>
          <w:sz w:val="21"/>
          <w:szCs w:val="21"/>
        </w:rPr>
        <w:t> </w:t>
      </w:r>
    </w:p>
    <w:p w14:paraId="5899A443" w14:textId="388B763F"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eop"/>
          <w:rFonts w:ascii="Calibri" w:hAnsi="Calibri" w:cs="Calibri"/>
          <w:color w:val="4A4A4A"/>
          <w:sz w:val="21"/>
          <w:szCs w:val="21"/>
        </w:rPr>
        <w:t> </w:t>
      </w:r>
    </w:p>
    <w:p w14:paraId="193F95A1" w14:textId="77777777" w:rsidR="00176B6D" w:rsidRPr="00CB5DDC" w:rsidRDefault="00176B6D" w:rsidP="00176B6D">
      <w:pPr>
        <w:pStyle w:val="paragraph"/>
        <w:shd w:val="clear" w:color="auto" w:fill="FFFFFF"/>
        <w:spacing w:before="0" w:beforeAutospacing="0" w:after="0" w:afterAutospacing="0"/>
        <w:ind w:left="375" w:hanging="375"/>
        <w:textAlignment w:val="baseline"/>
        <w:rPr>
          <w:rFonts w:ascii="Segoe UI" w:hAnsi="Segoe UI" w:cs="Segoe UI"/>
          <w:color w:val="4A4A4A"/>
          <w:sz w:val="18"/>
          <w:szCs w:val="18"/>
        </w:rPr>
      </w:pPr>
      <w:r w:rsidRPr="00CB5DDC">
        <w:rPr>
          <w:rStyle w:val="normaltextrun"/>
          <w:rFonts w:ascii="Calibri" w:hAnsi="Calibri" w:cs="Calibri"/>
          <w:color w:val="4A4A4A"/>
          <w:sz w:val="21"/>
          <w:szCs w:val="21"/>
          <w:shd w:val="clear" w:color="auto" w:fill="FFFFFF"/>
          <w:lang w:val="en-GB"/>
        </w:rPr>
        <w:t xml:space="preserve">5. Bhatt S, Weiss DJ, Cameron E, </w:t>
      </w:r>
      <w:proofErr w:type="spellStart"/>
      <w:r w:rsidRPr="00CB5DDC">
        <w:rPr>
          <w:rStyle w:val="normaltextrun"/>
          <w:rFonts w:ascii="Calibri" w:hAnsi="Calibri" w:cs="Calibri"/>
          <w:color w:val="4A4A4A"/>
          <w:sz w:val="21"/>
          <w:szCs w:val="21"/>
          <w:shd w:val="clear" w:color="auto" w:fill="FFFFFF"/>
          <w:lang w:val="en-GB"/>
        </w:rPr>
        <w:t>Bisanzio</w:t>
      </w:r>
      <w:proofErr w:type="spellEnd"/>
      <w:r w:rsidRPr="00CB5DDC">
        <w:rPr>
          <w:rStyle w:val="normaltextrun"/>
          <w:rFonts w:ascii="Calibri" w:hAnsi="Calibri" w:cs="Calibri"/>
          <w:color w:val="4A4A4A"/>
          <w:sz w:val="21"/>
          <w:szCs w:val="21"/>
          <w:shd w:val="clear" w:color="auto" w:fill="FFFFFF"/>
          <w:lang w:val="en-GB"/>
        </w:rPr>
        <w:t xml:space="preserve"> D, Mappin B, Dalrymple U, et al. The effect of malaria control on Plasmodium falciparum in Africa between 2000 and 2015. Nature. 2015 Oct 8;526(7572):207–11. </w:t>
      </w:r>
      <w:r w:rsidRPr="00CB5DDC">
        <w:rPr>
          <w:rStyle w:val="eop"/>
          <w:rFonts w:ascii="Calibri" w:hAnsi="Calibri" w:cs="Calibri"/>
          <w:color w:val="4A4A4A"/>
          <w:sz w:val="21"/>
          <w:szCs w:val="21"/>
        </w:rPr>
        <w:t> </w:t>
      </w:r>
    </w:p>
    <w:p w14:paraId="384B0992" w14:textId="36889691" w:rsidR="00186795" w:rsidRPr="00CB5DDC" w:rsidRDefault="00186795">
      <w:pPr>
        <w:rPr>
          <w:color w:val="4A4A4A"/>
        </w:rPr>
      </w:pPr>
    </w:p>
    <w:sectPr w:rsidR="00186795" w:rsidRPr="00CB5DDC">
      <w:headerReference w:type="default" r:id="rId13"/>
      <w:pgSz w:w="11906" w:h="16838"/>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128F1" w16cex:dateUtc="2021-02-12T15: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F0342" w14:textId="77777777" w:rsidR="002853D9" w:rsidRDefault="002853D9" w:rsidP="00573C0B">
      <w:pPr>
        <w:spacing w:after="0" w:line="240" w:lineRule="auto"/>
      </w:pPr>
      <w:r>
        <w:separator/>
      </w:r>
    </w:p>
  </w:endnote>
  <w:endnote w:type="continuationSeparator" w:id="0">
    <w:p w14:paraId="351A47BA" w14:textId="77777777" w:rsidR="002853D9" w:rsidRDefault="002853D9" w:rsidP="00573C0B">
      <w:pPr>
        <w:spacing w:after="0" w:line="240" w:lineRule="auto"/>
      </w:pPr>
      <w:r>
        <w:continuationSeparator/>
      </w:r>
    </w:p>
  </w:endnote>
  <w:endnote w:type="continuationNotice" w:id="1">
    <w:p w14:paraId="15F75B7B" w14:textId="77777777" w:rsidR="002853D9" w:rsidRDefault="002853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athJax_Math-italic">
    <w:altName w:val="Cambria"/>
    <w:charset w:val="00"/>
    <w:family w:val="roman"/>
    <w:pitch w:val="default"/>
  </w:font>
  <w:font w:name="MathJax_Main">
    <w:altName w:val="Cambria"/>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96A4" w14:textId="77777777" w:rsidR="002853D9" w:rsidRDefault="002853D9" w:rsidP="00573C0B">
      <w:pPr>
        <w:spacing w:after="0" w:line="240" w:lineRule="auto"/>
      </w:pPr>
      <w:r>
        <w:separator/>
      </w:r>
    </w:p>
  </w:footnote>
  <w:footnote w:type="continuationSeparator" w:id="0">
    <w:p w14:paraId="4C87FF8C" w14:textId="77777777" w:rsidR="002853D9" w:rsidRDefault="002853D9" w:rsidP="00573C0B">
      <w:pPr>
        <w:spacing w:after="0" w:line="240" w:lineRule="auto"/>
      </w:pPr>
      <w:r>
        <w:continuationSeparator/>
      </w:r>
    </w:p>
  </w:footnote>
  <w:footnote w:type="continuationNotice" w:id="1">
    <w:p w14:paraId="3D3B6572" w14:textId="77777777" w:rsidR="002853D9" w:rsidRDefault="002853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7203624" w:rsidR="00242247" w:rsidRPr="00757E8A" w:rsidRDefault="00242247" w:rsidP="000C3DEF">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0C3DEF">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12E7"/>
    <w:multiLevelType w:val="multilevel"/>
    <w:tmpl w:val="C4A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C97588"/>
    <w:multiLevelType w:val="multilevel"/>
    <w:tmpl w:val="83F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8605D"/>
    <w:multiLevelType w:val="multilevel"/>
    <w:tmpl w:val="533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AE01CF"/>
    <w:multiLevelType w:val="multilevel"/>
    <w:tmpl w:val="20D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E29C4"/>
    <w:multiLevelType w:val="multilevel"/>
    <w:tmpl w:val="EE9C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C85CC7"/>
    <w:multiLevelType w:val="multilevel"/>
    <w:tmpl w:val="33A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4684E"/>
    <w:multiLevelType w:val="multilevel"/>
    <w:tmpl w:val="A02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4"/>
  </w:num>
  <w:num w:numId="5">
    <w:abstractNumId w:val="2"/>
  </w:num>
  <w:num w:numId="6">
    <w:abstractNumId w:val="5"/>
  </w:num>
  <w:num w:numId="7">
    <w:abstractNumId w:val="6"/>
  </w:num>
  <w:num w:numId="8">
    <w:abstractNumId w:val="9"/>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C3DEF"/>
    <w:rsid w:val="000D0B30"/>
    <w:rsid w:val="000E21F1"/>
    <w:rsid w:val="000F703E"/>
    <w:rsid w:val="00120E86"/>
    <w:rsid w:val="00125DE9"/>
    <w:rsid w:val="001332E0"/>
    <w:rsid w:val="00134DE7"/>
    <w:rsid w:val="00176B6D"/>
    <w:rsid w:val="00185354"/>
    <w:rsid w:val="001854DC"/>
    <w:rsid w:val="00186795"/>
    <w:rsid w:val="00194D09"/>
    <w:rsid w:val="001A7D5C"/>
    <w:rsid w:val="001B60AA"/>
    <w:rsid w:val="001B63C8"/>
    <w:rsid w:val="001C1972"/>
    <w:rsid w:val="001C421F"/>
    <w:rsid w:val="001D360D"/>
    <w:rsid w:val="00242247"/>
    <w:rsid w:val="00261A8D"/>
    <w:rsid w:val="00283C1C"/>
    <w:rsid w:val="002853D9"/>
    <w:rsid w:val="00291A00"/>
    <w:rsid w:val="00291A11"/>
    <w:rsid w:val="002A315C"/>
    <w:rsid w:val="002A3342"/>
    <w:rsid w:val="002A64BA"/>
    <w:rsid w:val="002B4989"/>
    <w:rsid w:val="002C2510"/>
    <w:rsid w:val="002D714E"/>
    <w:rsid w:val="002E53C3"/>
    <w:rsid w:val="002F1468"/>
    <w:rsid w:val="002F5F0C"/>
    <w:rsid w:val="003265EB"/>
    <w:rsid w:val="003348DC"/>
    <w:rsid w:val="0034329E"/>
    <w:rsid w:val="00343FAA"/>
    <w:rsid w:val="00347F5E"/>
    <w:rsid w:val="00353C98"/>
    <w:rsid w:val="00371A20"/>
    <w:rsid w:val="003821B4"/>
    <w:rsid w:val="00382CF3"/>
    <w:rsid w:val="00387D52"/>
    <w:rsid w:val="003A7CEA"/>
    <w:rsid w:val="003B0F41"/>
    <w:rsid w:val="003D4282"/>
    <w:rsid w:val="003F0BD3"/>
    <w:rsid w:val="003F278A"/>
    <w:rsid w:val="003F7A02"/>
    <w:rsid w:val="00422EA5"/>
    <w:rsid w:val="00422EFA"/>
    <w:rsid w:val="0042791F"/>
    <w:rsid w:val="004456ED"/>
    <w:rsid w:val="0048045A"/>
    <w:rsid w:val="004841B8"/>
    <w:rsid w:val="004930F2"/>
    <w:rsid w:val="004B0F1C"/>
    <w:rsid w:val="004B1CF6"/>
    <w:rsid w:val="004D46B2"/>
    <w:rsid w:val="004F2EE6"/>
    <w:rsid w:val="00501FAD"/>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A7D8D"/>
    <w:rsid w:val="005D03CD"/>
    <w:rsid w:val="005D0AF4"/>
    <w:rsid w:val="005E54BD"/>
    <w:rsid w:val="005F6CCA"/>
    <w:rsid w:val="006104AF"/>
    <w:rsid w:val="00621893"/>
    <w:rsid w:val="00622229"/>
    <w:rsid w:val="006351E1"/>
    <w:rsid w:val="006447B1"/>
    <w:rsid w:val="00662775"/>
    <w:rsid w:val="006852FC"/>
    <w:rsid w:val="00696BD7"/>
    <w:rsid w:val="006B40AB"/>
    <w:rsid w:val="006B5DC5"/>
    <w:rsid w:val="006C4BFD"/>
    <w:rsid w:val="006C7D30"/>
    <w:rsid w:val="006E3C08"/>
    <w:rsid w:val="00700ACF"/>
    <w:rsid w:val="00712487"/>
    <w:rsid w:val="007530CA"/>
    <w:rsid w:val="00756D68"/>
    <w:rsid w:val="007578D9"/>
    <w:rsid w:val="00757E8A"/>
    <w:rsid w:val="00763E43"/>
    <w:rsid w:val="00764EB5"/>
    <w:rsid w:val="00776F3D"/>
    <w:rsid w:val="00777A95"/>
    <w:rsid w:val="00782416"/>
    <w:rsid w:val="007B0364"/>
    <w:rsid w:val="007D0981"/>
    <w:rsid w:val="007D1929"/>
    <w:rsid w:val="007F62ED"/>
    <w:rsid w:val="00803CF1"/>
    <w:rsid w:val="008104BB"/>
    <w:rsid w:val="008249C5"/>
    <w:rsid w:val="008526F9"/>
    <w:rsid w:val="0085285E"/>
    <w:rsid w:val="00853023"/>
    <w:rsid w:val="008534D4"/>
    <w:rsid w:val="00881E28"/>
    <w:rsid w:val="00894C4B"/>
    <w:rsid w:val="00897A15"/>
    <w:rsid w:val="008A12E3"/>
    <w:rsid w:val="008A42FA"/>
    <w:rsid w:val="008B0AC7"/>
    <w:rsid w:val="008C2335"/>
    <w:rsid w:val="008C67C1"/>
    <w:rsid w:val="008D12B3"/>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15D7D"/>
    <w:rsid w:val="00A37FCB"/>
    <w:rsid w:val="00A54863"/>
    <w:rsid w:val="00A56E22"/>
    <w:rsid w:val="00A61D74"/>
    <w:rsid w:val="00A8688B"/>
    <w:rsid w:val="00A91163"/>
    <w:rsid w:val="00A9286F"/>
    <w:rsid w:val="00A96255"/>
    <w:rsid w:val="00AB285B"/>
    <w:rsid w:val="00AF5552"/>
    <w:rsid w:val="00AF5CB4"/>
    <w:rsid w:val="00AF5ED1"/>
    <w:rsid w:val="00AF71D6"/>
    <w:rsid w:val="00B2107A"/>
    <w:rsid w:val="00B216EE"/>
    <w:rsid w:val="00B3175F"/>
    <w:rsid w:val="00B31E2C"/>
    <w:rsid w:val="00B329B0"/>
    <w:rsid w:val="00B402D8"/>
    <w:rsid w:val="00B4237C"/>
    <w:rsid w:val="00B42FE8"/>
    <w:rsid w:val="00B52AFD"/>
    <w:rsid w:val="00B54077"/>
    <w:rsid w:val="00B8087E"/>
    <w:rsid w:val="00BB646E"/>
    <w:rsid w:val="00BD1BA1"/>
    <w:rsid w:val="00C019E5"/>
    <w:rsid w:val="00C152E2"/>
    <w:rsid w:val="00C35BC4"/>
    <w:rsid w:val="00C43F5B"/>
    <w:rsid w:val="00CB4371"/>
    <w:rsid w:val="00CB5DDC"/>
    <w:rsid w:val="00CC516D"/>
    <w:rsid w:val="00CF20FD"/>
    <w:rsid w:val="00D241FB"/>
    <w:rsid w:val="00D24330"/>
    <w:rsid w:val="00D40056"/>
    <w:rsid w:val="00D51E7C"/>
    <w:rsid w:val="00D538BE"/>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42247"/>
  </w:style>
  <w:style w:type="character" w:customStyle="1" w:styleId="eop">
    <w:name w:val="eop"/>
    <w:basedOn w:val="DefaultParagraphFont"/>
    <w:rsid w:val="00242247"/>
  </w:style>
  <w:style w:type="paragraph" w:customStyle="1" w:styleId="paragraph">
    <w:name w:val="paragraph"/>
    <w:basedOn w:val="Normal"/>
    <w:rsid w:val="004D46B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A15D7D"/>
    <w:pPr>
      <w:spacing w:after="0" w:line="240" w:lineRule="auto"/>
    </w:pPr>
  </w:style>
  <w:style w:type="paragraph" w:styleId="NormalWeb">
    <w:name w:val="Normal (Web)"/>
    <w:basedOn w:val="Normal"/>
    <w:uiPriority w:val="99"/>
    <w:semiHidden/>
    <w:unhideWhenUsed/>
    <w:rsid w:val="003348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8380">
      <w:bodyDiv w:val="1"/>
      <w:marLeft w:val="0"/>
      <w:marRight w:val="0"/>
      <w:marTop w:val="0"/>
      <w:marBottom w:val="0"/>
      <w:divBdr>
        <w:top w:val="none" w:sz="0" w:space="0" w:color="auto"/>
        <w:left w:val="none" w:sz="0" w:space="0" w:color="auto"/>
        <w:bottom w:val="none" w:sz="0" w:space="0" w:color="auto"/>
        <w:right w:val="none" w:sz="0" w:space="0" w:color="auto"/>
      </w:divBdr>
      <w:divsChild>
        <w:div w:id="1181091282">
          <w:marLeft w:val="0"/>
          <w:marRight w:val="0"/>
          <w:marTop w:val="0"/>
          <w:marBottom w:val="0"/>
          <w:divBdr>
            <w:top w:val="none" w:sz="0" w:space="0" w:color="auto"/>
            <w:left w:val="none" w:sz="0" w:space="0" w:color="auto"/>
            <w:bottom w:val="none" w:sz="0" w:space="0" w:color="auto"/>
            <w:right w:val="none" w:sz="0" w:space="0" w:color="auto"/>
          </w:divBdr>
        </w:div>
        <w:div w:id="1095714761">
          <w:marLeft w:val="0"/>
          <w:marRight w:val="0"/>
          <w:marTop w:val="0"/>
          <w:marBottom w:val="0"/>
          <w:divBdr>
            <w:top w:val="none" w:sz="0" w:space="0" w:color="auto"/>
            <w:left w:val="none" w:sz="0" w:space="0" w:color="auto"/>
            <w:bottom w:val="none" w:sz="0" w:space="0" w:color="auto"/>
            <w:right w:val="none" w:sz="0" w:space="0" w:color="auto"/>
          </w:divBdr>
        </w:div>
      </w:divsChild>
    </w:div>
    <w:div w:id="189996049">
      <w:bodyDiv w:val="1"/>
      <w:marLeft w:val="0"/>
      <w:marRight w:val="0"/>
      <w:marTop w:val="0"/>
      <w:marBottom w:val="0"/>
      <w:divBdr>
        <w:top w:val="none" w:sz="0" w:space="0" w:color="auto"/>
        <w:left w:val="none" w:sz="0" w:space="0" w:color="auto"/>
        <w:bottom w:val="none" w:sz="0" w:space="0" w:color="auto"/>
        <w:right w:val="none" w:sz="0" w:space="0" w:color="auto"/>
      </w:divBdr>
      <w:divsChild>
        <w:div w:id="761805475">
          <w:marLeft w:val="0"/>
          <w:marRight w:val="0"/>
          <w:marTop w:val="0"/>
          <w:marBottom w:val="0"/>
          <w:divBdr>
            <w:top w:val="none" w:sz="0" w:space="0" w:color="auto"/>
            <w:left w:val="none" w:sz="0" w:space="0" w:color="auto"/>
            <w:bottom w:val="none" w:sz="0" w:space="0" w:color="auto"/>
            <w:right w:val="none" w:sz="0" w:space="0" w:color="auto"/>
          </w:divBdr>
        </w:div>
        <w:div w:id="143357742">
          <w:marLeft w:val="0"/>
          <w:marRight w:val="0"/>
          <w:marTop w:val="0"/>
          <w:marBottom w:val="0"/>
          <w:divBdr>
            <w:top w:val="none" w:sz="0" w:space="0" w:color="auto"/>
            <w:left w:val="none" w:sz="0" w:space="0" w:color="auto"/>
            <w:bottom w:val="none" w:sz="0" w:space="0" w:color="auto"/>
            <w:right w:val="none" w:sz="0" w:space="0" w:color="auto"/>
          </w:divBdr>
        </w:div>
        <w:div w:id="1407607971">
          <w:marLeft w:val="0"/>
          <w:marRight w:val="0"/>
          <w:marTop w:val="0"/>
          <w:marBottom w:val="0"/>
          <w:divBdr>
            <w:top w:val="none" w:sz="0" w:space="0" w:color="auto"/>
            <w:left w:val="none" w:sz="0" w:space="0" w:color="auto"/>
            <w:bottom w:val="none" w:sz="0" w:space="0" w:color="auto"/>
            <w:right w:val="none" w:sz="0" w:space="0" w:color="auto"/>
          </w:divBdr>
        </w:div>
        <w:div w:id="1722973980">
          <w:marLeft w:val="0"/>
          <w:marRight w:val="0"/>
          <w:marTop w:val="0"/>
          <w:marBottom w:val="0"/>
          <w:divBdr>
            <w:top w:val="none" w:sz="0" w:space="0" w:color="auto"/>
            <w:left w:val="none" w:sz="0" w:space="0" w:color="auto"/>
            <w:bottom w:val="none" w:sz="0" w:space="0" w:color="auto"/>
            <w:right w:val="none" w:sz="0" w:space="0" w:color="auto"/>
          </w:divBdr>
        </w:div>
        <w:div w:id="36439868">
          <w:marLeft w:val="0"/>
          <w:marRight w:val="0"/>
          <w:marTop w:val="0"/>
          <w:marBottom w:val="0"/>
          <w:divBdr>
            <w:top w:val="none" w:sz="0" w:space="0" w:color="auto"/>
            <w:left w:val="none" w:sz="0" w:space="0" w:color="auto"/>
            <w:bottom w:val="none" w:sz="0" w:space="0" w:color="auto"/>
            <w:right w:val="none" w:sz="0" w:space="0" w:color="auto"/>
          </w:divBdr>
        </w:div>
      </w:divsChild>
    </w:div>
    <w:div w:id="406346620">
      <w:bodyDiv w:val="1"/>
      <w:marLeft w:val="0"/>
      <w:marRight w:val="0"/>
      <w:marTop w:val="0"/>
      <w:marBottom w:val="0"/>
      <w:divBdr>
        <w:top w:val="none" w:sz="0" w:space="0" w:color="auto"/>
        <w:left w:val="none" w:sz="0" w:space="0" w:color="auto"/>
        <w:bottom w:val="none" w:sz="0" w:space="0" w:color="auto"/>
        <w:right w:val="none" w:sz="0" w:space="0" w:color="auto"/>
      </w:divBdr>
      <w:divsChild>
        <w:div w:id="996375188">
          <w:marLeft w:val="0"/>
          <w:marRight w:val="0"/>
          <w:marTop w:val="0"/>
          <w:marBottom w:val="0"/>
          <w:divBdr>
            <w:top w:val="none" w:sz="0" w:space="0" w:color="auto"/>
            <w:left w:val="none" w:sz="0" w:space="0" w:color="auto"/>
            <w:bottom w:val="none" w:sz="0" w:space="0" w:color="auto"/>
            <w:right w:val="none" w:sz="0" w:space="0" w:color="auto"/>
          </w:divBdr>
        </w:div>
        <w:div w:id="959460710">
          <w:marLeft w:val="0"/>
          <w:marRight w:val="0"/>
          <w:marTop w:val="0"/>
          <w:marBottom w:val="0"/>
          <w:divBdr>
            <w:top w:val="none" w:sz="0" w:space="0" w:color="auto"/>
            <w:left w:val="none" w:sz="0" w:space="0" w:color="auto"/>
            <w:bottom w:val="none" w:sz="0" w:space="0" w:color="auto"/>
            <w:right w:val="none" w:sz="0" w:space="0" w:color="auto"/>
          </w:divBdr>
        </w:div>
      </w:divsChild>
    </w:div>
    <w:div w:id="467406645">
      <w:bodyDiv w:val="1"/>
      <w:marLeft w:val="0"/>
      <w:marRight w:val="0"/>
      <w:marTop w:val="0"/>
      <w:marBottom w:val="0"/>
      <w:divBdr>
        <w:top w:val="none" w:sz="0" w:space="0" w:color="auto"/>
        <w:left w:val="none" w:sz="0" w:space="0" w:color="auto"/>
        <w:bottom w:val="none" w:sz="0" w:space="0" w:color="auto"/>
        <w:right w:val="none" w:sz="0" w:space="0" w:color="auto"/>
      </w:divBdr>
      <w:divsChild>
        <w:div w:id="763497888">
          <w:marLeft w:val="0"/>
          <w:marRight w:val="0"/>
          <w:marTop w:val="0"/>
          <w:marBottom w:val="0"/>
          <w:divBdr>
            <w:top w:val="none" w:sz="0" w:space="0" w:color="auto"/>
            <w:left w:val="none" w:sz="0" w:space="0" w:color="auto"/>
            <w:bottom w:val="none" w:sz="0" w:space="0" w:color="auto"/>
            <w:right w:val="none" w:sz="0" w:space="0" w:color="auto"/>
          </w:divBdr>
        </w:div>
        <w:div w:id="351617216">
          <w:marLeft w:val="0"/>
          <w:marRight w:val="0"/>
          <w:marTop w:val="0"/>
          <w:marBottom w:val="0"/>
          <w:divBdr>
            <w:top w:val="none" w:sz="0" w:space="0" w:color="auto"/>
            <w:left w:val="none" w:sz="0" w:space="0" w:color="auto"/>
            <w:bottom w:val="none" w:sz="0" w:space="0" w:color="auto"/>
            <w:right w:val="none" w:sz="0" w:space="0" w:color="auto"/>
          </w:divBdr>
        </w:div>
        <w:div w:id="518011775">
          <w:marLeft w:val="0"/>
          <w:marRight w:val="0"/>
          <w:marTop w:val="0"/>
          <w:marBottom w:val="0"/>
          <w:divBdr>
            <w:top w:val="none" w:sz="0" w:space="0" w:color="auto"/>
            <w:left w:val="none" w:sz="0" w:space="0" w:color="auto"/>
            <w:bottom w:val="none" w:sz="0" w:space="0" w:color="auto"/>
            <w:right w:val="none" w:sz="0" w:space="0" w:color="auto"/>
          </w:divBdr>
        </w:div>
        <w:div w:id="219751894">
          <w:marLeft w:val="0"/>
          <w:marRight w:val="0"/>
          <w:marTop w:val="0"/>
          <w:marBottom w:val="0"/>
          <w:divBdr>
            <w:top w:val="none" w:sz="0" w:space="0" w:color="auto"/>
            <w:left w:val="none" w:sz="0" w:space="0" w:color="auto"/>
            <w:bottom w:val="none" w:sz="0" w:space="0" w:color="auto"/>
            <w:right w:val="none" w:sz="0" w:space="0" w:color="auto"/>
          </w:divBdr>
        </w:div>
      </w:divsChild>
    </w:div>
    <w:div w:id="568730556">
      <w:bodyDiv w:val="1"/>
      <w:marLeft w:val="0"/>
      <w:marRight w:val="0"/>
      <w:marTop w:val="0"/>
      <w:marBottom w:val="0"/>
      <w:divBdr>
        <w:top w:val="none" w:sz="0" w:space="0" w:color="auto"/>
        <w:left w:val="none" w:sz="0" w:space="0" w:color="auto"/>
        <w:bottom w:val="none" w:sz="0" w:space="0" w:color="auto"/>
        <w:right w:val="none" w:sz="0" w:space="0" w:color="auto"/>
      </w:divBdr>
    </w:div>
    <w:div w:id="805313284">
      <w:bodyDiv w:val="1"/>
      <w:marLeft w:val="0"/>
      <w:marRight w:val="0"/>
      <w:marTop w:val="0"/>
      <w:marBottom w:val="0"/>
      <w:divBdr>
        <w:top w:val="none" w:sz="0" w:space="0" w:color="auto"/>
        <w:left w:val="none" w:sz="0" w:space="0" w:color="auto"/>
        <w:bottom w:val="none" w:sz="0" w:space="0" w:color="auto"/>
        <w:right w:val="none" w:sz="0" w:space="0" w:color="auto"/>
      </w:divBdr>
      <w:divsChild>
        <w:div w:id="301154076">
          <w:marLeft w:val="0"/>
          <w:marRight w:val="0"/>
          <w:marTop w:val="0"/>
          <w:marBottom w:val="0"/>
          <w:divBdr>
            <w:top w:val="none" w:sz="0" w:space="0" w:color="auto"/>
            <w:left w:val="none" w:sz="0" w:space="0" w:color="auto"/>
            <w:bottom w:val="none" w:sz="0" w:space="0" w:color="auto"/>
            <w:right w:val="none" w:sz="0" w:space="0" w:color="auto"/>
          </w:divBdr>
          <w:divsChild>
            <w:div w:id="1222912270">
              <w:marLeft w:val="0"/>
              <w:marRight w:val="0"/>
              <w:marTop w:val="0"/>
              <w:marBottom w:val="0"/>
              <w:divBdr>
                <w:top w:val="none" w:sz="0" w:space="0" w:color="auto"/>
                <w:left w:val="none" w:sz="0" w:space="0" w:color="auto"/>
                <w:bottom w:val="none" w:sz="0" w:space="0" w:color="auto"/>
                <w:right w:val="none" w:sz="0" w:space="0" w:color="auto"/>
              </w:divBdr>
              <w:divsChild>
                <w:div w:id="4083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95002">
      <w:bodyDiv w:val="1"/>
      <w:marLeft w:val="0"/>
      <w:marRight w:val="0"/>
      <w:marTop w:val="0"/>
      <w:marBottom w:val="0"/>
      <w:divBdr>
        <w:top w:val="none" w:sz="0" w:space="0" w:color="auto"/>
        <w:left w:val="none" w:sz="0" w:space="0" w:color="auto"/>
        <w:bottom w:val="none" w:sz="0" w:space="0" w:color="auto"/>
        <w:right w:val="none" w:sz="0" w:space="0" w:color="auto"/>
      </w:divBdr>
      <w:divsChild>
        <w:div w:id="1764035907">
          <w:marLeft w:val="0"/>
          <w:marRight w:val="0"/>
          <w:marTop w:val="0"/>
          <w:marBottom w:val="0"/>
          <w:divBdr>
            <w:top w:val="none" w:sz="0" w:space="0" w:color="auto"/>
            <w:left w:val="none" w:sz="0" w:space="0" w:color="auto"/>
            <w:bottom w:val="none" w:sz="0" w:space="0" w:color="auto"/>
            <w:right w:val="none" w:sz="0" w:space="0" w:color="auto"/>
          </w:divBdr>
        </w:div>
        <w:div w:id="1291670352">
          <w:marLeft w:val="0"/>
          <w:marRight w:val="0"/>
          <w:marTop w:val="0"/>
          <w:marBottom w:val="0"/>
          <w:divBdr>
            <w:top w:val="none" w:sz="0" w:space="0" w:color="auto"/>
            <w:left w:val="none" w:sz="0" w:space="0" w:color="auto"/>
            <w:bottom w:val="none" w:sz="0" w:space="0" w:color="auto"/>
            <w:right w:val="none" w:sz="0" w:space="0" w:color="auto"/>
          </w:divBdr>
        </w:div>
      </w:divsChild>
    </w:div>
    <w:div w:id="1053039822">
      <w:bodyDiv w:val="1"/>
      <w:marLeft w:val="0"/>
      <w:marRight w:val="0"/>
      <w:marTop w:val="0"/>
      <w:marBottom w:val="0"/>
      <w:divBdr>
        <w:top w:val="none" w:sz="0" w:space="0" w:color="auto"/>
        <w:left w:val="none" w:sz="0" w:space="0" w:color="auto"/>
        <w:bottom w:val="none" w:sz="0" w:space="0" w:color="auto"/>
        <w:right w:val="none" w:sz="0" w:space="0" w:color="auto"/>
      </w:divBdr>
      <w:divsChild>
        <w:div w:id="224530758">
          <w:marLeft w:val="0"/>
          <w:marRight w:val="0"/>
          <w:marTop w:val="0"/>
          <w:marBottom w:val="0"/>
          <w:divBdr>
            <w:top w:val="none" w:sz="0" w:space="0" w:color="auto"/>
            <w:left w:val="none" w:sz="0" w:space="0" w:color="auto"/>
            <w:bottom w:val="none" w:sz="0" w:space="0" w:color="auto"/>
            <w:right w:val="none" w:sz="0" w:space="0" w:color="auto"/>
          </w:divBdr>
          <w:divsChild>
            <w:div w:id="1906257393">
              <w:marLeft w:val="0"/>
              <w:marRight w:val="0"/>
              <w:marTop w:val="0"/>
              <w:marBottom w:val="0"/>
              <w:divBdr>
                <w:top w:val="none" w:sz="0" w:space="0" w:color="auto"/>
                <w:left w:val="none" w:sz="0" w:space="0" w:color="auto"/>
                <w:bottom w:val="none" w:sz="0" w:space="0" w:color="auto"/>
                <w:right w:val="none" w:sz="0" w:space="0" w:color="auto"/>
              </w:divBdr>
              <w:divsChild>
                <w:div w:id="2232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6488524">
      <w:bodyDiv w:val="1"/>
      <w:marLeft w:val="0"/>
      <w:marRight w:val="0"/>
      <w:marTop w:val="0"/>
      <w:marBottom w:val="0"/>
      <w:divBdr>
        <w:top w:val="none" w:sz="0" w:space="0" w:color="auto"/>
        <w:left w:val="none" w:sz="0" w:space="0" w:color="auto"/>
        <w:bottom w:val="none" w:sz="0" w:space="0" w:color="auto"/>
        <w:right w:val="none" w:sz="0" w:space="0" w:color="auto"/>
      </w:divBdr>
      <w:divsChild>
        <w:div w:id="2113739231">
          <w:marLeft w:val="0"/>
          <w:marRight w:val="0"/>
          <w:marTop w:val="0"/>
          <w:marBottom w:val="0"/>
          <w:divBdr>
            <w:top w:val="none" w:sz="0" w:space="0" w:color="auto"/>
            <w:left w:val="none" w:sz="0" w:space="0" w:color="auto"/>
            <w:bottom w:val="none" w:sz="0" w:space="0" w:color="auto"/>
            <w:right w:val="none" w:sz="0" w:space="0" w:color="auto"/>
          </w:divBdr>
        </w:div>
        <w:div w:id="102695458">
          <w:marLeft w:val="0"/>
          <w:marRight w:val="0"/>
          <w:marTop w:val="0"/>
          <w:marBottom w:val="0"/>
          <w:divBdr>
            <w:top w:val="none" w:sz="0" w:space="0" w:color="auto"/>
            <w:left w:val="none" w:sz="0" w:space="0" w:color="auto"/>
            <w:bottom w:val="none" w:sz="0" w:space="0" w:color="auto"/>
            <w:right w:val="none" w:sz="0" w:space="0" w:color="auto"/>
          </w:divBdr>
        </w:div>
        <w:div w:id="1695182525">
          <w:marLeft w:val="0"/>
          <w:marRight w:val="0"/>
          <w:marTop w:val="0"/>
          <w:marBottom w:val="0"/>
          <w:divBdr>
            <w:top w:val="none" w:sz="0" w:space="0" w:color="auto"/>
            <w:left w:val="none" w:sz="0" w:space="0" w:color="auto"/>
            <w:bottom w:val="none" w:sz="0" w:space="0" w:color="auto"/>
            <w:right w:val="none" w:sz="0" w:space="0" w:color="auto"/>
          </w:divBdr>
        </w:div>
        <w:div w:id="1927030865">
          <w:marLeft w:val="0"/>
          <w:marRight w:val="0"/>
          <w:marTop w:val="0"/>
          <w:marBottom w:val="0"/>
          <w:divBdr>
            <w:top w:val="none" w:sz="0" w:space="0" w:color="auto"/>
            <w:left w:val="none" w:sz="0" w:space="0" w:color="auto"/>
            <w:bottom w:val="none" w:sz="0" w:space="0" w:color="auto"/>
            <w:right w:val="none" w:sz="0" w:space="0" w:color="auto"/>
          </w:divBdr>
        </w:div>
        <w:div w:id="1346860616">
          <w:marLeft w:val="0"/>
          <w:marRight w:val="0"/>
          <w:marTop w:val="0"/>
          <w:marBottom w:val="0"/>
          <w:divBdr>
            <w:top w:val="none" w:sz="0" w:space="0" w:color="auto"/>
            <w:left w:val="none" w:sz="0" w:space="0" w:color="auto"/>
            <w:bottom w:val="none" w:sz="0" w:space="0" w:color="auto"/>
            <w:right w:val="none" w:sz="0" w:space="0" w:color="auto"/>
          </w:divBdr>
        </w:div>
        <w:div w:id="1331059025">
          <w:marLeft w:val="0"/>
          <w:marRight w:val="0"/>
          <w:marTop w:val="0"/>
          <w:marBottom w:val="0"/>
          <w:divBdr>
            <w:top w:val="none" w:sz="0" w:space="0" w:color="auto"/>
            <w:left w:val="none" w:sz="0" w:space="0" w:color="auto"/>
            <w:bottom w:val="none" w:sz="0" w:space="0" w:color="auto"/>
            <w:right w:val="none" w:sz="0" w:space="0" w:color="auto"/>
          </w:divBdr>
        </w:div>
        <w:div w:id="12662992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38499295">
      <w:bodyDiv w:val="1"/>
      <w:marLeft w:val="0"/>
      <w:marRight w:val="0"/>
      <w:marTop w:val="0"/>
      <w:marBottom w:val="0"/>
      <w:divBdr>
        <w:top w:val="none" w:sz="0" w:space="0" w:color="auto"/>
        <w:left w:val="none" w:sz="0" w:space="0" w:color="auto"/>
        <w:bottom w:val="none" w:sz="0" w:space="0" w:color="auto"/>
        <w:right w:val="none" w:sz="0" w:space="0" w:color="auto"/>
      </w:divBdr>
      <w:divsChild>
        <w:div w:id="775098087">
          <w:marLeft w:val="0"/>
          <w:marRight w:val="0"/>
          <w:marTop w:val="0"/>
          <w:marBottom w:val="0"/>
          <w:divBdr>
            <w:top w:val="none" w:sz="0" w:space="0" w:color="auto"/>
            <w:left w:val="none" w:sz="0" w:space="0" w:color="auto"/>
            <w:bottom w:val="none" w:sz="0" w:space="0" w:color="auto"/>
            <w:right w:val="none" w:sz="0" w:space="0" w:color="auto"/>
          </w:divBdr>
        </w:div>
        <w:div w:id="950628652">
          <w:marLeft w:val="0"/>
          <w:marRight w:val="0"/>
          <w:marTop w:val="0"/>
          <w:marBottom w:val="0"/>
          <w:divBdr>
            <w:top w:val="none" w:sz="0" w:space="0" w:color="auto"/>
            <w:left w:val="none" w:sz="0" w:space="0" w:color="auto"/>
            <w:bottom w:val="none" w:sz="0" w:space="0" w:color="auto"/>
            <w:right w:val="none" w:sz="0" w:space="0" w:color="auto"/>
          </w:divBdr>
        </w:div>
      </w:divsChild>
    </w:div>
    <w:div w:id="1196962421">
      <w:bodyDiv w:val="1"/>
      <w:marLeft w:val="0"/>
      <w:marRight w:val="0"/>
      <w:marTop w:val="0"/>
      <w:marBottom w:val="0"/>
      <w:divBdr>
        <w:top w:val="none" w:sz="0" w:space="0" w:color="auto"/>
        <w:left w:val="none" w:sz="0" w:space="0" w:color="auto"/>
        <w:bottom w:val="none" w:sz="0" w:space="0" w:color="auto"/>
        <w:right w:val="none" w:sz="0" w:space="0" w:color="auto"/>
      </w:divBdr>
      <w:divsChild>
        <w:div w:id="818766104">
          <w:marLeft w:val="0"/>
          <w:marRight w:val="0"/>
          <w:marTop w:val="0"/>
          <w:marBottom w:val="0"/>
          <w:divBdr>
            <w:top w:val="none" w:sz="0" w:space="0" w:color="auto"/>
            <w:left w:val="none" w:sz="0" w:space="0" w:color="auto"/>
            <w:bottom w:val="none" w:sz="0" w:space="0" w:color="auto"/>
            <w:right w:val="none" w:sz="0" w:space="0" w:color="auto"/>
          </w:divBdr>
        </w:div>
        <w:div w:id="1767573015">
          <w:marLeft w:val="0"/>
          <w:marRight w:val="0"/>
          <w:marTop w:val="0"/>
          <w:marBottom w:val="0"/>
          <w:divBdr>
            <w:top w:val="none" w:sz="0" w:space="0" w:color="auto"/>
            <w:left w:val="none" w:sz="0" w:space="0" w:color="auto"/>
            <w:bottom w:val="none" w:sz="0" w:space="0" w:color="auto"/>
            <w:right w:val="none" w:sz="0" w:space="0" w:color="auto"/>
          </w:divBdr>
        </w:div>
        <w:div w:id="776943331">
          <w:marLeft w:val="0"/>
          <w:marRight w:val="0"/>
          <w:marTop w:val="0"/>
          <w:marBottom w:val="0"/>
          <w:divBdr>
            <w:top w:val="none" w:sz="0" w:space="0" w:color="auto"/>
            <w:left w:val="none" w:sz="0" w:space="0" w:color="auto"/>
            <w:bottom w:val="none" w:sz="0" w:space="0" w:color="auto"/>
            <w:right w:val="none" w:sz="0" w:space="0" w:color="auto"/>
          </w:divBdr>
        </w:div>
        <w:div w:id="1780182552">
          <w:marLeft w:val="0"/>
          <w:marRight w:val="0"/>
          <w:marTop w:val="0"/>
          <w:marBottom w:val="0"/>
          <w:divBdr>
            <w:top w:val="none" w:sz="0" w:space="0" w:color="auto"/>
            <w:left w:val="none" w:sz="0" w:space="0" w:color="auto"/>
            <w:bottom w:val="none" w:sz="0" w:space="0" w:color="auto"/>
            <w:right w:val="none" w:sz="0" w:space="0" w:color="auto"/>
          </w:divBdr>
        </w:div>
      </w:divsChild>
    </w:div>
    <w:div w:id="1440297022">
      <w:bodyDiv w:val="1"/>
      <w:marLeft w:val="0"/>
      <w:marRight w:val="0"/>
      <w:marTop w:val="0"/>
      <w:marBottom w:val="0"/>
      <w:divBdr>
        <w:top w:val="none" w:sz="0" w:space="0" w:color="auto"/>
        <w:left w:val="none" w:sz="0" w:space="0" w:color="auto"/>
        <w:bottom w:val="none" w:sz="0" w:space="0" w:color="auto"/>
        <w:right w:val="none" w:sz="0" w:space="0" w:color="auto"/>
      </w:divBdr>
      <w:divsChild>
        <w:div w:id="1858887102">
          <w:marLeft w:val="0"/>
          <w:marRight w:val="0"/>
          <w:marTop w:val="0"/>
          <w:marBottom w:val="0"/>
          <w:divBdr>
            <w:top w:val="none" w:sz="0" w:space="0" w:color="auto"/>
            <w:left w:val="none" w:sz="0" w:space="0" w:color="auto"/>
            <w:bottom w:val="none" w:sz="0" w:space="0" w:color="auto"/>
            <w:right w:val="none" w:sz="0" w:space="0" w:color="auto"/>
          </w:divBdr>
        </w:div>
        <w:div w:id="1745756727">
          <w:marLeft w:val="0"/>
          <w:marRight w:val="0"/>
          <w:marTop w:val="0"/>
          <w:marBottom w:val="0"/>
          <w:divBdr>
            <w:top w:val="none" w:sz="0" w:space="0" w:color="auto"/>
            <w:left w:val="none" w:sz="0" w:space="0" w:color="auto"/>
            <w:bottom w:val="none" w:sz="0" w:space="0" w:color="auto"/>
            <w:right w:val="none" w:sz="0" w:space="0" w:color="auto"/>
          </w:divBdr>
        </w:div>
        <w:div w:id="616058995">
          <w:marLeft w:val="0"/>
          <w:marRight w:val="0"/>
          <w:marTop w:val="0"/>
          <w:marBottom w:val="0"/>
          <w:divBdr>
            <w:top w:val="none" w:sz="0" w:space="0" w:color="auto"/>
            <w:left w:val="none" w:sz="0" w:space="0" w:color="auto"/>
            <w:bottom w:val="none" w:sz="0" w:space="0" w:color="auto"/>
            <w:right w:val="none" w:sz="0" w:space="0" w:color="auto"/>
          </w:divBdr>
        </w:div>
        <w:div w:id="1889142005">
          <w:marLeft w:val="0"/>
          <w:marRight w:val="0"/>
          <w:marTop w:val="0"/>
          <w:marBottom w:val="0"/>
          <w:divBdr>
            <w:top w:val="none" w:sz="0" w:space="0" w:color="auto"/>
            <w:left w:val="none" w:sz="0" w:space="0" w:color="auto"/>
            <w:bottom w:val="none" w:sz="0" w:space="0" w:color="auto"/>
            <w:right w:val="none" w:sz="0" w:space="0" w:color="auto"/>
          </w:divBdr>
        </w:div>
        <w:div w:id="830831211">
          <w:marLeft w:val="0"/>
          <w:marRight w:val="0"/>
          <w:marTop w:val="0"/>
          <w:marBottom w:val="0"/>
          <w:divBdr>
            <w:top w:val="none" w:sz="0" w:space="0" w:color="auto"/>
            <w:left w:val="none" w:sz="0" w:space="0" w:color="auto"/>
            <w:bottom w:val="none" w:sz="0" w:space="0" w:color="auto"/>
            <w:right w:val="none" w:sz="0" w:space="0" w:color="auto"/>
          </w:divBdr>
        </w:div>
        <w:div w:id="2009404161">
          <w:marLeft w:val="0"/>
          <w:marRight w:val="0"/>
          <w:marTop w:val="0"/>
          <w:marBottom w:val="0"/>
          <w:divBdr>
            <w:top w:val="none" w:sz="0" w:space="0" w:color="auto"/>
            <w:left w:val="none" w:sz="0" w:space="0" w:color="auto"/>
            <w:bottom w:val="none" w:sz="0" w:space="0" w:color="auto"/>
            <w:right w:val="none" w:sz="0" w:space="0" w:color="auto"/>
          </w:divBdr>
        </w:div>
        <w:div w:id="662272991">
          <w:marLeft w:val="0"/>
          <w:marRight w:val="0"/>
          <w:marTop w:val="0"/>
          <w:marBottom w:val="0"/>
          <w:divBdr>
            <w:top w:val="none" w:sz="0" w:space="0" w:color="auto"/>
            <w:left w:val="none" w:sz="0" w:space="0" w:color="auto"/>
            <w:bottom w:val="none" w:sz="0" w:space="0" w:color="auto"/>
            <w:right w:val="none" w:sz="0" w:space="0" w:color="auto"/>
          </w:divBdr>
        </w:div>
        <w:div w:id="1491289384">
          <w:marLeft w:val="0"/>
          <w:marRight w:val="0"/>
          <w:marTop w:val="0"/>
          <w:marBottom w:val="0"/>
          <w:divBdr>
            <w:top w:val="none" w:sz="0" w:space="0" w:color="auto"/>
            <w:left w:val="none" w:sz="0" w:space="0" w:color="auto"/>
            <w:bottom w:val="none" w:sz="0" w:space="0" w:color="auto"/>
            <w:right w:val="none" w:sz="0" w:space="0" w:color="auto"/>
          </w:divBdr>
        </w:div>
        <w:div w:id="1008288934">
          <w:marLeft w:val="0"/>
          <w:marRight w:val="0"/>
          <w:marTop w:val="0"/>
          <w:marBottom w:val="0"/>
          <w:divBdr>
            <w:top w:val="none" w:sz="0" w:space="0" w:color="auto"/>
            <w:left w:val="none" w:sz="0" w:space="0" w:color="auto"/>
            <w:bottom w:val="none" w:sz="0" w:space="0" w:color="auto"/>
            <w:right w:val="none" w:sz="0" w:space="0" w:color="auto"/>
          </w:divBdr>
        </w:div>
        <w:div w:id="795752639">
          <w:marLeft w:val="0"/>
          <w:marRight w:val="0"/>
          <w:marTop w:val="0"/>
          <w:marBottom w:val="0"/>
          <w:divBdr>
            <w:top w:val="none" w:sz="0" w:space="0" w:color="auto"/>
            <w:left w:val="none" w:sz="0" w:space="0" w:color="auto"/>
            <w:bottom w:val="none" w:sz="0" w:space="0" w:color="auto"/>
            <w:right w:val="none" w:sz="0" w:space="0" w:color="auto"/>
          </w:divBdr>
        </w:div>
        <w:div w:id="329262737">
          <w:marLeft w:val="0"/>
          <w:marRight w:val="0"/>
          <w:marTop w:val="0"/>
          <w:marBottom w:val="0"/>
          <w:divBdr>
            <w:top w:val="none" w:sz="0" w:space="0" w:color="auto"/>
            <w:left w:val="none" w:sz="0" w:space="0" w:color="auto"/>
            <w:bottom w:val="none" w:sz="0" w:space="0" w:color="auto"/>
            <w:right w:val="none" w:sz="0" w:space="0" w:color="auto"/>
          </w:divBdr>
        </w:div>
        <w:div w:id="360087099">
          <w:marLeft w:val="0"/>
          <w:marRight w:val="0"/>
          <w:marTop w:val="0"/>
          <w:marBottom w:val="0"/>
          <w:divBdr>
            <w:top w:val="none" w:sz="0" w:space="0" w:color="auto"/>
            <w:left w:val="none" w:sz="0" w:space="0" w:color="auto"/>
            <w:bottom w:val="none" w:sz="0" w:space="0" w:color="auto"/>
            <w:right w:val="none" w:sz="0" w:space="0" w:color="auto"/>
          </w:divBdr>
        </w:div>
        <w:div w:id="1239708052">
          <w:marLeft w:val="0"/>
          <w:marRight w:val="0"/>
          <w:marTop w:val="0"/>
          <w:marBottom w:val="0"/>
          <w:divBdr>
            <w:top w:val="none" w:sz="0" w:space="0" w:color="auto"/>
            <w:left w:val="none" w:sz="0" w:space="0" w:color="auto"/>
            <w:bottom w:val="none" w:sz="0" w:space="0" w:color="auto"/>
            <w:right w:val="none" w:sz="0" w:space="0" w:color="auto"/>
          </w:divBdr>
        </w:div>
        <w:div w:id="1415396992">
          <w:marLeft w:val="0"/>
          <w:marRight w:val="0"/>
          <w:marTop w:val="0"/>
          <w:marBottom w:val="0"/>
          <w:divBdr>
            <w:top w:val="none" w:sz="0" w:space="0" w:color="auto"/>
            <w:left w:val="none" w:sz="0" w:space="0" w:color="auto"/>
            <w:bottom w:val="none" w:sz="0" w:space="0" w:color="auto"/>
            <w:right w:val="none" w:sz="0" w:space="0" w:color="auto"/>
          </w:divBdr>
        </w:div>
      </w:divsChild>
    </w:div>
    <w:div w:id="1443499774">
      <w:bodyDiv w:val="1"/>
      <w:marLeft w:val="0"/>
      <w:marRight w:val="0"/>
      <w:marTop w:val="0"/>
      <w:marBottom w:val="0"/>
      <w:divBdr>
        <w:top w:val="none" w:sz="0" w:space="0" w:color="auto"/>
        <w:left w:val="none" w:sz="0" w:space="0" w:color="auto"/>
        <w:bottom w:val="none" w:sz="0" w:space="0" w:color="auto"/>
        <w:right w:val="none" w:sz="0" w:space="0" w:color="auto"/>
      </w:divBdr>
      <w:divsChild>
        <w:div w:id="1890993249">
          <w:marLeft w:val="0"/>
          <w:marRight w:val="0"/>
          <w:marTop w:val="0"/>
          <w:marBottom w:val="0"/>
          <w:divBdr>
            <w:top w:val="none" w:sz="0" w:space="0" w:color="auto"/>
            <w:left w:val="none" w:sz="0" w:space="0" w:color="auto"/>
            <w:bottom w:val="none" w:sz="0" w:space="0" w:color="auto"/>
            <w:right w:val="none" w:sz="0" w:space="0" w:color="auto"/>
          </w:divBdr>
          <w:divsChild>
            <w:div w:id="139421406">
              <w:marLeft w:val="0"/>
              <w:marRight w:val="0"/>
              <w:marTop w:val="0"/>
              <w:marBottom w:val="0"/>
              <w:divBdr>
                <w:top w:val="none" w:sz="0" w:space="0" w:color="auto"/>
                <w:left w:val="none" w:sz="0" w:space="0" w:color="auto"/>
                <w:bottom w:val="none" w:sz="0" w:space="0" w:color="auto"/>
                <w:right w:val="none" w:sz="0" w:space="0" w:color="auto"/>
              </w:divBdr>
              <w:divsChild>
                <w:div w:id="8289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7328">
      <w:bodyDiv w:val="1"/>
      <w:marLeft w:val="0"/>
      <w:marRight w:val="0"/>
      <w:marTop w:val="0"/>
      <w:marBottom w:val="0"/>
      <w:divBdr>
        <w:top w:val="none" w:sz="0" w:space="0" w:color="auto"/>
        <w:left w:val="none" w:sz="0" w:space="0" w:color="auto"/>
        <w:bottom w:val="none" w:sz="0" w:space="0" w:color="auto"/>
        <w:right w:val="none" w:sz="0" w:space="0" w:color="auto"/>
      </w:divBdr>
    </w:div>
    <w:div w:id="1929729791">
      <w:bodyDiv w:val="1"/>
      <w:marLeft w:val="0"/>
      <w:marRight w:val="0"/>
      <w:marTop w:val="0"/>
      <w:marBottom w:val="0"/>
      <w:divBdr>
        <w:top w:val="none" w:sz="0" w:space="0" w:color="auto"/>
        <w:left w:val="none" w:sz="0" w:space="0" w:color="auto"/>
        <w:bottom w:val="none" w:sz="0" w:space="0" w:color="auto"/>
        <w:right w:val="none" w:sz="0" w:space="0" w:color="auto"/>
      </w:divBdr>
      <w:divsChild>
        <w:div w:id="637339201">
          <w:marLeft w:val="0"/>
          <w:marRight w:val="0"/>
          <w:marTop w:val="0"/>
          <w:marBottom w:val="0"/>
          <w:divBdr>
            <w:top w:val="none" w:sz="0" w:space="0" w:color="auto"/>
            <w:left w:val="none" w:sz="0" w:space="0" w:color="auto"/>
            <w:bottom w:val="none" w:sz="0" w:space="0" w:color="auto"/>
            <w:right w:val="none" w:sz="0" w:space="0" w:color="auto"/>
          </w:divBdr>
        </w:div>
        <w:div w:id="2023118975">
          <w:marLeft w:val="0"/>
          <w:marRight w:val="0"/>
          <w:marTop w:val="0"/>
          <w:marBottom w:val="0"/>
          <w:divBdr>
            <w:top w:val="none" w:sz="0" w:space="0" w:color="auto"/>
            <w:left w:val="none" w:sz="0" w:space="0" w:color="auto"/>
            <w:bottom w:val="none" w:sz="0" w:space="0" w:color="auto"/>
            <w:right w:val="none" w:sz="0" w:space="0" w:color="auto"/>
          </w:divBdr>
        </w:div>
        <w:div w:id="322587925">
          <w:marLeft w:val="0"/>
          <w:marRight w:val="0"/>
          <w:marTop w:val="0"/>
          <w:marBottom w:val="0"/>
          <w:divBdr>
            <w:top w:val="none" w:sz="0" w:space="0" w:color="auto"/>
            <w:left w:val="none" w:sz="0" w:space="0" w:color="auto"/>
            <w:bottom w:val="none" w:sz="0" w:space="0" w:color="auto"/>
            <w:right w:val="none" w:sz="0" w:space="0" w:color="auto"/>
          </w:divBdr>
        </w:div>
        <w:div w:id="1143544903">
          <w:marLeft w:val="0"/>
          <w:marRight w:val="0"/>
          <w:marTop w:val="0"/>
          <w:marBottom w:val="0"/>
          <w:divBdr>
            <w:top w:val="none" w:sz="0" w:space="0" w:color="auto"/>
            <w:left w:val="none" w:sz="0" w:space="0" w:color="auto"/>
            <w:bottom w:val="none" w:sz="0" w:space="0" w:color="auto"/>
            <w:right w:val="none" w:sz="0" w:space="0" w:color="auto"/>
          </w:divBdr>
        </w:div>
        <w:div w:id="1762142551">
          <w:marLeft w:val="0"/>
          <w:marRight w:val="0"/>
          <w:marTop w:val="0"/>
          <w:marBottom w:val="0"/>
          <w:divBdr>
            <w:top w:val="none" w:sz="0" w:space="0" w:color="auto"/>
            <w:left w:val="none" w:sz="0" w:space="0" w:color="auto"/>
            <w:bottom w:val="none" w:sz="0" w:space="0" w:color="auto"/>
            <w:right w:val="none" w:sz="0" w:space="0" w:color="auto"/>
          </w:divBdr>
        </w:div>
        <w:div w:id="19160983">
          <w:marLeft w:val="0"/>
          <w:marRight w:val="0"/>
          <w:marTop w:val="0"/>
          <w:marBottom w:val="0"/>
          <w:divBdr>
            <w:top w:val="none" w:sz="0" w:space="0" w:color="auto"/>
            <w:left w:val="none" w:sz="0" w:space="0" w:color="auto"/>
            <w:bottom w:val="none" w:sz="0" w:space="0" w:color="auto"/>
            <w:right w:val="none" w:sz="0" w:space="0" w:color="auto"/>
          </w:divBdr>
        </w:div>
        <w:div w:id="1487744508">
          <w:marLeft w:val="0"/>
          <w:marRight w:val="0"/>
          <w:marTop w:val="0"/>
          <w:marBottom w:val="0"/>
          <w:divBdr>
            <w:top w:val="none" w:sz="0" w:space="0" w:color="auto"/>
            <w:left w:val="none" w:sz="0" w:space="0" w:color="auto"/>
            <w:bottom w:val="none" w:sz="0" w:space="0" w:color="auto"/>
            <w:right w:val="none" w:sz="0" w:space="0" w:color="auto"/>
          </w:divBdr>
        </w:div>
        <w:div w:id="574364264">
          <w:marLeft w:val="0"/>
          <w:marRight w:val="0"/>
          <w:marTop w:val="0"/>
          <w:marBottom w:val="0"/>
          <w:divBdr>
            <w:top w:val="none" w:sz="0" w:space="0" w:color="auto"/>
            <w:left w:val="none" w:sz="0" w:space="0" w:color="auto"/>
            <w:bottom w:val="none" w:sz="0" w:space="0" w:color="auto"/>
            <w:right w:val="none" w:sz="0" w:space="0" w:color="auto"/>
          </w:divBdr>
        </w:div>
        <w:div w:id="376200218">
          <w:marLeft w:val="0"/>
          <w:marRight w:val="0"/>
          <w:marTop w:val="0"/>
          <w:marBottom w:val="0"/>
          <w:divBdr>
            <w:top w:val="none" w:sz="0" w:space="0" w:color="auto"/>
            <w:left w:val="none" w:sz="0" w:space="0" w:color="auto"/>
            <w:bottom w:val="none" w:sz="0" w:space="0" w:color="auto"/>
            <w:right w:val="none" w:sz="0" w:space="0" w:color="auto"/>
          </w:divBdr>
        </w:div>
        <w:div w:id="2034764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ap.ox.ac.uk/making-ma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bitstream/handle/10665/253469/A68_R1_REC1-en.pdf?sequence=1&amp;isAllowed=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774D93-2CDA-4E9C-961D-CC8CA645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Kebebush Welkema</cp:lastModifiedBy>
  <cp:revision>2</cp:revision>
  <cp:lastPrinted>2016-07-16T14:25:00Z</cp:lastPrinted>
  <dcterms:created xsi:type="dcterms:W3CDTF">2021-03-29T13:39:00Z</dcterms:created>
  <dcterms:modified xsi:type="dcterms:W3CDTF">2021-03-29T13:39:00Z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