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0C45299" w14:textId="77777777" w:rsidR="002A6F58" w:rsidRDefault="002A6F58"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 3: Ensure healthy lives and promote well-being for all at all ages</w:t>
      </w:r>
      <w:r>
        <w:rPr>
          <w:rStyle w:val="eop"/>
          <w:rFonts w:ascii="Calibri" w:hAnsi="Calibri" w:cs="Calibri"/>
          <w:color w:val="333333"/>
          <w:sz w:val="21"/>
          <w:szCs w:val="21"/>
        </w:rPr>
        <w:t> </w:t>
      </w:r>
    </w:p>
    <w:p w14:paraId="084142D2" w14:textId="3A210B89" w:rsidR="00D24330" w:rsidRPr="00A96255" w:rsidRDefault="00D24330" w:rsidP="00D24330">
      <w:pPr>
        <w:pStyle w:val="MIndHeader"/>
      </w:pPr>
      <w:r w:rsidRPr="00A96255">
        <w:t>0.b. Target</w:t>
      </w:r>
    </w:p>
    <w:p w14:paraId="079D77B9" w14:textId="77777777" w:rsidR="002A6F58" w:rsidRDefault="002A6F58"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Target 3.3: By 2030, end the epidemics of AIDS, tuberculosis, malaria and neglected tropical diseases and combat hepatitis, water-borne diseases and other communicable diseases</w:t>
      </w:r>
      <w:r>
        <w:rPr>
          <w:rStyle w:val="eop"/>
          <w:rFonts w:ascii="Calibri" w:hAnsi="Calibri" w:cs="Calibri"/>
          <w:color w:val="333333"/>
          <w:sz w:val="21"/>
          <w:szCs w:val="21"/>
        </w:rPr>
        <w:t> </w:t>
      </w:r>
    </w:p>
    <w:p w14:paraId="3E67E7E0" w14:textId="7300FAAB" w:rsidR="00D24330" w:rsidRPr="00A96255" w:rsidRDefault="00D24330" w:rsidP="00D24330">
      <w:pPr>
        <w:pStyle w:val="MIndHeader"/>
      </w:pPr>
      <w:r w:rsidRPr="00A96255">
        <w:t>0.c. Indicator</w:t>
      </w:r>
    </w:p>
    <w:p w14:paraId="77647C7C" w14:textId="6D1577EB" w:rsidR="002A6F58" w:rsidRDefault="002A6F58" w:rsidP="00D24330">
      <w:pPr>
        <w:pStyle w:val="MIndHeader"/>
        <w:rPr>
          <w:color w:val="333333"/>
          <w:sz w:val="21"/>
          <w:szCs w:val="21"/>
        </w:rPr>
      </w:pPr>
      <w:r w:rsidRPr="002A6F58">
        <w:rPr>
          <w:color w:val="333333"/>
          <w:sz w:val="21"/>
          <w:szCs w:val="21"/>
        </w:rPr>
        <w:t xml:space="preserve">Indicator 3.3.4: Hepatitis B incidence per 100,000 population </w:t>
      </w:r>
    </w:p>
    <w:p w14:paraId="37E5E4F6" w14:textId="7FFBBBE7" w:rsidR="00D24330" w:rsidRPr="00A96255" w:rsidRDefault="00D24330" w:rsidP="00D24330">
      <w:pPr>
        <w:pStyle w:val="MIndHeader"/>
      </w:pPr>
      <w:r w:rsidRPr="00A96255">
        <w:t>0.d. Series</w:t>
      </w:r>
    </w:p>
    <w:p w14:paraId="771888BA" w14:textId="02DB0BFE" w:rsidR="00D24330" w:rsidRPr="00A96255" w:rsidRDefault="00FB46A4" w:rsidP="00D24330">
      <w:pPr>
        <w:pStyle w:val="MGTHeader"/>
      </w:pPr>
      <w:r>
        <w:t>Not applicable</w:t>
      </w:r>
    </w:p>
    <w:p w14:paraId="157DACE7" w14:textId="77777777" w:rsidR="00D24330" w:rsidRPr="00A96255" w:rsidRDefault="00D24330" w:rsidP="00D24330">
      <w:pPr>
        <w:pStyle w:val="MIndHeader"/>
      </w:pPr>
      <w:r w:rsidRPr="00A96255">
        <w:t>0.e. Metadata update</w:t>
      </w:r>
    </w:p>
    <w:p w14:paraId="03424B60" w14:textId="0B780EF3" w:rsidR="00D24330" w:rsidRPr="00A96255" w:rsidRDefault="00FB46A4" w:rsidP="00D24330">
      <w:pPr>
        <w:pStyle w:val="MGTHeader"/>
      </w:pPr>
      <w:r>
        <w:t>April 2021</w:t>
      </w:r>
    </w:p>
    <w:p w14:paraId="415C9FF1" w14:textId="77777777" w:rsidR="00D24330" w:rsidRPr="00A96255" w:rsidRDefault="00D24330" w:rsidP="00D24330">
      <w:pPr>
        <w:pStyle w:val="MIndHeader"/>
      </w:pPr>
      <w:r w:rsidRPr="00A96255">
        <w:t>0.f. Related indicators</w:t>
      </w:r>
    </w:p>
    <w:p w14:paraId="5290570E" w14:textId="77777777" w:rsidR="00E73C89" w:rsidRDefault="00E73C89" w:rsidP="00E73C89">
      <w:pPr>
        <w:pStyle w:val="MGTHeader"/>
      </w:pPr>
    </w:p>
    <w:p w14:paraId="077BC49E" w14:textId="31A99A47" w:rsidR="00D24330" w:rsidRPr="00A96255" w:rsidRDefault="00D24330" w:rsidP="00D24330">
      <w:pPr>
        <w:pStyle w:val="MIndHeader"/>
      </w:pPr>
      <w:r w:rsidRPr="00A96255">
        <w:t>0.g. International organisations(s) responsible for global monitoring</w:t>
      </w:r>
    </w:p>
    <w:p w14:paraId="19F29921" w14:textId="22F67FE5" w:rsidR="008D1D39" w:rsidRPr="00577011" w:rsidRDefault="00577011" w:rsidP="00577011">
      <w:pPr>
        <w:pStyle w:val="MGTHeader"/>
        <w:rPr>
          <w:rStyle w:val="eop"/>
        </w:rPr>
      </w:pPr>
      <w:r w:rsidRPr="00577011">
        <w:rPr>
          <w:rStyle w:val="normaltextrun"/>
        </w:rPr>
        <w:t>World Health Organization</w:t>
      </w:r>
      <w:r w:rsidR="002A6F58" w:rsidRPr="00577011">
        <w:rPr>
          <w:rStyle w:val="eop"/>
        </w:rPr>
        <w:t> </w:t>
      </w:r>
    </w:p>
    <w:p w14:paraId="0D54C4C5" w14:textId="77777777" w:rsidR="00577011" w:rsidRPr="00A96255" w:rsidRDefault="00577011"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B3D6EB2" w:rsidR="00576CFA" w:rsidRDefault="00577011" w:rsidP="00576CFA">
      <w:pPr>
        <w:pStyle w:val="MText"/>
      </w:pPr>
      <w:r w:rsidRPr="00577011">
        <w:t>World Health Organization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B5E02AB"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0993F0C"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is measured indirectly through the proportion of children 5 years of age who have developed chronic HBV infection (i.e. the proportion that tests positive for a marker of infection called hepatitis B surface antigen [HBsAg])</w:t>
      </w:r>
      <w:r>
        <w:rPr>
          <w:rStyle w:val="normaltextrun"/>
          <w:color w:val="4A4A4A"/>
          <w:sz w:val="21"/>
          <w:szCs w:val="21"/>
          <w:lang w:val="en-GB"/>
        </w:rPr>
        <w:t>.</w:t>
      </w:r>
      <w:r>
        <w:rPr>
          <w:rStyle w:val="superscript"/>
          <w:color w:val="4A4A4A"/>
          <w:sz w:val="16"/>
          <w:szCs w:val="16"/>
          <w:vertAlign w:val="superscript"/>
          <w:lang w:val="en-GB"/>
        </w:rPr>
        <w:t>1</w:t>
      </w:r>
      <w:r>
        <w:rPr>
          <w:rStyle w:val="eop"/>
          <w:color w:val="4A4A4A"/>
          <w:sz w:val="21"/>
          <w:szCs w:val="21"/>
        </w:rPr>
        <w:t> </w:t>
      </w:r>
    </w:p>
    <w:p w14:paraId="4214A2E6"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4A4A4A"/>
          <w:sz w:val="21"/>
          <w:szCs w:val="21"/>
          <w:lang w:val="en-GB"/>
        </w:rPr>
        <w:t> </w:t>
      </w:r>
      <w:r>
        <w:rPr>
          <w:rStyle w:val="eop"/>
          <w:color w:val="4A4A4A"/>
          <w:sz w:val="21"/>
          <w:szCs w:val="21"/>
        </w:rPr>
        <w:t> </w:t>
      </w:r>
    </w:p>
    <w:p w14:paraId="2CBA2EFE"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Hepatitis B surface antigen: a protein from the virus’s coat. A positive test for HBsAg indicates active HBV infection. The immune response to HBsAg provides the basis for immunity against HBV, and HBsAg is the main component of HepB</w:t>
      </w:r>
      <w:r>
        <w:rPr>
          <w:rStyle w:val="normaltextrun"/>
          <w:color w:val="4A4A4A"/>
          <w:sz w:val="21"/>
          <w:szCs w:val="21"/>
          <w:lang w:val="en-GB"/>
        </w:rPr>
        <w:t>.</w:t>
      </w:r>
      <w:r>
        <w:rPr>
          <w:rStyle w:val="superscript"/>
          <w:color w:val="4A4A4A"/>
          <w:sz w:val="16"/>
          <w:szCs w:val="16"/>
          <w:vertAlign w:val="superscript"/>
          <w:lang w:val="en-GB"/>
        </w:rPr>
        <w:t>2</w:t>
      </w:r>
      <w:r>
        <w:rPr>
          <w:rStyle w:val="eop"/>
          <w:color w:val="4A4A4A"/>
          <w:sz w:val="21"/>
          <w:szCs w:val="21"/>
        </w:rPr>
        <w:t> </w:t>
      </w:r>
    </w:p>
    <w:p w14:paraId="22B022C8" w14:textId="46253A94" w:rsidR="002A6F58" w:rsidRDefault="002A6F58" w:rsidP="009A29C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A33169D"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sidRPr="00E25DB0">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153B09C3" w14:textId="50ABF3CA" w:rsidR="00D51E7C" w:rsidRPr="00A96255" w:rsidRDefault="00A6025E" w:rsidP="00576CFA">
      <w:pPr>
        <w:pStyle w:val="MText"/>
      </w:pPr>
      <w:r w:rsidRPr="00A6025E">
        <w:t>It is not possible, on clinical grounds, to differentiate hepatitis B from hepatitis caused by other viral agents, hence, laboratory confirmation of the diagnosis is essential</w:t>
      </w:r>
      <w:r>
        <w:t xml:space="preserve">. </w:t>
      </w:r>
      <w:r w:rsidR="00295823">
        <w:t>The Hepatitis B surface antigen is</w:t>
      </w:r>
      <w:r w:rsidR="00295823" w:rsidRPr="00295823">
        <w:t xml:space="preserve"> the most common hepatitis B test. The presence of HBsAg in serum indicates that the patient has contracted HBV infection. </w:t>
      </w:r>
      <w:r w:rsidR="00DF2C7D" w:rsidRPr="00DF2C7D">
        <w:t>The measurement of HBsAg levels have been standardized in IU/ml</w:t>
      </w:r>
      <w:r w:rsidR="00DF2C7D">
        <w:t xml:space="preserve">. </w:t>
      </w:r>
      <w:r w:rsidR="00295823" w:rsidRPr="00295823">
        <w:t xml:space="preserve">The test is used to </w:t>
      </w:r>
      <w:r w:rsidR="00295823" w:rsidRPr="00295823">
        <w:lastRenderedPageBreak/>
        <w:t>identify those at risk of spreading the diseas</w:t>
      </w:r>
      <w:r w:rsidR="00295823">
        <w:t>e</w:t>
      </w:r>
      <w:r w:rsidR="00285E9E">
        <w:t xml:space="preserve">. </w:t>
      </w:r>
      <w:r w:rsidR="00285E9E" w:rsidRPr="00285E9E">
        <w:t>HBsAg, an HBV viral coat antigen, is produced in large quantities in infected-cell cytoplasm and continues to be produced in patients with chronic, active HBV infection</w:t>
      </w:r>
      <w:r w:rsidR="00285E9E">
        <w:t>.</w:t>
      </w:r>
      <w:r w:rsidR="00285E9E" w:rsidRPr="00285E9E">
        <w:t xml:space="preserve"> Documented HBsAg positivity in serum for 6 or more months suggests chronic HBV with a low likelihood of subsequent spontaneous resolution.</w:t>
      </w:r>
      <w:r w:rsidR="00285E9E">
        <w:t xml:space="preserve">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0C5F92E1" w14:textId="066895F2" w:rsidR="006D539C" w:rsidRPr="00A96255" w:rsidRDefault="006D539C" w:rsidP="00576CFA">
      <w:pPr>
        <w:pStyle w:val="MText"/>
      </w:pPr>
      <w:r>
        <w:t>Prevalence of the Hepatitis b surface antigen in children under five years of age (proportion with chronic infection)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2AF53742" w:rsidR="00F719A8" w:rsidRDefault="00F719A8" w:rsidP="00576CFA">
      <w:pPr>
        <w:pStyle w:val="MText"/>
      </w:pPr>
    </w:p>
    <w:p w14:paraId="1C55AEED" w14:textId="77777777" w:rsidR="00E73C89" w:rsidRPr="00A96255" w:rsidRDefault="00E73C89"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01D2620"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 systematic search on articles published between Jan 1, 1965, and Oct 30, 2018. in the databases Embase, PubMed, Global Index </w:t>
      </w:r>
      <w:proofErr w:type="spellStart"/>
      <w:r>
        <w:rPr>
          <w:rStyle w:val="normaltextrun"/>
          <w:rFonts w:ascii="Calibri" w:hAnsi="Calibri" w:cs="Calibri"/>
          <w:color w:val="4A4A4A"/>
          <w:sz w:val="21"/>
          <w:szCs w:val="21"/>
          <w:lang w:val="en-GB"/>
        </w:rPr>
        <w:t>Medicus</w:t>
      </w:r>
      <w:proofErr w:type="spellEnd"/>
      <w:r>
        <w:rPr>
          <w:rStyle w:val="normaltextrun"/>
          <w:color w:val="4A4A4A"/>
          <w:sz w:val="21"/>
          <w:szCs w:val="21"/>
          <w:lang w:val="en-GB"/>
        </w:rPr>
        <w:t>, </w:t>
      </w:r>
      <w:proofErr w:type="spellStart"/>
      <w:r>
        <w:rPr>
          <w:rStyle w:val="normaltextrun"/>
          <w:rFonts w:ascii="Calibri" w:hAnsi="Calibri" w:cs="Calibri"/>
          <w:color w:val="4A4A4A"/>
          <w:sz w:val="21"/>
          <w:szCs w:val="21"/>
          <w:lang w:val="en-GB"/>
        </w:rPr>
        <w:t>Popline</w:t>
      </w:r>
      <w:proofErr w:type="spellEnd"/>
      <w:r>
        <w:rPr>
          <w:rStyle w:val="normaltextrun"/>
          <w:rFonts w:ascii="Calibri" w:hAnsi="Calibri" w:cs="Calibri"/>
          <w:color w:val="4A4A4A"/>
          <w:sz w:val="21"/>
          <w:szCs w:val="21"/>
          <w:lang w:val="en-GB"/>
        </w:rPr>
        <w:t>, and Web of Science. </w:t>
      </w:r>
      <w:r>
        <w:rPr>
          <w:rStyle w:val="eop"/>
          <w:rFonts w:ascii="Calibri" w:hAnsi="Calibri" w:cs="Calibri"/>
          <w:color w:val="4A4A4A"/>
          <w:sz w:val="21"/>
          <w:szCs w:val="21"/>
        </w:rPr>
        <w:t> </w:t>
      </w:r>
    </w:p>
    <w:p w14:paraId="494C423C"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E10CF55" w14:textId="77777777" w:rsidR="00FB46A4" w:rsidRDefault="003945B5" w:rsidP="003945B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Following full text review, we extracted data from each study using the following variables: study characteristics (study and sample collection dates, study locations i.e., city, subnational [an area, region, state, or province in a country], or national level), participant characteristics (age range, sex, year, and population group), and prevalence of the HBV marker, type of laboratory tests, and number of participants the HBV marker prevalence was based on.</w:t>
      </w:r>
    </w:p>
    <w:p w14:paraId="0D95E2DF" w14:textId="091C4F09"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1"/>
          <w:szCs w:val="21"/>
        </w:rPr>
        <w:t> </w:t>
      </w:r>
    </w:p>
    <w:p w14:paraId="4A2D4E24"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of eligible articles were entered into a Microsoft EXCEL® and/or Distiller databank by two reviewers independently. Information was extracted for author name, year, age, gender, marker, laboratory test used, number of individuals tested, prevalence of each marker when reported, the population group (general population, HCWs, or blood donors) and whether the data reported was for a city, sub-national (an area, region, state or province in a country) or national level, GDP per capita. In addition to HBsAg, </w:t>
      </w: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was recorded, as available for individuals when HBsAg was also reported. In order to record information on methodological quality and study bias resulting from non-representativeness, an additional variable was used: samples likely to be representative for the country/area specified were coded as 0 and others, e.g. convenience samples in certain communities or tribes in the country were assigned a 1, supplemented by additional information. The risk of bias/non-representativeness information was applied if the population was neither HCW nor blood donor (see description below).</w:t>
      </w:r>
      <w:r>
        <w:rPr>
          <w:rStyle w:val="scxw86738870"/>
          <w:color w:val="4A4A4A"/>
          <w:sz w:val="21"/>
          <w:szCs w:val="21"/>
          <w:lang w:val="en-GB"/>
        </w:rPr>
        <w:t>3</w:t>
      </w:r>
      <w:r>
        <w:rPr>
          <w:rStyle w:val="normaltextrun"/>
          <w:rFonts w:ascii="Calibri" w:hAnsi="Calibri" w:cs="Calibri"/>
          <w:color w:val="4A4A4A"/>
          <w:sz w:val="21"/>
          <w:szCs w:val="21"/>
          <w:lang w:val="en-GB"/>
        </w:rPr>
        <w:t> In the following, variables extracted from the studies and assumptions made are described in detail:</w:t>
      </w:r>
      <w:r>
        <w:rPr>
          <w:rStyle w:val="eop"/>
          <w:rFonts w:ascii="Calibri" w:hAnsi="Calibri" w:cs="Calibri"/>
          <w:color w:val="4A4A4A"/>
          <w:sz w:val="21"/>
          <w:szCs w:val="21"/>
        </w:rPr>
        <w:t> </w:t>
      </w:r>
    </w:p>
    <w:p w14:paraId="471B9FB5" w14:textId="77777777" w:rsidR="003945B5" w:rsidRDefault="003945B5" w:rsidP="003945B5">
      <w:pPr>
        <w:pStyle w:val="paragraph"/>
        <w:numPr>
          <w:ilvl w:val="0"/>
          <w:numId w:val="9"/>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Author, Date</w:t>
      </w:r>
      <w:r>
        <w:rPr>
          <w:rStyle w:val="eop"/>
          <w:rFonts w:ascii="Calibri" w:hAnsi="Calibri" w:cs="Calibri"/>
          <w:color w:val="4A4A4A"/>
          <w:sz w:val="21"/>
          <w:szCs w:val="21"/>
        </w:rPr>
        <w:t> </w:t>
      </w:r>
    </w:p>
    <w:p w14:paraId="09CABA6C" w14:textId="77777777" w:rsidR="003945B5" w:rsidRDefault="003945B5" w:rsidP="003945B5">
      <w:pPr>
        <w:pStyle w:val="paragraph"/>
        <w:numPr>
          <w:ilvl w:val="0"/>
          <w:numId w:val="10"/>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Year start/end of study conduct: Year of study begin and end was extracted. If this information was not available from the studies, we used the commonly used assumption that the study was conducted two years prior to the year of publication (e.g. author, 2000, year of study conduct: 1998). </w:t>
      </w:r>
      <w:r>
        <w:rPr>
          <w:rStyle w:val="eop"/>
          <w:rFonts w:ascii="Calibri" w:hAnsi="Calibri" w:cs="Calibri"/>
          <w:color w:val="4A4A4A"/>
          <w:sz w:val="21"/>
          <w:szCs w:val="21"/>
        </w:rPr>
        <w:t> </w:t>
      </w:r>
    </w:p>
    <w:p w14:paraId="415E88A4" w14:textId="77777777" w:rsidR="003945B5" w:rsidRDefault="003945B5" w:rsidP="003945B5">
      <w:pPr>
        <w:pStyle w:val="paragraph"/>
        <w:numPr>
          <w:ilvl w:val="0"/>
          <w:numId w:val="11"/>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Sex: Sex-specific values were extracted. If only an overall (all) estimate was provided, the share of females in the study was specified in the column additional information.</w:t>
      </w:r>
      <w:r>
        <w:rPr>
          <w:rStyle w:val="eop"/>
          <w:rFonts w:ascii="Calibri" w:hAnsi="Calibri" w:cs="Calibri"/>
          <w:color w:val="4A4A4A"/>
          <w:sz w:val="21"/>
          <w:szCs w:val="21"/>
        </w:rPr>
        <w:t> </w:t>
      </w:r>
    </w:p>
    <w:p w14:paraId="62ACD963" w14:textId="77777777" w:rsidR="003945B5" w:rsidRDefault="003945B5" w:rsidP="003945B5">
      <w:pPr>
        <w:pStyle w:val="paragraph"/>
        <w:numPr>
          <w:ilvl w:val="0"/>
          <w:numId w:val="12"/>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Age start/end: The most specific age-group provided by the data was extracted. If the age-group on which the parameter value was based on was not available, assumptions were made based on the context of the study. Therefore, the following was applied in case of missing information on age-groups in the study population: </w:t>
      </w:r>
      <w:r>
        <w:rPr>
          <w:rStyle w:val="eop"/>
          <w:rFonts w:ascii="Calibri" w:hAnsi="Calibri" w:cs="Calibri"/>
          <w:color w:val="4A4A4A"/>
          <w:sz w:val="21"/>
          <w:szCs w:val="21"/>
        </w:rPr>
        <w:t> </w:t>
      </w:r>
    </w:p>
    <w:p w14:paraId="1C1C94B1" w14:textId="77777777" w:rsidR="003945B5" w:rsidRDefault="003945B5" w:rsidP="003945B5">
      <w:pPr>
        <w:pStyle w:val="paragraph"/>
        <w:numPr>
          <w:ilvl w:val="0"/>
          <w:numId w:val="13"/>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in the general population without further specification and if only one prevalence estimate is provided, the age-group </w:t>
      </w:r>
      <w:proofErr w:type="gramStart"/>
      <w:r>
        <w:rPr>
          <w:rStyle w:val="normaltextrun"/>
          <w:rFonts w:ascii="Calibri" w:hAnsi="Calibri" w:cs="Calibri"/>
          <w:color w:val="4A4A4A"/>
          <w:sz w:val="21"/>
          <w:szCs w:val="21"/>
          <w:lang w:val="en-GB"/>
        </w:rPr>
        <w:t>was considered to be</w:t>
      </w:r>
      <w:proofErr w:type="gramEnd"/>
      <w:r>
        <w:rPr>
          <w:rStyle w:val="normaltextrun"/>
          <w:rFonts w:ascii="Calibri" w:hAnsi="Calibri" w:cs="Calibri"/>
          <w:color w:val="4A4A4A"/>
          <w:sz w:val="21"/>
          <w:szCs w:val="21"/>
          <w:lang w:val="en-GB"/>
        </w:rPr>
        <w:t xml:space="preserve"> 0-85 years. </w:t>
      </w:r>
      <w:r>
        <w:rPr>
          <w:rStyle w:val="normaltextrun"/>
          <w:rFonts w:ascii="Calibri" w:hAnsi="Calibri" w:cs="Calibri"/>
          <w:color w:val="4A4A4A"/>
          <w:sz w:val="21"/>
          <w:szCs w:val="21"/>
          <w:lang w:val="en-GB"/>
        </w:rPr>
        <w:lastRenderedPageBreak/>
        <w:t>Subsequently, if the beginning and last age-group is missing, the lower value of the youngest age-group is 1 year, the upper value of the oldest age-groups is 85 years. </w:t>
      </w:r>
      <w:r>
        <w:rPr>
          <w:rStyle w:val="eop"/>
          <w:rFonts w:ascii="Calibri" w:hAnsi="Calibri" w:cs="Calibri"/>
          <w:color w:val="4A4A4A"/>
          <w:sz w:val="21"/>
          <w:szCs w:val="21"/>
        </w:rPr>
        <w:t> </w:t>
      </w:r>
    </w:p>
    <w:p w14:paraId="0F810918" w14:textId="77777777" w:rsidR="003945B5" w:rsidRDefault="003945B5" w:rsidP="003945B5">
      <w:pPr>
        <w:pStyle w:val="paragraph"/>
        <w:numPr>
          <w:ilvl w:val="0"/>
          <w:numId w:val="14"/>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adult populations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17-65 years. </w:t>
      </w:r>
      <w:r>
        <w:rPr>
          <w:rStyle w:val="eop"/>
          <w:rFonts w:ascii="Calibri" w:hAnsi="Calibri" w:cs="Calibri"/>
          <w:color w:val="4A4A4A"/>
          <w:sz w:val="21"/>
          <w:szCs w:val="21"/>
        </w:rPr>
        <w:t> </w:t>
      </w:r>
    </w:p>
    <w:p w14:paraId="6446996F" w14:textId="77777777" w:rsidR="003945B5" w:rsidRDefault="003945B5" w:rsidP="003945B5">
      <w:pPr>
        <w:pStyle w:val="paragraph"/>
        <w:numPr>
          <w:ilvl w:val="0"/>
          <w:numId w:val="15"/>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pupils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5-15 years. </w:t>
      </w:r>
      <w:r>
        <w:rPr>
          <w:rStyle w:val="eop"/>
          <w:rFonts w:ascii="Calibri" w:hAnsi="Calibri" w:cs="Calibri"/>
          <w:color w:val="4A4A4A"/>
          <w:sz w:val="21"/>
          <w:szCs w:val="21"/>
        </w:rPr>
        <w:t> </w:t>
      </w:r>
    </w:p>
    <w:p w14:paraId="03792E9D" w14:textId="77777777" w:rsidR="003945B5" w:rsidRDefault="003945B5" w:rsidP="003945B5">
      <w:pPr>
        <w:pStyle w:val="paragraph"/>
        <w:numPr>
          <w:ilvl w:val="0"/>
          <w:numId w:val="16"/>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pregnant women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15-49 years (reproductive age). </w:t>
      </w:r>
      <w:r>
        <w:rPr>
          <w:rStyle w:val="eop"/>
          <w:rFonts w:ascii="Calibri" w:hAnsi="Calibri" w:cs="Calibri"/>
          <w:color w:val="4A4A4A"/>
          <w:sz w:val="21"/>
          <w:szCs w:val="21"/>
        </w:rPr>
        <w:t> </w:t>
      </w:r>
    </w:p>
    <w:p w14:paraId="5AFDF71A" w14:textId="77777777" w:rsidR="003945B5" w:rsidRDefault="003945B5" w:rsidP="003945B5">
      <w:pPr>
        <w:pStyle w:val="paragraph"/>
        <w:numPr>
          <w:ilvl w:val="0"/>
          <w:numId w:val="17"/>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blood donors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17-65 years. </w:t>
      </w:r>
      <w:r>
        <w:rPr>
          <w:rStyle w:val="eop"/>
          <w:rFonts w:ascii="Calibri" w:hAnsi="Calibri" w:cs="Calibri"/>
          <w:color w:val="4A4A4A"/>
          <w:sz w:val="21"/>
          <w:szCs w:val="21"/>
        </w:rPr>
        <w:t> </w:t>
      </w:r>
    </w:p>
    <w:p w14:paraId="5BFD97E1" w14:textId="77777777" w:rsidR="003945B5" w:rsidRDefault="003945B5" w:rsidP="003945B5">
      <w:pPr>
        <w:pStyle w:val="paragraph"/>
        <w:numPr>
          <w:ilvl w:val="0"/>
          <w:numId w:val="18"/>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army recruits or soldiers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18-45 years. </w:t>
      </w:r>
      <w:r>
        <w:rPr>
          <w:rStyle w:val="eop"/>
          <w:rFonts w:ascii="Calibri" w:hAnsi="Calibri" w:cs="Calibri"/>
          <w:color w:val="4A4A4A"/>
          <w:sz w:val="21"/>
          <w:szCs w:val="21"/>
        </w:rPr>
        <w:t> </w:t>
      </w:r>
    </w:p>
    <w:p w14:paraId="2AB8811C" w14:textId="77777777" w:rsidR="003945B5" w:rsidRDefault="003945B5" w:rsidP="003945B5">
      <w:pPr>
        <w:pStyle w:val="paragraph"/>
        <w:numPr>
          <w:ilvl w:val="0"/>
          <w:numId w:val="19"/>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the working population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16-65 years. </w:t>
      </w:r>
      <w:r>
        <w:rPr>
          <w:rStyle w:val="eop"/>
          <w:rFonts w:ascii="Calibri" w:hAnsi="Calibri" w:cs="Calibri"/>
          <w:color w:val="4A4A4A"/>
          <w:sz w:val="21"/>
          <w:szCs w:val="21"/>
        </w:rPr>
        <w:t> </w:t>
      </w:r>
    </w:p>
    <w:p w14:paraId="033DD802" w14:textId="77777777" w:rsidR="003945B5" w:rsidRDefault="003945B5" w:rsidP="003945B5">
      <w:pPr>
        <w:pStyle w:val="paragraph"/>
        <w:numPr>
          <w:ilvl w:val="0"/>
          <w:numId w:val="20"/>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HBsAg Prevalence: The most specific prevalence estimate provided by the data was extracted (defined by age-/sex-/year-prevalence). Separate lines for each marker were used in the data extraction file (e.g. one for </w:t>
      </w: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and one line for HBsAg, even if the study group/publication was the same)</w:t>
      </w:r>
      <w:r>
        <w:rPr>
          <w:rStyle w:val="eop"/>
          <w:rFonts w:ascii="Calibri" w:hAnsi="Calibri" w:cs="Calibri"/>
          <w:color w:val="4A4A4A"/>
          <w:sz w:val="21"/>
          <w:szCs w:val="21"/>
        </w:rPr>
        <w:t> </w:t>
      </w:r>
    </w:p>
    <w:p w14:paraId="7694671E" w14:textId="77777777" w:rsidR="003945B5" w:rsidRDefault="003945B5" w:rsidP="003945B5">
      <w:pPr>
        <w:pStyle w:val="paragraph"/>
        <w:numPr>
          <w:ilvl w:val="0"/>
          <w:numId w:val="21"/>
        </w:numPr>
        <w:shd w:val="clear" w:color="auto" w:fill="FFFFFF"/>
        <w:spacing w:before="0" w:beforeAutospacing="0" w:after="0" w:afterAutospacing="0"/>
        <w:ind w:left="360" w:firstLine="0"/>
        <w:textAlignment w:val="baseline"/>
        <w:rPr>
          <w:sz w:val="21"/>
          <w:szCs w:val="21"/>
        </w:rPr>
      </w:pP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Prevalence (optional marker): The most specific prevalence estimate (defined by age-/sex-/year-prevalence) of </w:t>
      </w: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among HBsAg-positive individuals was extracted and, if applicable was calculated to reflect prevalence among HBsAg carriers. </w:t>
      </w:r>
      <w:r>
        <w:rPr>
          <w:rStyle w:val="eop"/>
          <w:rFonts w:ascii="Calibri" w:hAnsi="Calibri" w:cs="Calibri"/>
          <w:color w:val="4A4A4A"/>
          <w:sz w:val="21"/>
          <w:szCs w:val="21"/>
        </w:rPr>
        <w:t> </w:t>
      </w:r>
    </w:p>
    <w:p w14:paraId="3644D20D" w14:textId="77777777" w:rsidR="003945B5" w:rsidRDefault="003945B5" w:rsidP="003945B5">
      <w:pPr>
        <w:pStyle w:val="paragraph"/>
        <w:numPr>
          <w:ilvl w:val="0"/>
          <w:numId w:val="22"/>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anti-HBc Prevalence (optional marker): The most specific prevalence estimate provided by the data was extracted (defined by age-/sex-/year-prevalence).</w:t>
      </w:r>
      <w:r>
        <w:rPr>
          <w:rStyle w:val="eop"/>
          <w:rFonts w:ascii="Calibri" w:hAnsi="Calibri" w:cs="Calibri"/>
          <w:color w:val="4A4A4A"/>
          <w:sz w:val="21"/>
          <w:szCs w:val="21"/>
        </w:rPr>
        <w:t> </w:t>
      </w:r>
    </w:p>
    <w:p w14:paraId="093B19B6" w14:textId="77777777" w:rsidR="003945B5" w:rsidRDefault="003945B5" w:rsidP="003945B5">
      <w:pPr>
        <w:pStyle w:val="paragraph"/>
        <w:numPr>
          <w:ilvl w:val="0"/>
          <w:numId w:val="23"/>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Laboratory method: Testing immune response markers of HBV infection began in the 1970s by counter-immuno-electrophoresis technique (CIEP). Since then, different detection methods have been developed (RIA, EIA, …). The most applied method in prevalence studies is the ELISA (enzyme-linked immunosorbent assay). Five categories were established to record the method/test used for prevalence detection in the studies: ELI new (ELISA -2, -3, EIA, …), EIA old (CMIA, CIEP, RPHA), NAT (qPCR/real-time PCR, nested PCR, multiplex PCR), other (e.g. RIA); Unknown/not specified.</w:t>
      </w:r>
      <w:r>
        <w:rPr>
          <w:rStyle w:val="eop"/>
          <w:rFonts w:ascii="Calibri" w:hAnsi="Calibri" w:cs="Calibri"/>
          <w:color w:val="4A4A4A"/>
          <w:sz w:val="21"/>
          <w:szCs w:val="21"/>
        </w:rPr>
        <w:t> </w:t>
      </w:r>
    </w:p>
    <w:p w14:paraId="3B561E8E" w14:textId="77777777" w:rsidR="003945B5" w:rsidRDefault="003945B5" w:rsidP="003945B5">
      <w:pPr>
        <w:pStyle w:val="paragraph"/>
        <w:numPr>
          <w:ilvl w:val="0"/>
          <w:numId w:val="24"/>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Country: Country names were recorded according to www.who.int and, for additional analysis purpose, were grouped according to the six WHO regions: the African Region, the Region of the Americas, the Eastern Mediterranean Region, the European Region, the South East-Asia Region and the Western Pacific Region.</w:t>
      </w:r>
      <w:r>
        <w:rPr>
          <w:rStyle w:val="eop"/>
          <w:rFonts w:ascii="Calibri" w:hAnsi="Calibri" w:cs="Calibri"/>
          <w:color w:val="4A4A4A"/>
          <w:sz w:val="21"/>
          <w:szCs w:val="21"/>
        </w:rPr>
        <w:t> </w:t>
      </w:r>
    </w:p>
    <w:p w14:paraId="71DEF357" w14:textId="77777777" w:rsidR="003945B5" w:rsidRDefault="003945B5" w:rsidP="003945B5">
      <w:pPr>
        <w:pStyle w:val="paragraph"/>
        <w:numPr>
          <w:ilvl w:val="0"/>
          <w:numId w:val="25"/>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Sample size of individuals blood drawn from; of individuals involved in analyses/bases for parameter estimate: As a quality indicator of the study, we distinguished the effective sample size, i.e. the number of individuals involved in the analysis/on which the parameter estimate is based on, from the number of individuals from which blood was drawn from (separate column) and the initially calculated/planed sample size (separate column). </w:t>
      </w:r>
      <w:r>
        <w:rPr>
          <w:rStyle w:val="eop"/>
          <w:rFonts w:ascii="Calibri" w:hAnsi="Calibri" w:cs="Calibri"/>
          <w:color w:val="4A4A4A"/>
          <w:sz w:val="21"/>
          <w:szCs w:val="21"/>
        </w:rPr>
        <w:t> </w:t>
      </w:r>
    </w:p>
    <w:p w14:paraId="112A54EF" w14:textId="77777777" w:rsidR="003945B5" w:rsidRDefault="003945B5" w:rsidP="003945B5">
      <w:pPr>
        <w:pStyle w:val="paragraph"/>
        <w:numPr>
          <w:ilvl w:val="0"/>
          <w:numId w:val="26"/>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Population: Although focus was on the general population, two additional groups were included and specified. These include: HCW and blood donor (plus subgroups unspecified, paid, unpaid/voluntary). If in this column “population” was specified as HCW or blood donor and not as general population, the risk of bias column (following) remains empty.</w:t>
      </w:r>
      <w:r>
        <w:rPr>
          <w:rStyle w:val="eop"/>
          <w:rFonts w:ascii="Calibri" w:hAnsi="Calibri" w:cs="Calibri"/>
          <w:color w:val="4A4A4A"/>
          <w:sz w:val="21"/>
          <w:szCs w:val="21"/>
        </w:rPr>
        <w:t> </w:t>
      </w:r>
    </w:p>
    <w:p w14:paraId="2008FFE9" w14:textId="77777777" w:rsidR="003945B5" w:rsidRDefault="003945B5" w:rsidP="003945B5">
      <w:pPr>
        <w:pStyle w:val="paragraph"/>
        <w:numPr>
          <w:ilvl w:val="0"/>
          <w:numId w:val="27"/>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Level: Information is provided if the study was conducted on a national, sub-national, city level or if the level was not further specified (four categories).</w:t>
      </w:r>
      <w:r>
        <w:rPr>
          <w:rStyle w:val="eop"/>
          <w:rFonts w:ascii="Calibri" w:hAnsi="Calibri" w:cs="Calibri"/>
          <w:color w:val="4A4A4A"/>
          <w:sz w:val="21"/>
          <w:szCs w:val="21"/>
        </w:rPr>
        <w:t> </w:t>
      </w:r>
    </w:p>
    <w:p w14:paraId="144E5222" w14:textId="77777777" w:rsidR="003945B5" w:rsidRDefault="003945B5" w:rsidP="003945B5">
      <w:pPr>
        <w:pStyle w:val="paragraph"/>
        <w:numPr>
          <w:ilvl w:val="0"/>
          <w:numId w:val="28"/>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Study Location: This free-text variable specifies the city/area within the country where the included study was conducted. The variables/columns Level and Study Location were additionally included following the WHO Meeting on Impact of Hepatitis B Vaccination at WHO, Geneva, in March 2014.</w:t>
      </w:r>
      <w:r>
        <w:rPr>
          <w:rStyle w:val="eop"/>
          <w:rFonts w:ascii="Calibri" w:hAnsi="Calibri" w:cs="Calibri"/>
          <w:color w:val="4A4A4A"/>
          <w:sz w:val="21"/>
          <w:szCs w:val="21"/>
        </w:rPr>
        <w:t> </w:t>
      </w:r>
    </w:p>
    <w:p w14:paraId="1BB19694"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6EA7666"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Additional data from other sources than the eligible studies</w:t>
      </w:r>
      <w:r>
        <w:rPr>
          <w:rStyle w:val="normaltextrun"/>
          <w:color w:val="4A4A4A"/>
          <w:sz w:val="21"/>
          <w:szCs w:val="21"/>
          <w:lang w:val="en-GB"/>
        </w:rPr>
        <w:t>:</w:t>
      </w:r>
      <w:r>
        <w:rPr>
          <w:rStyle w:val="eop"/>
          <w:color w:val="4A4A4A"/>
          <w:sz w:val="21"/>
          <w:szCs w:val="21"/>
        </w:rPr>
        <w:t> </w:t>
      </w:r>
    </w:p>
    <w:p w14:paraId="6BCCD73B" w14:textId="467FD69C" w:rsidR="003945B5" w:rsidRDefault="003945B5" w:rsidP="003945B5">
      <w:pPr>
        <w:pStyle w:val="paragraph"/>
        <w:numPr>
          <w:ilvl w:val="0"/>
          <w:numId w:val="29"/>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Year of vaccine introduction in the entire country:  data is derived from official reports by WHO Member States and unless otherwise stated, data is reported annually through the</w:t>
      </w:r>
      <w:r w:rsidR="00FB46A4">
        <w:rPr>
          <w:rStyle w:val="normaltextrun"/>
          <w:rFonts w:ascii="Calibri" w:hAnsi="Calibri" w:cs="Calibri"/>
          <w:color w:val="4A4A4A"/>
          <w:sz w:val="21"/>
          <w:szCs w:val="21"/>
          <w:lang w:val="en-GB"/>
        </w:rPr>
        <w:t xml:space="preserve"> WHO/UNICEF joint reporting process. </w:t>
      </w:r>
      <w:r w:rsidR="00FB46A4">
        <w:rPr>
          <w:rStyle w:val="normaltextrun"/>
          <w:rFonts w:ascii="Calibri" w:hAnsi="Calibri" w:cs="Calibri"/>
          <w:color w:val="4A4A4A"/>
          <w:sz w:val="21"/>
          <w:szCs w:val="21"/>
          <w:lang w:val="en-GB"/>
        </w:rPr>
        <w:lastRenderedPageBreak/>
        <w:fldChar w:fldCharType="begin"/>
      </w:r>
      <w:r w:rsidR="00FB46A4">
        <w:rPr>
          <w:rStyle w:val="normaltextrun"/>
          <w:rFonts w:ascii="Calibri" w:hAnsi="Calibri" w:cs="Calibri"/>
          <w:color w:val="4A4A4A"/>
          <w:sz w:val="21"/>
          <w:szCs w:val="21"/>
          <w:lang w:val="en-GB"/>
        </w:rPr>
        <w:instrText xml:space="preserve"> HYPERLINK "http://www.who.int/entity/immunization/monitoring_surveillance/data/year_vaccine_introduction.xls?ua=1" </w:instrText>
      </w:r>
      <w:r w:rsidR="00FB46A4">
        <w:rPr>
          <w:rStyle w:val="normaltextrun"/>
          <w:rFonts w:ascii="Calibri" w:hAnsi="Calibri" w:cs="Calibri"/>
          <w:color w:val="4A4A4A"/>
          <w:sz w:val="21"/>
          <w:szCs w:val="21"/>
          <w:lang w:val="en-GB"/>
        </w:rPr>
        <w:fldChar w:fldCharType="separate"/>
      </w:r>
      <w:r w:rsidR="00FB46A4" w:rsidRPr="003053A6">
        <w:rPr>
          <w:rStyle w:val="Hyperlink"/>
          <w:rFonts w:ascii="Calibri" w:hAnsi="Calibri" w:cs="Calibri"/>
          <w:sz w:val="21"/>
          <w:szCs w:val="21"/>
          <w:lang w:val="en-GB"/>
        </w:rPr>
        <w:t>http://www.who.int/entity/immunization/monitoring_surveillance/data/year_vaccine_introduction.xls?ua=1</w:t>
      </w:r>
      <w:r w:rsidR="00FB46A4">
        <w:rPr>
          <w:rStyle w:val="normaltextrun"/>
          <w:rFonts w:ascii="Calibri" w:hAnsi="Calibri" w:cs="Calibri"/>
          <w:color w:val="4A4A4A"/>
          <w:sz w:val="21"/>
          <w:szCs w:val="21"/>
          <w:lang w:val="en-GB"/>
        </w:rPr>
        <w:fldChar w:fldCharType="end"/>
      </w:r>
      <w:r w:rsidR="00FB46A4">
        <w:rPr>
          <w:rStyle w:val="normaltextrun"/>
          <w:rFonts w:ascii="Calibri" w:hAnsi="Calibri" w:cs="Calibri"/>
          <w:color w:val="4A4A4A"/>
          <w:sz w:val="21"/>
          <w:szCs w:val="21"/>
          <w:lang w:val="en-GB"/>
        </w:rPr>
        <w:t xml:space="preserve"> </w:t>
      </w:r>
      <w:r>
        <w:rPr>
          <w:rStyle w:val="eop"/>
          <w:color w:val="4A4A4A"/>
          <w:sz w:val="21"/>
          <w:szCs w:val="21"/>
        </w:rPr>
        <w:t> </w:t>
      </w:r>
    </w:p>
    <w:p w14:paraId="2C69EAC5" w14:textId="77777777" w:rsidR="003945B5" w:rsidRDefault="003945B5" w:rsidP="003945B5">
      <w:pPr>
        <w:pStyle w:val="paragraph"/>
        <w:numPr>
          <w:ilvl w:val="0"/>
          <w:numId w:val="30"/>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Period when the study was conducted: pre- vaccination or post vaccination. This is determined according the year of introduction in the whole country. </w:t>
      </w:r>
      <w:r>
        <w:rPr>
          <w:rStyle w:val="eop"/>
          <w:rFonts w:ascii="Calibri" w:hAnsi="Calibri" w:cs="Calibri"/>
          <w:color w:val="4A4A4A"/>
          <w:sz w:val="21"/>
          <w:szCs w:val="21"/>
        </w:rPr>
        <w:t> </w:t>
      </w:r>
    </w:p>
    <w:p w14:paraId="7660569D" w14:textId="02A6868C" w:rsidR="003945B5" w:rsidRDefault="003945B5" w:rsidP="003945B5">
      <w:pPr>
        <w:pStyle w:val="paragraph"/>
        <w:numPr>
          <w:ilvl w:val="0"/>
          <w:numId w:val="31"/>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Coverage estimates series: data is obtained from WUENIC: </w:t>
      </w:r>
      <w:hyperlink r:id="rId11" w:tgtFrame="_blank" w:history="1">
        <w:r>
          <w:rPr>
            <w:rStyle w:val="normaltextrun"/>
            <w:rFonts w:ascii="Calibri" w:hAnsi="Calibri" w:cs="Calibri"/>
            <w:color w:val="4A4A4A"/>
            <w:sz w:val="21"/>
            <w:szCs w:val="21"/>
            <w:lang w:val="en-GB"/>
          </w:rPr>
          <w:t>http://apps.who.int/immunization_monitoring/globalsummary/timeseries/tswucoveragebcg.html</w:t>
        </w:r>
      </w:hyperlink>
      <w:r>
        <w:rPr>
          <w:rStyle w:val="normaltextrun"/>
          <w:color w:val="4A4A4A"/>
          <w:sz w:val="21"/>
          <w:szCs w:val="21"/>
          <w:lang w:val="en-GB"/>
        </w:rPr>
        <w:t> </w:t>
      </w:r>
      <w:r>
        <w:rPr>
          <w:rStyle w:val="eop"/>
          <w:color w:val="4A4A4A"/>
          <w:sz w:val="21"/>
          <w:szCs w:val="21"/>
        </w:rPr>
        <w:t> </w:t>
      </w:r>
    </w:p>
    <w:p w14:paraId="68E7B713" w14:textId="77777777" w:rsidR="003945B5" w:rsidRDefault="003945B5" w:rsidP="003945B5">
      <w:pPr>
        <w:pStyle w:val="paragraph"/>
        <w:numPr>
          <w:ilvl w:val="0"/>
          <w:numId w:val="32"/>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GDP per capita was used form UN data that compiles information from the World Bank Source </w:t>
      </w:r>
      <w:hyperlink r:id="rId12" w:tgtFrame="_blank" w:history="1">
        <w:r>
          <w:rPr>
            <w:rStyle w:val="normaltextrun"/>
            <w:rFonts w:ascii="Calibri" w:hAnsi="Calibri" w:cs="Calibri"/>
            <w:color w:val="4A4A4A"/>
            <w:sz w:val="21"/>
            <w:szCs w:val="21"/>
            <w:lang w:val="en-GB"/>
          </w:rPr>
          <w:t>http://data.un.org/Data.aspx?q=GDP&amp;d=SNAAMA&amp;f=grID%3a101%3bcurrID%3aUSD%3bpcFlag%3a1</w:t>
        </w:r>
      </w:hyperlink>
      <w:r>
        <w:rPr>
          <w:rStyle w:val="normaltextrun"/>
          <w:color w:val="4A4A4A"/>
          <w:sz w:val="21"/>
          <w:szCs w:val="21"/>
          <w:lang w:val="en-GB"/>
        </w:rPr>
        <w:t> ), </w:t>
      </w:r>
      <w:r>
        <w:rPr>
          <w:rStyle w:val="eop"/>
          <w:color w:val="4A4A4A"/>
          <w:sz w:val="21"/>
          <w:szCs w:val="21"/>
        </w:rPr>
        <w:t> </w:t>
      </w:r>
    </w:p>
    <w:p w14:paraId="1C673F6D" w14:textId="77777777" w:rsidR="003945B5" w:rsidRDefault="003945B5" w:rsidP="003945B5">
      <w:pPr>
        <w:pStyle w:val="paragraph"/>
        <w:numPr>
          <w:ilvl w:val="0"/>
          <w:numId w:val="33"/>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Longitude and latitude data (source: </w:t>
      </w:r>
      <w:hyperlink r:id="rId13" w:tgtFrame="_blank" w:history="1">
        <w:r>
          <w:rPr>
            <w:rStyle w:val="normaltextrun"/>
            <w:rFonts w:ascii="Calibri" w:hAnsi="Calibri" w:cs="Calibri"/>
            <w:color w:val="4A4A4A"/>
            <w:sz w:val="21"/>
            <w:szCs w:val="21"/>
            <w:lang w:val="en-GB"/>
          </w:rPr>
          <w:t>www.google.com</w:t>
        </w:r>
      </w:hyperlink>
      <w:r>
        <w:rPr>
          <w:rStyle w:val="normaltextrun"/>
          <w:color w:val="4A4A4A"/>
          <w:sz w:val="21"/>
          <w:szCs w:val="21"/>
          <w:lang w:val="en-GB"/>
        </w:rPr>
        <w:t>).</w:t>
      </w:r>
      <w:r>
        <w:rPr>
          <w:rStyle w:val="eop"/>
          <w:color w:val="4A4A4A"/>
          <w:sz w:val="21"/>
          <w:szCs w:val="21"/>
        </w:rPr>
        <w:t> </w:t>
      </w:r>
    </w:p>
    <w:p w14:paraId="3FF9052D" w14:textId="77777777" w:rsidR="003945B5" w:rsidRDefault="003945B5" w:rsidP="003945B5">
      <w:pPr>
        <w:pStyle w:val="paragraph"/>
        <w:numPr>
          <w:ilvl w:val="0"/>
          <w:numId w:val="34"/>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Population structure and size data for each country was from the UN population division:</w:t>
      </w:r>
      <w:r>
        <w:rPr>
          <w:rStyle w:val="eop"/>
          <w:rFonts w:ascii="Calibri" w:hAnsi="Calibri" w:cs="Calibri"/>
          <w:color w:val="4A4A4A"/>
          <w:sz w:val="21"/>
          <w:szCs w:val="21"/>
        </w:rPr>
        <w:t> </w:t>
      </w:r>
    </w:p>
    <w:p w14:paraId="4F485B40" w14:textId="77777777" w:rsidR="003945B5" w:rsidRDefault="00811F41" w:rsidP="003945B5">
      <w:pPr>
        <w:pStyle w:val="paragraph"/>
        <w:shd w:val="clear" w:color="auto" w:fill="FFFFFF"/>
        <w:spacing w:before="0" w:beforeAutospacing="0" w:after="0" w:afterAutospacing="0"/>
        <w:ind w:firstLine="720"/>
        <w:textAlignment w:val="baseline"/>
        <w:rPr>
          <w:rFonts w:ascii="Segoe UI" w:hAnsi="Segoe UI" w:cs="Segoe UI"/>
          <w:sz w:val="18"/>
          <w:szCs w:val="18"/>
        </w:rPr>
      </w:pPr>
      <w:hyperlink r:id="rId14" w:tgtFrame="_blank" w:history="1">
        <w:r w:rsidR="003945B5">
          <w:rPr>
            <w:rStyle w:val="normaltextrun"/>
            <w:rFonts w:ascii="Calibri" w:hAnsi="Calibri" w:cs="Calibri"/>
            <w:color w:val="4A4A4A"/>
            <w:sz w:val="21"/>
            <w:szCs w:val="21"/>
            <w:lang w:val="en-GB"/>
          </w:rPr>
          <w:t>http://www.un.org/en/development/desa/population/</w:t>
        </w:r>
      </w:hyperlink>
      <w:r w:rsidR="003945B5">
        <w:rPr>
          <w:rStyle w:val="normaltextrun"/>
          <w:color w:val="4A4A4A"/>
          <w:sz w:val="21"/>
          <w:szCs w:val="21"/>
          <w:lang w:val="en-GB"/>
        </w:rPr>
        <w:t> </w:t>
      </w:r>
      <w:r w:rsidR="003945B5">
        <w:rPr>
          <w:rStyle w:val="eop"/>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756572F1" w:rsidR="00576CFA" w:rsidRPr="00A96255" w:rsidRDefault="003945B5" w:rsidP="00576CFA">
      <w:pPr>
        <w:pStyle w:val="MText"/>
      </w:pPr>
      <w:r>
        <w:rPr>
          <w:rStyle w:val="normaltextrun"/>
          <w:rFonts w:ascii="Calibri" w:hAnsi="Calibri" w:cs="Calibri"/>
        </w:rPr>
        <w:t>WHO provides Member States the opportunity to review and comment on data as part of the </w:t>
      </w:r>
      <w:proofErr w:type="gramStart"/>
      <w:r>
        <w:rPr>
          <w:rStyle w:val="normaltextrun"/>
          <w:rFonts w:ascii="Calibri" w:hAnsi="Calibri" w:cs="Calibri"/>
        </w:rPr>
        <w:t>so called</w:t>
      </w:r>
      <w:proofErr w:type="gramEnd"/>
      <w:r>
        <w:rPr>
          <w:rStyle w:val="normaltextrun"/>
          <w:rFonts w:ascii="Calibri" w:hAnsi="Calibri" w:cs="Calibri"/>
        </w:rPr>
        <w:t> country consultation process. Member States receive an annex with their country specific estimates, the </w:t>
      </w:r>
      <w:proofErr w:type="spellStart"/>
      <w:r>
        <w:rPr>
          <w:rStyle w:val="normaltextrun"/>
          <w:rFonts w:ascii="Calibri" w:hAnsi="Calibri" w:cs="Calibri"/>
          <w:color w:val="000000"/>
          <w:shd w:val="clear" w:color="auto" w:fill="FFE5E5"/>
        </w:rPr>
        <w:t>se</w:t>
      </w:r>
      <w:bookmarkStart w:id="5" w:name="_GoBack"/>
      <w:bookmarkEnd w:id="5"/>
      <w:r>
        <w:rPr>
          <w:rStyle w:val="normaltextrun"/>
          <w:rFonts w:ascii="Calibri" w:hAnsi="Calibri" w:cs="Calibri"/>
          <w:color w:val="000000"/>
          <w:shd w:val="clear" w:color="auto" w:fill="FFE5E5"/>
        </w:rPr>
        <w:t>rosurveys</w:t>
      </w:r>
      <w:proofErr w:type="spellEnd"/>
      <w:r>
        <w:rPr>
          <w:rStyle w:val="normaltextrun"/>
          <w:rFonts w:ascii="Calibri" w:hAnsi="Calibri" w:cs="Calibri"/>
        </w:rPr>
        <w:t> used to inform the mathematical model and the summary of the methodology. They are provided with sufficient time to provide any additional study to be screened according to the inclusion and inclusion criteria. </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C3BAEBC"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systematic review of published </w:t>
      </w:r>
      <w:proofErr w:type="spellStart"/>
      <w:r>
        <w:rPr>
          <w:rStyle w:val="normaltextrun"/>
          <w:rFonts w:ascii="Calibri" w:hAnsi="Calibri" w:cs="Calibri"/>
          <w:color w:val="4A4A4A"/>
          <w:sz w:val="21"/>
          <w:szCs w:val="21"/>
          <w:lang w:val="en-GB"/>
        </w:rPr>
        <w:t>serosurveys</w:t>
      </w:r>
      <w:proofErr w:type="spellEnd"/>
      <w:r>
        <w:rPr>
          <w:rStyle w:val="normaltextrun"/>
          <w:rFonts w:ascii="Calibri" w:hAnsi="Calibri" w:cs="Calibri"/>
          <w:color w:val="4A4A4A"/>
          <w:sz w:val="21"/>
          <w:szCs w:val="21"/>
          <w:lang w:val="en-GB"/>
        </w:rPr>
        <w:t> and model estimates are updated on an annual basis. Planned for the last quarter of 2019.</w:t>
      </w:r>
      <w:r>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599AC543" w:rsidR="00EC2915" w:rsidRDefault="003945B5" w:rsidP="00576CFA">
      <w:pPr>
        <w:pStyle w:val="MText"/>
        <w:rPr>
          <w:rStyle w:val="eop"/>
          <w:rFonts w:ascii="Calibri" w:hAnsi="Calibri" w:cs="Calibri"/>
          <w:shd w:val="clear" w:color="auto" w:fill="FFFFFF"/>
        </w:rPr>
      </w:pPr>
      <w:r>
        <w:rPr>
          <w:rStyle w:val="normaltextrun"/>
          <w:rFonts w:ascii="Calibri" w:hAnsi="Calibri" w:cs="Calibri"/>
          <w:shd w:val="clear" w:color="auto" w:fill="FFFFFF"/>
        </w:rPr>
        <w:t>Second quarter of each year</w:t>
      </w:r>
    </w:p>
    <w:p w14:paraId="218E78DA" w14:textId="77777777" w:rsidR="00577011" w:rsidRPr="00A96255" w:rsidRDefault="00577011" w:rsidP="00576CFA">
      <w:pPr>
        <w:pStyle w:val="MText"/>
      </w:pPr>
    </w:p>
    <w:p w14:paraId="3A4F3065" w14:textId="3AD52F9D" w:rsidR="00E46D96" w:rsidRPr="00A96255" w:rsidRDefault="00E46D96" w:rsidP="00F719A8">
      <w:pPr>
        <w:pStyle w:val="MHeader2"/>
      </w:pPr>
      <w:r w:rsidRPr="00A96255">
        <w:t>3.e. Data providers</w:t>
      </w:r>
    </w:p>
    <w:p w14:paraId="50A66E64" w14:textId="64E05489" w:rsidR="00EC2915" w:rsidRDefault="003945B5" w:rsidP="00576CFA">
      <w:pPr>
        <w:pStyle w:val="MText"/>
        <w:rPr>
          <w:rStyle w:val="eop"/>
          <w:rFonts w:ascii="Calibri" w:hAnsi="Calibri" w:cs="Calibri"/>
        </w:rPr>
      </w:pPr>
      <w:r>
        <w:rPr>
          <w:rStyle w:val="normaltextrun"/>
          <w:rFonts w:ascii="Calibri" w:hAnsi="Calibri" w:cs="Calibri"/>
        </w:rPr>
        <w:t>World Health Organization</w:t>
      </w:r>
      <w:r>
        <w:rPr>
          <w:rStyle w:val="eop"/>
          <w:rFonts w:ascii="Calibri" w:hAnsi="Calibri" w:cs="Calibri"/>
        </w:rPr>
        <w:t> </w:t>
      </w:r>
    </w:p>
    <w:p w14:paraId="0D17EDDB" w14:textId="77777777" w:rsidR="003945B5" w:rsidRPr="00A96255" w:rsidRDefault="003945B5" w:rsidP="00576CFA">
      <w:pPr>
        <w:pStyle w:val="MText"/>
      </w:pPr>
    </w:p>
    <w:p w14:paraId="30DC8E05" w14:textId="484D6EC2" w:rsidR="00E46D96" w:rsidRPr="00A96255" w:rsidRDefault="00E46D96" w:rsidP="00F719A8">
      <w:pPr>
        <w:pStyle w:val="MHeader2"/>
      </w:pPr>
      <w:r w:rsidRPr="00A96255">
        <w:t>3.f. Data compilers</w:t>
      </w:r>
    </w:p>
    <w:p w14:paraId="1C4F6A47"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Organization</w:t>
      </w:r>
      <w:r>
        <w:rPr>
          <w:rStyle w:val="eop"/>
          <w:rFonts w:ascii="Calibri" w:hAnsi="Calibri" w:cs="Calibri"/>
          <w:color w:val="4A4A4A"/>
          <w:sz w:val="21"/>
          <w:szCs w:val="21"/>
        </w:rPr>
        <w:t>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6F5D3B9E" w:rsidR="00F719A8" w:rsidRDefault="00F719A8" w:rsidP="00576CFA">
      <w:pPr>
        <w:pStyle w:val="MText"/>
      </w:pPr>
    </w:p>
    <w:p w14:paraId="66C50AD7" w14:textId="77777777" w:rsidR="00E73C89" w:rsidRPr="00A96255" w:rsidRDefault="00E73C89"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DB5354C"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purpose is to describe the reduction in chronic hepatitis b infections. Most of the burden of disease from HBV infection comes from infections acquired before the age of 5 years. Therefore, prevention of HBV infection focuses on children under 5 years of age. The United Nations selected the cumulative incidence of chronic HBV infection at 5 years of age as an indicator of the Sustainable Development Goal target for “combating hepatitis”. This indicator is measured indirectly through the proportion of children </w:t>
      </w:r>
      <w:r>
        <w:rPr>
          <w:rStyle w:val="normaltextrun"/>
          <w:rFonts w:ascii="Calibri" w:hAnsi="Calibri" w:cs="Calibri"/>
          <w:color w:val="4A4A4A"/>
          <w:sz w:val="21"/>
          <w:szCs w:val="21"/>
          <w:lang w:val="en-GB"/>
        </w:rPr>
        <w:lastRenderedPageBreak/>
        <w:t>5 years of age who have developed chronic HBV infection (i.e. the proportion that tests positive for a marker of infection called hepatitis B surface antigen [HBsAg]). </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9B7D0FD" w14:textId="77777777" w:rsidR="009A29CB" w:rsidRDefault="009A29CB" w:rsidP="009A29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main Limitations of the analysis is that despite the thorough and in-depth literature search and access, there are fewer data on post vaccination studies than pre- vaccination studies. The model is largely informed by pre-vaccination studies in adults.</w:t>
      </w:r>
      <w:r>
        <w:rPr>
          <w:rStyle w:val="eop"/>
          <w:rFonts w:ascii="Calibri" w:hAnsi="Calibri" w:cs="Calibri"/>
          <w:color w:val="4A4A4A"/>
          <w:sz w:val="21"/>
          <w:szCs w:val="21"/>
        </w:rPr>
        <w:t> </w:t>
      </w:r>
    </w:p>
    <w:p w14:paraId="0BD9515B" w14:textId="77777777" w:rsidR="009A29CB" w:rsidRDefault="009A29CB" w:rsidP="009A29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quality of studies and data was assessed by reviewing representativeness of sampling. Bias factor is a dichotomous variable.</w:t>
      </w:r>
      <w:r>
        <w:rPr>
          <w:rStyle w:val="eop"/>
          <w:rFonts w:ascii="Calibri" w:hAnsi="Calibri" w:cs="Calibri"/>
          <w:color w:val="4A4A4A"/>
          <w:sz w:val="21"/>
          <w:szCs w:val="21"/>
        </w:rPr>
        <w:t> </w:t>
      </w:r>
    </w:p>
    <w:p w14:paraId="762049F5" w14:textId="0FED1883" w:rsidR="00576CFA" w:rsidRPr="009A29CB" w:rsidRDefault="009A29CB" w:rsidP="009A29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Potential important biases included geographical representation of the data points.  Also, studies were from many different sources such as blood donors and pregnant women. The former possibly having a lower proportion of Hep B prevalence than the general population as donor questionnaires often exclude individuals with risk factors for blood-borne diseases and the pregnant women possibly having a higher prevalence as were in studies to see the effect of a birth dose of vaccine to prevent vertical transmission. As the proportion of studies and size of studies that were from blood donors was significantly greater than those on pregnant women, we may presume that our estimates of prevalence of pre- vaccination may be on the low side.</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EE725FD"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The data was modelled using a Bayesian logistic regression looking at the proportion of individuals that tested positive for HBsAg in each study, weighting each study by its size and using a conditional autoregressive (CAR) model accounting for spatial and economic correlations between similar countries. This model uses data from well sampled countries to estimate prevalence in more data poor countries with effects such as sex, age and vaccination status, these are also informed by the geographic and countries GDP proximity to other countries (CAR model). Under the assumption that countries that are close together economically and/or geographically will have more similar prevalence due to similar social structure and health care capabilities.  </w:t>
      </w:r>
      <w:r w:rsidRPr="002A6F58">
        <w:rPr>
          <w:rFonts w:ascii="Calibri" w:eastAsia="Times New Roman" w:hAnsi="Calibri" w:cs="Calibri"/>
          <w:color w:val="4A4A4A"/>
          <w:sz w:val="21"/>
          <w:szCs w:val="21"/>
          <w:lang w:val="en-US" w:eastAsia="en-US"/>
        </w:rPr>
        <w:t> </w:t>
      </w:r>
    </w:p>
    <w:p w14:paraId="44A923E4"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The response variable in the model was the prevalence of Hepatitis surface antigen (HBsAg) with the explanatory variables being age (three categories, under 5, juvenile (5-15) and adult (16+), split using the average age of participants in the study), sex (proportion female in the study), study bias (e.g. a high fraction of study participants from indigenous populations), 3 dose vaccine coverage, birth dose of the vaccine and country of study. The coverage of routine 3 dose vaccination and birth dose vaccination in each study was calculated by cross referencing the year of and age of participants in each study with the corresponding WHO-UNICEF vaccine coverage estimates for that country. The WHO-UNICEF estimates are annual data for the country as a whole, and did not contain information on vaccine efficacy which was not used in the analysis as no data on this was obtained. The vaccine efficacy would be implicitly estimated in the analysis as we see vaccination having a variable effect across time and space across the studies. The coverage of routine 3 dose vaccination and birth dose vaccination in each study was calculated by cross referencing the year of and age of participants in each study with the corresponding WHO-UNICEF vaccine coverage estimates for that country. The coverage of routine 3 dose vaccination and birth dose vaccination in each study was calculated by cross referencing the year of and age of participants in each study with the corresponding WHO-UNICEF vaccine coverage estimates for that country. More explicitly, the model uses the ages and timing of the study to calculate the years across which the participants are born, so if the if there was an age group range of 10-15 in a study that was undertaken in 2015, the birth years would be from 2000-2005, we then average the vaccination coverage from the WHO-UNICEF estimates across those 5 years assuming that each age was evenly represented in that age group in the study. The same process was used for the 3 dose and birth dose vaccination. </w:t>
      </w:r>
      <w:r w:rsidRPr="002A6F58">
        <w:rPr>
          <w:rFonts w:ascii="Calibri" w:eastAsia="Times New Roman" w:hAnsi="Calibri" w:cs="Calibri"/>
          <w:color w:val="4A4A4A"/>
          <w:sz w:val="21"/>
          <w:szCs w:val="21"/>
          <w:lang w:val="en-US" w:eastAsia="en-US"/>
        </w:rPr>
        <w:t> </w:t>
      </w:r>
    </w:p>
    <w:p w14:paraId="27D2B886" w14:textId="77777777" w:rsidR="002A6F58" w:rsidRPr="009A29CB" w:rsidRDefault="002A6F58" w:rsidP="002A6F58">
      <w:pPr>
        <w:shd w:val="clear" w:color="auto" w:fill="FFFFFF"/>
        <w:spacing w:after="0" w:line="240" w:lineRule="auto"/>
        <w:ind w:left="135"/>
        <w:textAlignment w:val="baseline"/>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val="en-US" w:eastAsia="en-US"/>
        </w:rPr>
        <w:t> </w:t>
      </w:r>
    </w:p>
    <w:p w14:paraId="59FDA639"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t>The general logistic model equation is described below, </w:t>
      </w:r>
      <w:r w:rsidRPr="009A29CB">
        <w:rPr>
          <w:rFonts w:ascii="Calibri" w:eastAsia="Times New Roman" w:hAnsi="Calibri" w:cs="Calibri"/>
          <w:color w:val="4A4A4A"/>
          <w:sz w:val="21"/>
          <w:szCs w:val="21"/>
          <w:lang w:val="en-US" w:eastAsia="en-US"/>
        </w:rPr>
        <w:t> </w:t>
      </w:r>
    </w:p>
    <w:p w14:paraId="72DEC5BA" w14:textId="77777777" w:rsidR="002A6F58" w:rsidRPr="009A29CB" w:rsidRDefault="002A6F58" w:rsidP="002A6F58">
      <w:pPr>
        <w:shd w:val="clear" w:color="auto" w:fill="FFFFFF"/>
        <w:spacing w:after="0" w:line="240" w:lineRule="auto"/>
        <w:jc w:val="center"/>
        <w:rPr>
          <w:rFonts w:ascii="Segoe UI" w:eastAsia="Times New Roman" w:hAnsi="Segoe UI" w:cs="Segoe UI"/>
          <w:color w:val="4A4A4A"/>
          <w:sz w:val="21"/>
          <w:szCs w:val="21"/>
          <w:lang w:val="en-US" w:eastAsia="en-US"/>
        </w:rPr>
      </w:pPr>
      <w:r w:rsidRPr="009A29CB">
        <w:rPr>
          <w:rFonts w:ascii="MathJax_Math-italic" w:eastAsia="Times New Roman" w:hAnsi="MathJax_Math-italic" w:cs="Segoe UI"/>
          <w:color w:val="4A4A4A"/>
          <w:bdr w:val="none" w:sz="0" w:space="0" w:color="auto" w:frame="1"/>
          <w:lang w:val="en-US" w:eastAsia="en-US"/>
        </w:rPr>
        <w:t>Y</w:t>
      </w:r>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in" w:eastAsia="Times New Roman" w:hAnsi="MathJax_Main" w:cs="Segoe UI"/>
          <w:color w:val="4A4A4A"/>
          <w:bdr w:val="none" w:sz="0" w:space="0" w:color="auto" w:frame="1"/>
          <w:lang w:val="en-US" w:eastAsia="en-US"/>
        </w:rPr>
        <w:t> ~Binomial (</w:t>
      </w:r>
      <w:r w:rsidRPr="009A29CB">
        <w:rPr>
          <w:rFonts w:ascii="MathJax_Math-italic" w:eastAsia="Times New Roman" w:hAnsi="MathJax_Math-italic" w:cs="Segoe UI"/>
          <w:color w:val="4A4A4A"/>
          <w:bdr w:val="none" w:sz="0" w:space="0" w:color="auto" w:frame="1"/>
          <w:lang w:val="en-US" w:eastAsia="en-US"/>
        </w:rPr>
        <w:t>π</w:t>
      </w:r>
      <w:proofErr w:type="spellStart"/>
      <w:r w:rsidRPr="009A29CB">
        <w:rPr>
          <w:rFonts w:ascii="MathJax_Main" w:eastAsia="Times New Roman" w:hAnsi="MathJax_Main"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N</w:t>
      </w:r>
      <w:r w:rsidRPr="009A29CB">
        <w:rPr>
          <w:rFonts w:ascii="MathJax_Main" w:eastAsia="Times New Roman" w:hAnsi="MathJax_Main" w:cs="Segoe UI"/>
          <w:color w:val="4A4A4A"/>
          <w:sz w:val="15"/>
          <w:szCs w:val="15"/>
          <w:bdr w:val="none" w:sz="0" w:space="0" w:color="auto" w:frame="1"/>
          <w:lang w:val="en-US" w:eastAsia="en-US"/>
        </w:rPr>
        <w:t>i</w:t>
      </w:r>
      <w:proofErr w:type="gramStart"/>
      <w:r w:rsidRPr="009A29CB">
        <w:rPr>
          <w:rFonts w:ascii="MathJax_Main" w:eastAsia="Times New Roman" w:hAnsi="MathJax_Main" w:cs="Segoe UI"/>
          <w:color w:val="4A4A4A"/>
          <w:bdr w:val="none" w:sz="0" w:space="0" w:color="auto" w:frame="1"/>
          <w:lang w:val="en-US" w:eastAsia="en-US"/>
        </w:rPr>
        <w:t>),   </w:t>
      </w:r>
      <w:proofErr w:type="gramEnd"/>
      <w:r w:rsidRPr="009A29CB">
        <w:rPr>
          <w:rFonts w:ascii="MathJax_Main" w:eastAsia="Times New Roman" w:hAnsi="MathJax_Main" w:cs="Segoe UI"/>
          <w:color w:val="4A4A4A"/>
          <w:bdr w:val="none" w:sz="0" w:space="0" w:color="auto" w:frame="1"/>
          <w:lang w:val="en-US" w:eastAsia="en-US"/>
        </w:rPr>
        <w:t>log</w:t>
      </w:r>
      <w:r w:rsidRPr="009A29CB">
        <w:rPr>
          <w:rFonts w:ascii="MathJax_Math-italic" w:eastAsia="Times New Roman" w:hAnsi="MathJax_Math-italic" w:cs="Segoe UI"/>
          <w:color w:val="4A4A4A"/>
          <w:bdr w:val="none" w:sz="0" w:space="0" w:color="auto" w:frame="1"/>
          <w:lang w:val="en-US" w:eastAsia="en-US"/>
        </w:rPr>
        <w:t>π</w:t>
      </w:r>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in" w:eastAsia="Times New Roman" w:hAnsi="MathJax_Main" w:cs="Segoe UI"/>
          <w:color w:val="4A4A4A"/>
          <w:bdr w:val="none" w:sz="0" w:space="0" w:color="auto" w:frame="1"/>
          <w:lang w:val="en-US" w:eastAsia="en-US"/>
        </w:rPr>
        <w:t>1−</w:t>
      </w:r>
      <w:r w:rsidRPr="009A29CB">
        <w:rPr>
          <w:rFonts w:ascii="MathJax_Math-italic" w:eastAsia="Times New Roman" w:hAnsi="MathJax_Math-italic" w:cs="Segoe UI"/>
          <w:color w:val="4A4A4A"/>
          <w:bdr w:val="none" w:sz="0" w:space="0" w:color="auto" w:frame="1"/>
          <w:lang w:val="en-US" w:eastAsia="en-US"/>
        </w:rPr>
        <w:t>π</w:t>
      </w:r>
      <w:proofErr w:type="spellStart"/>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r w:rsidRPr="009A29CB">
        <w:rPr>
          <w:rFonts w:ascii="MathJax_Math-italic" w:eastAsia="Times New Roman" w:hAnsi="MathJax_Math-italic" w:cs="Segoe UI"/>
          <w:color w:val="4A4A4A"/>
          <w:bdr w:val="none" w:sz="0" w:space="0" w:color="auto" w:frame="1"/>
          <w:lang w:val="en-US" w:eastAsia="en-US"/>
        </w:rPr>
        <w:t>β</w:t>
      </w:r>
      <w:r w:rsidRPr="009A29CB">
        <w:rPr>
          <w:rFonts w:ascii="MathJax_Main" w:eastAsia="Times New Roman" w:hAnsi="MathJax_Main" w:cs="Segoe UI"/>
          <w:color w:val="4A4A4A"/>
          <w:sz w:val="15"/>
          <w:szCs w:val="15"/>
          <w:bdr w:val="none" w:sz="0" w:space="0" w:color="auto" w:frame="1"/>
          <w:lang w:val="en-US" w:eastAsia="en-US"/>
        </w:rPr>
        <w:t>0</w:t>
      </w:r>
      <w:r w:rsidRPr="009A29CB">
        <w:rPr>
          <w:rFonts w:ascii="MathJax_Main" w:eastAsia="Times New Roman" w:hAnsi="MathJax_Main" w:cs="Segoe UI"/>
          <w:color w:val="4A4A4A"/>
          <w:bdr w:val="none" w:sz="0" w:space="0" w:color="auto" w:frame="1"/>
          <w:lang w:val="en-US" w:eastAsia="en-US"/>
        </w:rPr>
        <w:t>+ </w:t>
      </w:r>
      <w:r w:rsidRPr="009A29CB">
        <w:rPr>
          <w:rFonts w:ascii="MathJax_Size2" w:eastAsia="Times New Roman" w:hAnsi="MathJax_Size2" w:cs="Segoe UI"/>
          <w:color w:val="4A4A4A"/>
          <w:bdr w:val="none" w:sz="0" w:space="0" w:color="auto" w:frame="1"/>
          <w:lang w:val="en-US" w:eastAsia="en-US"/>
        </w:rPr>
        <w:t>∑</w:t>
      </w:r>
      <w:r w:rsidRPr="009A29CB">
        <w:rPr>
          <w:rFonts w:ascii="MathJax_Math-italic" w:eastAsia="Times New Roman" w:hAnsi="MathJax_Math-italic" w:cs="Segoe UI"/>
          <w:color w:val="4A4A4A"/>
          <w:sz w:val="15"/>
          <w:szCs w:val="15"/>
          <w:bdr w:val="none" w:sz="0" w:space="0" w:color="auto" w:frame="1"/>
          <w:lang w:val="en-US" w:eastAsia="en-US"/>
        </w:rPr>
        <w:t>j</w:t>
      </w:r>
      <w:r w:rsidRPr="009A29CB">
        <w:rPr>
          <w:rFonts w:ascii="MathJax_Main" w:eastAsia="Times New Roman" w:hAnsi="MathJax_Main" w:cs="Segoe UI"/>
          <w:color w:val="4A4A4A"/>
          <w:sz w:val="15"/>
          <w:szCs w:val="15"/>
          <w:bdr w:val="none" w:sz="0" w:space="0" w:color="auto" w:frame="1"/>
          <w:lang w:val="en-US" w:eastAsia="en-US"/>
        </w:rPr>
        <w:t>=1</w:t>
      </w:r>
      <w:r w:rsidRPr="009A29CB">
        <w:rPr>
          <w:rFonts w:ascii="MathJax_Math-italic" w:eastAsia="Times New Roman" w:hAnsi="MathJax_Math-italic" w:cs="Segoe UI"/>
          <w:color w:val="4A4A4A"/>
          <w:sz w:val="15"/>
          <w:szCs w:val="15"/>
          <w:bdr w:val="none" w:sz="0" w:space="0" w:color="auto" w:frame="1"/>
          <w:lang w:val="en-US" w:eastAsia="en-US"/>
        </w:rPr>
        <w:t>p</w:t>
      </w:r>
      <w:r w:rsidRPr="009A29CB">
        <w:rPr>
          <w:rFonts w:ascii="MathJax_Math-italic" w:eastAsia="Times New Roman" w:hAnsi="MathJax_Math-italic" w:cs="Segoe UI"/>
          <w:color w:val="4A4A4A"/>
          <w:bdr w:val="none" w:sz="0" w:space="0" w:color="auto" w:frame="1"/>
          <w:lang w:val="en-US" w:eastAsia="en-US"/>
        </w:rPr>
        <w:t>β</w:t>
      </w:r>
      <w:proofErr w:type="spellStart"/>
      <w:r w:rsidRPr="009A29CB">
        <w:rPr>
          <w:rFonts w:ascii="MathJax_Math-italic" w:eastAsia="Times New Roman" w:hAnsi="MathJax_Math-italic" w:cs="Segoe UI"/>
          <w:color w:val="4A4A4A"/>
          <w:sz w:val="15"/>
          <w:szCs w:val="15"/>
          <w:bdr w:val="none" w:sz="0" w:space="0" w:color="auto" w:frame="1"/>
          <w:lang w:val="en-US" w:eastAsia="en-US"/>
        </w:rPr>
        <w:t>j</w:t>
      </w:r>
      <w:r w:rsidRPr="009A29CB">
        <w:rPr>
          <w:rFonts w:ascii="MathJax_Math-italic" w:eastAsia="Times New Roman" w:hAnsi="MathJax_Math-italic" w:cs="Segoe UI"/>
          <w:color w:val="4A4A4A"/>
          <w:bdr w:val="none" w:sz="0" w:space="0" w:color="auto" w:frame="1"/>
          <w:lang w:val="en-US" w:eastAsia="en-US"/>
        </w:rPr>
        <w:t>x</w:t>
      </w:r>
      <w:r w:rsidRPr="009A29CB">
        <w:rPr>
          <w:rFonts w:ascii="MathJax_Math-italic" w:eastAsia="Times New Roman" w:hAnsi="MathJax_Math-italic" w:cs="Segoe UI"/>
          <w:color w:val="4A4A4A"/>
          <w:sz w:val="15"/>
          <w:szCs w:val="15"/>
          <w:bdr w:val="none" w:sz="0" w:space="0" w:color="auto" w:frame="1"/>
          <w:lang w:val="en-US" w:eastAsia="en-US"/>
        </w:rPr>
        <w:t>ij</w:t>
      </w:r>
      <w:r w:rsidRPr="009A29CB">
        <w:rPr>
          <w:rFonts w:ascii="MathJax_Main" w:eastAsia="Times New Roman" w:hAnsi="MathJax_Main" w:cs="Segoe UI"/>
          <w:color w:val="4A4A4A"/>
          <w:bdr w:val="none" w:sz="0" w:space="0" w:color="auto" w:frame="1"/>
          <w:lang w:val="en-US" w:eastAsia="en-US"/>
        </w:rPr>
        <w:t>+</w:t>
      </w:r>
      <w:r w:rsidRPr="009A29CB">
        <w:rPr>
          <w:rFonts w:ascii="MathJax_Math-italic" w:eastAsia="Times New Roman" w:hAnsi="MathJax_Math-italic" w:cs="Segoe UI"/>
          <w:color w:val="4A4A4A"/>
          <w:bdr w:val="none" w:sz="0" w:space="0" w:color="auto" w:frame="1"/>
          <w:lang w:val="en-US" w:eastAsia="en-US"/>
        </w:rPr>
        <w:t>u</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p>
    <w:p w14:paraId="6754556C" w14:textId="77777777" w:rsidR="002A6F58" w:rsidRPr="009A29CB" w:rsidRDefault="002A6F58" w:rsidP="002A6F58">
      <w:pPr>
        <w:shd w:val="clear" w:color="auto" w:fill="FFFFFF"/>
        <w:spacing w:after="0" w:line="240" w:lineRule="auto"/>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val="en-US" w:eastAsia="en-US"/>
        </w:rPr>
        <w:t> </w:t>
      </w:r>
    </w:p>
    <w:p w14:paraId="295DFCF5"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lastRenderedPageBreak/>
        <w:t>Where βj are the fixed effects of the explanatory variables xii. With the spatial random effects described by</w:t>
      </w:r>
      <w:r w:rsidRPr="009A29CB">
        <w:rPr>
          <w:rFonts w:ascii="Calibri" w:eastAsia="Times New Roman" w:hAnsi="Calibri" w:cs="Calibri"/>
          <w:color w:val="4A4A4A"/>
          <w:sz w:val="21"/>
          <w:szCs w:val="21"/>
          <w:lang w:val="en-US" w:eastAsia="en-US"/>
        </w:rPr>
        <w:t> </w:t>
      </w:r>
    </w:p>
    <w:p w14:paraId="15BE0BFD" w14:textId="77777777" w:rsidR="002A6F58" w:rsidRPr="009A29CB" w:rsidRDefault="002A6F58" w:rsidP="002A6F58">
      <w:pPr>
        <w:shd w:val="clear" w:color="auto" w:fill="FFFFFF"/>
        <w:spacing w:after="0" w:line="240" w:lineRule="auto"/>
        <w:jc w:val="center"/>
        <w:rPr>
          <w:rFonts w:ascii="Segoe UI" w:eastAsia="Times New Roman" w:hAnsi="Segoe UI" w:cs="Segoe UI"/>
          <w:color w:val="4A4A4A"/>
          <w:sz w:val="21"/>
          <w:szCs w:val="21"/>
          <w:lang w:val="en-US" w:eastAsia="en-US"/>
        </w:rPr>
      </w:pPr>
      <w:proofErr w:type="spellStart"/>
      <w:r w:rsidRPr="009A29CB">
        <w:rPr>
          <w:rFonts w:ascii="MathJax_Math-italic" w:eastAsia="Times New Roman" w:hAnsi="MathJax_Math-italic" w:cs="Segoe UI"/>
          <w:color w:val="4A4A4A"/>
          <w:bdr w:val="none" w:sz="0" w:space="0" w:color="auto" w:frame="1"/>
          <w:lang w:val="en-US" w:eastAsia="en-US"/>
        </w:rPr>
        <w:t>u</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r w:rsidRPr="009A29CB">
        <w:rPr>
          <w:rFonts w:ascii="MathJax_Math-italic" w:eastAsia="Times New Roman" w:hAnsi="MathJax_Math-italic" w:cs="Segoe UI"/>
          <w:color w:val="4A4A4A"/>
          <w:bdr w:val="none" w:sz="0" w:space="0" w:color="auto" w:frame="1"/>
          <w:lang w:val="en-US" w:eastAsia="en-US"/>
        </w:rPr>
        <w:t>N</w:t>
      </w:r>
      <w:r w:rsidRPr="009A29CB">
        <w:rPr>
          <w:rFonts w:ascii="MathJax_Size1" w:eastAsia="Times New Roman" w:hAnsi="MathJax_Size1" w:cs="Segoe UI"/>
          <w:color w:val="4A4A4A"/>
          <w:bdr w:val="none" w:sz="0" w:space="0" w:color="auto" w:frame="1"/>
          <w:lang w:val="en-US" w:eastAsia="en-US"/>
        </w:rPr>
        <w:t>(</w:t>
      </w:r>
      <w:r w:rsidRPr="009A29CB">
        <w:rPr>
          <w:rFonts w:ascii="MathJax_Math-italic" w:eastAsia="Times New Roman" w:hAnsi="MathJax_Math-italic" w:cs="Segoe UI"/>
          <w:color w:val="4A4A4A"/>
          <w:bdr w:val="none" w:sz="0" w:space="0" w:color="auto" w:frame="1"/>
          <w:lang w:val="en-US" w:eastAsia="en-US"/>
        </w:rPr>
        <w:t>u</w:t>
      </w:r>
      <w:r w:rsidRPr="009A29CB">
        <w:rPr>
          <w:rFonts w:ascii="MathJax_Main" w:eastAsia="Times New Roman" w:hAnsi="MathJax_Main" w:cs="Segoe UI"/>
          <w:color w:val="4A4A4A"/>
          <w:bdr w:val="none" w:sz="0" w:space="0" w:color="auto" w:frame="1"/>
          <w:lang w:val="en-US" w:eastAsia="en-US"/>
        </w:rPr>
        <w:t>−</w:t>
      </w:r>
      <w:proofErr w:type="gramStart"/>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in" w:eastAsia="Times New Roman" w:hAnsi="MathJax_Main" w:cs="Segoe UI"/>
          <w:color w:val="4A4A4A"/>
          <w:bdr w:val="none" w:sz="0" w:space="0" w:color="auto" w:frame="1"/>
          <w:lang w:val="en-US" w:eastAsia="en-US"/>
        </w:rPr>
        <w:t>,</w:t>
      </w:r>
      <w:r w:rsidRPr="009A29CB">
        <w:rPr>
          <w:rFonts w:ascii="MathJax_Math-italic" w:eastAsia="Times New Roman" w:hAnsi="MathJax_Math-italic" w:cs="Segoe UI"/>
          <w:color w:val="4A4A4A"/>
          <w:bdr w:val="none" w:sz="0" w:space="0" w:color="auto" w:frame="1"/>
          <w:lang w:val="en-US" w:eastAsia="en-US"/>
        </w:rPr>
        <w:t>σ</w:t>
      </w:r>
      <w:proofErr w:type="gramEnd"/>
      <w:r w:rsidRPr="009A29CB">
        <w:rPr>
          <w:rFonts w:ascii="MathJax_Main" w:eastAsia="Times New Roman" w:hAnsi="MathJax_Main" w:cs="Segoe UI"/>
          <w:color w:val="4A4A4A"/>
          <w:sz w:val="15"/>
          <w:szCs w:val="15"/>
          <w:bdr w:val="none" w:sz="0" w:space="0" w:color="auto" w:frame="1"/>
          <w:lang w:val="en-US" w:eastAsia="en-US"/>
        </w:rPr>
        <w:t>2</w:t>
      </w:r>
      <w:r w:rsidRPr="009A29CB">
        <w:rPr>
          <w:rFonts w:ascii="MathJax_Math-italic" w:eastAsia="Times New Roman" w:hAnsi="MathJax_Math-italic" w:cs="Segoe UI"/>
          <w:color w:val="4A4A4A"/>
          <w:sz w:val="15"/>
          <w:szCs w:val="15"/>
          <w:bdr w:val="none" w:sz="0" w:space="0" w:color="auto" w:frame="1"/>
          <w:lang w:val="en-US" w:eastAsia="en-US"/>
        </w:rPr>
        <w:t>u</w:t>
      </w:r>
      <w:r w:rsidRPr="009A29CB">
        <w:rPr>
          <w:rFonts w:ascii="MathJax_Main" w:eastAsia="Times New Roman" w:hAnsi="MathJax_Main" w:cs="Segoe UI"/>
          <w:color w:val="4A4A4A"/>
          <w:bdr w:val="none" w:sz="0" w:space="0" w:color="auto" w:frame="1"/>
          <w:lang w:val="en-US" w:eastAsia="en-US"/>
        </w:rPr>
        <w:t>/</w:t>
      </w:r>
      <w:proofErr w:type="spellStart"/>
      <w:r w:rsidRPr="009A29CB">
        <w:rPr>
          <w:rFonts w:ascii="MathJax_Math-italic" w:eastAsia="Times New Roman" w:hAnsi="MathJax_Math-italic" w:cs="Segoe UI"/>
          <w:color w:val="4A4A4A"/>
          <w:bdr w:val="none" w:sz="0" w:space="0" w:color="auto" w:frame="1"/>
          <w:lang w:val="en-US" w:eastAsia="en-US"/>
        </w:rPr>
        <w:t>n</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Size1" w:eastAsia="Times New Roman" w:hAnsi="MathJax_Size1" w:cs="Segoe UI"/>
          <w:color w:val="4A4A4A"/>
          <w:bdr w:val="none" w:sz="0" w:space="0" w:color="auto" w:frame="1"/>
          <w:lang w:val="en-US" w:eastAsia="en-US"/>
        </w:rPr>
        <w:t>)</w:t>
      </w:r>
    </w:p>
    <w:p w14:paraId="36DE993D" w14:textId="77777777" w:rsidR="002A6F58" w:rsidRPr="009A29CB" w:rsidRDefault="002A6F58" w:rsidP="002A6F58">
      <w:pPr>
        <w:shd w:val="clear" w:color="auto" w:fill="FFFFFF"/>
        <w:spacing w:after="0" w:line="240" w:lineRule="auto"/>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eastAsia="en-US"/>
        </w:rPr>
        <w:t> ,</w:t>
      </w:r>
      <w:r w:rsidRPr="009A29CB">
        <w:rPr>
          <w:rFonts w:ascii="Times New Roman" w:eastAsia="Times New Roman" w:hAnsi="Times New Roman" w:cs="Times New Roman"/>
          <w:color w:val="4A4A4A"/>
          <w:sz w:val="21"/>
          <w:szCs w:val="21"/>
          <w:lang w:val="en-US" w:eastAsia="en-US"/>
        </w:rPr>
        <w:t> </w:t>
      </w:r>
    </w:p>
    <w:p w14:paraId="14A99912"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t>where,</w:t>
      </w:r>
      <w:r w:rsidRPr="009A29CB">
        <w:rPr>
          <w:rFonts w:ascii="Calibri" w:eastAsia="Times New Roman" w:hAnsi="Calibri" w:cs="Calibri"/>
          <w:color w:val="4A4A4A"/>
          <w:sz w:val="21"/>
          <w:szCs w:val="21"/>
          <w:lang w:val="en-US" w:eastAsia="en-US"/>
        </w:rPr>
        <w:t> </w:t>
      </w:r>
    </w:p>
    <w:p w14:paraId="49620E32" w14:textId="639BAA71" w:rsidR="002A6F58" w:rsidRDefault="002A6F58" w:rsidP="002A6F58">
      <w:pPr>
        <w:shd w:val="clear" w:color="auto" w:fill="FFFFFF"/>
        <w:spacing w:after="0" w:line="240" w:lineRule="auto"/>
        <w:jc w:val="center"/>
        <w:rPr>
          <w:rFonts w:ascii="MathJax_Math-italic" w:eastAsia="Times New Roman" w:hAnsi="MathJax_Math-italic" w:cs="Segoe UI"/>
          <w:color w:val="4A4A4A"/>
          <w:sz w:val="15"/>
          <w:szCs w:val="15"/>
          <w:bdr w:val="none" w:sz="0" w:space="0" w:color="auto" w:frame="1"/>
          <w:lang w:val="en-US" w:eastAsia="en-US"/>
        </w:rPr>
      </w:pPr>
      <w:r w:rsidRPr="009A29CB">
        <w:rPr>
          <w:rFonts w:ascii="MathJax_Math-italic" w:eastAsia="Times New Roman" w:hAnsi="MathJax_Math-italic" w:cs="Segoe UI"/>
          <w:color w:val="4A4A4A"/>
          <w:bdr w:val="none" w:sz="0" w:space="0" w:color="auto" w:frame="1"/>
          <w:lang w:val="en-US" w:eastAsia="en-US"/>
        </w:rPr>
        <w:t>u</w:t>
      </w:r>
      <w:r w:rsidRPr="009A29CB">
        <w:rPr>
          <w:rFonts w:ascii="MathJax_Main" w:eastAsia="Times New Roman" w:hAnsi="MathJax_Main" w:cs="Segoe UI"/>
          <w:color w:val="4A4A4A"/>
          <w:bdr w:val="none" w:sz="0" w:space="0" w:color="auto" w:frame="1"/>
          <w:lang w:val="en-US" w:eastAsia="en-US"/>
        </w:rPr>
        <w:t>−</w:t>
      </w:r>
      <w:proofErr w:type="spellStart"/>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r w:rsidRPr="009A29CB">
        <w:rPr>
          <w:rFonts w:ascii="MathJax_Size2" w:eastAsia="Times New Roman" w:hAnsi="MathJax_Size2" w:cs="Segoe UI"/>
          <w:color w:val="4A4A4A"/>
          <w:bdr w:val="none" w:sz="0" w:space="0" w:color="auto" w:frame="1"/>
          <w:lang w:val="en-US" w:eastAsia="en-US"/>
        </w:rPr>
        <w:t>∑</w:t>
      </w:r>
      <w:r w:rsidRPr="009A29CB">
        <w:rPr>
          <w:rFonts w:ascii="MathJax_Math-italic" w:eastAsia="Times New Roman" w:hAnsi="MathJax_Math-italic" w:cs="Segoe UI"/>
          <w:color w:val="4A4A4A"/>
          <w:sz w:val="15"/>
          <w:szCs w:val="15"/>
          <w:bdr w:val="none" w:sz="0" w:space="0" w:color="auto" w:frame="1"/>
          <w:lang w:val="en-US" w:eastAsia="en-US"/>
        </w:rPr>
        <w:t>j</w:t>
      </w:r>
      <w:r w:rsidRPr="009A29CB">
        <w:rPr>
          <w:rFonts w:ascii="MathJax_Main" w:eastAsia="Times New Roman" w:hAnsi="MathJax_Main" w:cs="Segoe UI"/>
          <w:color w:val="4A4A4A"/>
          <w:sz w:val="15"/>
          <w:szCs w:val="15"/>
          <w:bdr w:val="none" w:sz="0" w:space="0" w:color="auto" w:frame="1"/>
          <w:lang w:val="en-US" w:eastAsia="en-US"/>
        </w:rPr>
        <w:t> ∈ </w:t>
      </w:r>
      <w:r w:rsidRPr="009A29CB">
        <w:rPr>
          <w:rFonts w:ascii="MathJax_Math-italic" w:eastAsia="Times New Roman" w:hAnsi="MathJax_Math-italic" w:cs="Segoe UI"/>
          <w:color w:val="4A4A4A"/>
          <w:sz w:val="15"/>
          <w:szCs w:val="15"/>
          <w:bdr w:val="none" w:sz="0" w:space="0" w:color="auto" w:frame="1"/>
          <w:lang w:val="en-US" w:eastAsia="en-US"/>
        </w:rPr>
        <w:t>neigh</w:t>
      </w:r>
      <w:r w:rsidRPr="009A29CB">
        <w:rPr>
          <w:rFonts w:ascii="MathJax_Main" w:eastAsia="Times New Roman" w:hAnsi="MathJax_Main" w:cs="Segoe UI"/>
          <w:color w:val="4A4A4A"/>
          <w:sz w:val="15"/>
          <w:szCs w:val="15"/>
          <w:bdr w:val="none" w:sz="0" w:space="0" w:color="auto" w:frame="1"/>
          <w:lang w:val="en-US" w:eastAsia="en-US"/>
        </w:rPr>
        <w:t>(</w:t>
      </w:r>
      <w:proofErr w:type="spellStart"/>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sz w:val="15"/>
          <w:szCs w:val="15"/>
          <w:bdr w:val="none" w:sz="0" w:space="0" w:color="auto" w:frame="1"/>
          <w:lang w:val="en-US" w:eastAsia="en-US"/>
        </w:rPr>
        <w:t>)</w:t>
      </w:r>
      <w:proofErr w:type="spellStart"/>
      <w:r w:rsidRPr="009A29CB">
        <w:rPr>
          <w:rFonts w:ascii="MathJax_Math-italic" w:eastAsia="Times New Roman" w:hAnsi="MathJax_Math-italic" w:cs="Segoe UI"/>
          <w:color w:val="4A4A4A"/>
          <w:bdr w:val="none" w:sz="0" w:space="0" w:color="auto" w:frame="1"/>
          <w:lang w:val="en-US" w:eastAsia="en-US"/>
        </w:rPr>
        <w:t>w</w:t>
      </w:r>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th-italic" w:eastAsia="Times New Roman" w:hAnsi="MathJax_Math-italic" w:cs="Segoe UI"/>
          <w:color w:val="4A4A4A"/>
          <w:bdr w:val="none" w:sz="0" w:space="0" w:color="auto" w:frame="1"/>
          <w:lang w:val="en-US" w:eastAsia="en-US"/>
        </w:rPr>
        <w:t>u</w:t>
      </w:r>
      <w:r w:rsidRPr="009A29CB">
        <w:rPr>
          <w:rFonts w:ascii="MathJax_Math-italic" w:eastAsia="Times New Roman" w:hAnsi="MathJax_Math-italic" w:cs="Segoe UI"/>
          <w:color w:val="4A4A4A"/>
          <w:sz w:val="15"/>
          <w:szCs w:val="15"/>
          <w:bdr w:val="none" w:sz="0" w:space="0" w:color="auto" w:frame="1"/>
          <w:lang w:val="en-US" w:eastAsia="en-US"/>
        </w:rPr>
        <w:t>j</w:t>
      </w:r>
      <w:proofErr w:type="spellEnd"/>
      <w:r w:rsidRPr="009A29CB">
        <w:rPr>
          <w:rFonts w:ascii="MathJax_Main" w:eastAsia="Times New Roman" w:hAnsi="MathJax_Main" w:cs="Segoe UI"/>
          <w:color w:val="4A4A4A"/>
          <w:bdr w:val="none" w:sz="0" w:space="0" w:color="auto" w:frame="1"/>
          <w:lang w:val="en-US" w:eastAsia="en-US"/>
        </w:rPr>
        <w:t>/</w:t>
      </w:r>
      <w:proofErr w:type="spellStart"/>
      <w:r w:rsidRPr="009A29CB">
        <w:rPr>
          <w:rFonts w:ascii="MathJax_Math-italic" w:eastAsia="Times New Roman" w:hAnsi="MathJax_Math-italic" w:cs="Segoe UI"/>
          <w:color w:val="4A4A4A"/>
          <w:bdr w:val="none" w:sz="0" w:space="0" w:color="auto" w:frame="1"/>
          <w:lang w:val="en-US" w:eastAsia="en-US"/>
        </w:rPr>
        <w:t>n</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p>
    <w:p w14:paraId="65E69B72" w14:textId="77777777" w:rsidR="0050542C" w:rsidRPr="009A29CB" w:rsidRDefault="0050542C" w:rsidP="002A6F58">
      <w:pPr>
        <w:shd w:val="clear" w:color="auto" w:fill="FFFFFF"/>
        <w:spacing w:after="0" w:line="240" w:lineRule="auto"/>
        <w:jc w:val="center"/>
        <w:rPr>
          <w:rFonts w:ascii="Segoe UI" w:eastAsia="Times New Roman" w:hAnsi="Segoe UI" w:cs="Segoe UI"/>
          <w:color w:val="4A4A4A"/>
          <w:sz w:val="21"/>
          <w:szCs w:val="21"/>
          <w:lang w:val="en-US" w:eastAsia="en-US"/>
        </w:rPr>
      </w:pPr>
    </w:p>
    <w:p w14:paraId="51C77904" w14:textId="77777777" w:rsidR="002A6F58" w:rsidRPr="009A29CB" w:rsidRDefault="002A6F58" w:rsidP="002A6F58">
      <w:pPr>
        <w:shd w:val="clear" w:color="auto" w:fill="FFFFFF"/>
        <w:spacing w:after="0" w:line="240" w:lineRule="auto"/>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t xml:space="preserve">Where </w:t>
      </w:r>
      <w:proofErr w:type="spellStart"/>
      <w:r w:rsidRPr="009A29CB">
        <w:rPr>
          <w:rFonts w:ascii="Calibri" w:eastAsia="Times New Roman" w:hAnsi="Calibri" w:cs="Calibri"/>
          <w:color w:val="4A4A4A"/>
          <w:sz w:val="21"/>
          <w:szCs w:val="21"/>
          <w:lang w:eastAsia="en-US"/>
        </w:rPr>
        <w:t>ni</w:t>
      </w:r>
      <w:proofErr w:type="spellEnd"/>
      <w:r w:rsidRPr="009A29CB">
        <w:rPr>
          <w:rFonts w:ascii="Calibri" w:eastAsia="Times New Roman" w:hAnsi="Calibri" w:cs="Calibri"/>
          <w:color w:val="4A4A4A"/>
          <w:sz w:val="21"/>
          <w:szCs w:val="21"/>
          <w:lang w:eastAsia="en-US"/>
        </w:rPr>
        <w:t xml:space="preserve"> is the number of neighbours for country </w:t>
      </w:r>
      <w:proofErr w:type="spellStart"/>
      <w:r w:rsidRPr="009A29CB">
        <w:rPr>
          <w:rFonts w:ascii="Calibri" w:eastAsia="Times New Roman" w:hAnsi="Calibri" w:cs="Calibri"/>
          <w:color w:val="4A4A4A"/>
          <w:sz w:val="21"/>
          <w:szCs w:val="21"/>
          <w:lang w:eastAsia="en-US"/>
        </w:rPr>
        <w:t>i</w:t>
      </w:r>
      <w:proofErr w:type="spellEnd"/>
      <w:r w:rsidRPr="009A29CB">
        <w:rPr>
          <w:rFonts w:ascii="Calibri" w:eastAsia="Times New Roman" w:hAnsi="Calibri" w:cs="Calibri"/>
          <w:color w:val="4A4A4A"/>
          <w:sz w:val="21"/>
          <w:szCs w:val="21"/>
          <w:lang w:eastAsia="en-US"/>
        </w:rPr>
        <w:t xml:space="preserve"> and weights </w:t>
      </w:r>
      <w:proofErr w:type="spellStart"/>
      <w:r w:rsidRPr="009A29CB">
        <w:rPr>
          <w:rFonts w:ascii="Calibri" w:eastAsia="Times New Roman" w:hAnsi="Calibri" w:cs="Calibri"/>
          <w:color w:val="4A4A4A"/>
          <w:sz w:val="21"/>
          <w:szCs w:val="21"/>
          <w:lang w:eastAsia="en-US"/>
        </w:rPr>
        <w:t>wi</w:t>
      </w:r>
      <w:proofErr w:type="spellEnd"/>
      <w:r w:rsidRPr="009A29CB">
        <w:rPr>
          <w:rFonts w:ascii="Calibri" w:eastAsia="Times New Roman" w:hAnsi="Calibri" w:cs="Calibri"/>
          <w:color w:val="4A4A4A"/>
          <w:sz w:val="21"/>
          <w:szCs w:val="21"/>
          <w:lang w:eastAsia="en-US"/>
        </w:rPr>
        <w:t>, are 1. </w:t>
      </w:r>
      <w:r w:rsidRPr="009A29CB">
        <w:rPr>
          <w:rFonts w:ascii="Calibri" w:eastAsia="Times New Roman" w:hAnsi="Calibri" w:cs="Calibri"/>
          <w:color w:val="4A4A4A"/>
          <w:sz w:val="21"/>
          <w:szCs w:val="21"/>
          <w:lang w:val="en-US" w:eastAsia="en-US"/>
        </w:rPr>
        <w:t> </w:t>
      </w:r>
    </w:p>
    <w:p w14:paraId="6C7A7B06"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val="en-US" w:eastAsia="en-US"/>
        </w:rPr>
        <w:t> </w:t>
      </w:r>
    </w:p>
    <w:p w14:paraId="31CE7696" w14:textId="4CB1360A"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9A29CB">
        <w:rPr>
          <w:rFonts w:ascii="Calibri" w:eastAsia="Times New Roman" w:hAnsi="Calibri" w:cs="Calibri"/>
          <w:color w:val="4A4A4A"/>
          <w:sz w:val="21"/>
          <w:szCs w:val="21"/>
          <w:lang w:eastAsia="en-US"/>
        </w:rPr>
        <w:t>The model was simulated in the Bayesian statistical package </w:t>
      </w:r>
      <w:proofErr w:type="spellStart"/>
      <w:r w:rsidRPr="009A29CB">
        <w:rPr>
          <w:rFonts w:ascii="Calibri" w:eastAsia="Times New Roman" w:hAnsi="Calibri" w:cs="Calibri"/>
          <w:color w:val="4A4A4A"/>
          <w:sz w:val="21"/>
          <w:szCs w:val="21"/>
          <w:lang w:eastAsia="en-US"/>
        </w:rPr>
        <w:t>WinBUGS</w:t>
      </w:r>
      <w:proofErr w:type="spellEnd"/>
      <w:r w:rsidRPr="009A29CB">
        <w:rPr>
          <w:rFonts w:ascii="Calibri" w:eastAsia="Times New Roman" w:hAnsi="Calibri" w:cs="Calibri"/>
          <w:color w:val="4A4A4A"/>
          <w:sz w:val="21"/>
          <w:szCs w:val="21"/>
          <w:lang w:eastAsia="en-US"/>
        </w:rPr>
        <w:t>, and data manipulation and model initialisation run from R (3.3.1) using R2WinBUGS. The model considers the parameters of age, sex, study bias (e.g. a high fraction of study participants from indigenous populations), vaccine coverage</w:t>
      </w:r>
      <w:r w:rsidRPr="002A6F58">
        <w:rPr>
          <w:rFonts w:ascii="Calibri" w:eastAsia="Times New Roman" w:hAnsi="Calibri" w:cs="Calibri"/>
          <w:color w:val="4A4A4A"/>
          <w:sz w:val="21"/>
          <w:szCs w:val="21"/>
          <w:lang w:eastAsia="en-US"/>
        </w:rPr>
        <w:t>, birth dose of the vaccine and country of study. </w:t>
      </w:r>
      <w:r w:rsidRPr="002A6F58">
        <w:rPr>
          <w:rFonts w:ascii="Calibri" w:eastAsia="Times New Roman" w:hAnsi="Calibri" w:cs="Calibri"/>
          <w:color w:val="4A4A4A"/>
          <w:sz w:val="21"/>
          <w:szCs w:val="21"/>
          <w:lang w:val="en-US" w:eastAsia="en-US"/>
        </w:rPr>
        <w:t> </w:t>
      </w:r>
    </w:p>
    <w:p w14:paraId="4572F260"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58A8376D" w14:textId="1FF43293"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A6F58">
        <w:rPr>
          <w:rFonts w:ascii="Calibri" w:eastAsia="Times New Roman" w:hAnsi="Calibri" w:cs="Calibri"/>
          <w:color w:val="4A4A4A"/>
          <w:sz w:val="21"/>
          <w:szCs w:val="21"/>
          <w:lang w:eastAsia="en-US"/>
        </w:rPr>
        <w:t>The model uses the CAR-normal function, in </w:t>
      </w:r>
      <w:proofErr w:type="spellStart"/>
      <w:r w:rsidRPr="002A6F58">
        <w:rPr>
          <w:rFonts w:ascii="Calibri" w:eastAsia="Times New Roman" w:hAnsi="Calibri" w:cs="Calibri"/>
          <w:color w:val="4A4A4A"/>
          <w:sz w:val="21"/>
          <w:szCs w:val="21"/>
          <w:lang w:eastAsia="en-US"/>
        </w:rPr>
        <w:t>WinBUGS</w:t>
      </w:r>
      <w:proofErr w:type="spellEnd"/>
      <w:r w:rsidRPr="002A6F58">
        <w:rPr>
          <w:rFonts w:ascii="Calibri" w:eastAsia="Times New Roman" w:hAnsi="Calibri" w:cs="Calibri"/>
          <w:color w:val="4A4A4A"/>
          <w:sz w:val="21"/>
          <w:szCs w:val="21"/>
          <w:lang w:eastAsia="en-US"/>
        </w:rPr>
        <w:t>, to model the spatial and economic autocorrelation related to neighbouring countries. For each country that had prevalence data, a weighted central position was calculated using the size and location of each study. For those countries with no data, we used the population centroid. In a novel approach, we considered 3 dimensions in the country adjacency matrix; we used the usual geographic dimensions, latitude and longitude </w:t>
      </w:r>
      <w:proofErr w:type="gramStart"/>
      <w:r w:rsidRPr="002A6F58">
        <w:rPr>
          <w:rFonts w:ascii="Calibri" w:eastAsia="Times New Roman" w:hAnsi="Calibri" w:cs="Calibri"/>
          <w:color w:val="4A4A4A"/>
          <w:sz w:val="21"/>
          <w:szCs w:val="21"/>
          <w:lang w:eastAsia="en-US"/>
        </w:rPr>
        <w:t>and also</w:t>
      </w:r>
      <w:proofErr w:type="gramEnd"/>
      <w:r w:rsidRPr="002A6F58">
        <w:rPr>
          <w:rFonts w:ascii="Calibri" w:eastAsia="Times New Roman" w:hAnsi="Calibri" w:cs="Calibri"/>
          <w:color w:val="4A4A4A"/>
          <w:sz w:val="21"/>
          <w:szCs w:val="21"/>
          <w:lang w:eastAsia="en-US"/>
        </w:rPr>
        <w:t> combined these with the natural log of the country’s GDP per capita. This was to measure not only geographic but also the developmental proximity of countries. The adjacency matrix for the geo-economic distance gives a score between each country to every other country. Those countries which are close geographically and economically would have a low score and those further apart either geographically or economically would have a high score/distance. Therefore, those countries that are more alike will have a low score and those countries which are alike would have a high score. </w:t>
      </w:r>
      <w:r w:rsidRPr="002A6F58">
        <w:rPr>
          <w:rFonts w:ascii="Calibri" w:eastAsia="Times New Roman" w:hAnsi="Calibri" w:cs="Calibri"/>
          <w:color w:val="4A4A4A"/>
          <w:sz w:val="21"/>
          <w:szCs w:val="21"/>
          <w:lang w:val="en-US" w:eastAsia="en-US"/>
        </w:rPr>
        <w:t> </w:t>
      </w:r>
    </w:p>
    <w:p w14:paraId="7644E925"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48632FC2" w14:textId="1A3A8F0D" w:rsidR="002A6F58" w:rsidRDefault="002A6F58" w:rsidP="002A6F58">
      <w:pPr>
        <w:shd w:val="clear" w:color="auto" w:fill="FFFFFF"/>
        <w:spacing w:after="0" w:line="240" w:lineRule="auto"/>
        <w:textAlignment w:val="baseline"/>
        <w:rPr>
          <w:rFonts w:ascii="Times New Roman" w:eastAsia="Times New Roman" w:hAnsi="Times New Roman" w:cs="Times New Roman"/>
          <w:color w:val="4A4A4A"/>
          <w:sz w:val="21"/>
          <w:szCs w:val="21"/>
          <w:lang w:val="en-US" w:eastAsia="en-US"/>
        </w:rPr>
      </w:pPr>
      <w:r w:rsidRPr="002A6F58">
        <w:rPr>
          <w:rFonts w:ascii="Calibri" w:eastAsia="Times New Roman" w:hAnsi="Calibri" w:cs="Calibri"/>
          <w:color w:val="4A4A4A"/>
          <w:sz w:val="21"/>
          <w:szCs w:val="21"/>
          <w:lang w:eastAsia="en-US"/>
        </w:rPr>
        <w:t>The way we proportioned the geographic and economic distance to produce the adjacency matrix was then explored, this is because geographic distance may </w:t>
      </w:r>
      <w:proofErr w:type="gramStart"/>
      <w:r w:rsidRPr="002A6F58">
        <w:rPr>
          <w:rFonts w:ascii="Calibri" w:eastAsia="Times New Roman" w:hAnsi="Calibri" w:cs="Calibri"/>
          <w:color w:val="4A4A4A"/>
          <w:sz w:val="21"/>
          <w:szCs w:val="21"/>
          <w:lang w:eastAsia="en-US"/>
        </w:rPr>
        <w:t>be more or less</w:t>
      </w:r>
      <w:proofErr w:type="gramEnd"/>
      <w:r w:rsidRPr="002A6F58">
        <w:rPr>
          <w:rFonts w:ascii="Calibri" w:eastAsia="Times New Roman" w:hAnsi="Calibri" w:cs="Calibri"/>
          <w:color w:val="4A4A4A"/>
          <w:sz w:val="21"/>
          <w:szCs w:val="21"/>
          <w:lang w:eastAsia="en-US"/>
        </w:rPr>
        <w:t> important than economic similarities. Thus, by creating </w:t>
      </w:r>
      <w:proofErr w:type="gramStart"/>
      <w:r w:rsidRPr="002A6F58">
        <w:rPr>
          <w:rFonts w:ascii="Calibri" w:eastAsia="Times New Roman" w:hAnsi="Calibri" w:cs="Calibri"/>
          <w:color w:val="4A4A4A"/>
          <w:sz w:val="21"/>
          <w:szCs w:val="21"/>
          <w:lang w:eastAsia="en-US"/>
        </w:rPr>
        <w:t>a number of</w:t>
      </w:r>
      <w:proofErr w:type="gramEnd"/>
      <w:r w:rsidRPr="002A6F58">
        <w:rPr>
          <w:rFonts w:ascii="Calibri" w:eastAsia="Times New Roman" w:hAnsi="Calibri" w:cs="Calibri"/>
          <w:color w:val="4A4A4A"/>
          <w:sz w:val="21"/>
          <w:szCs w:val="21"/>
          <w:lang w:eastAsia="en-US"/>
        </w:rPr>
        <w:t> different adjacency matrices (not definitive) we could select the most suitable matrix that explains reality best. We normalised the geographic and GDP distance and then calculated the distance between these two normalised figures. This creates a smoothed Gaussian surface that is dependent on both spatial proximity and GDP per-capita proximity. We compared ratios of, 1:0, 1:1, 2:1, 1:2 (</w:t>
      </w:r>
      <w:proofErr w:type="spellStart"/>
      <w:proofErr w:type="gramStart"/>
      <w:r w:rsidRPr="002A6F58">
        <w:rPr>
          <w:rFonts w:ascii="Calibri" w:eastAsia="Times New Roman" w:hAnsi="Calibri" w:cs="Calibri"/>
          <w:color w:val="4A4A4A"/>
          <w:sz w:val="21"/>
          <w:szCs w:val="21"/>
          <w:lang w:eastAsia="en-US"/>
        </w:rPr>
        <w:t>Geographic:GDP</w:t>
      </w:r>
      <w:proofErr w:type="spellEnd"/>
      <w:proofErr w:type="gramEnd"/>
      <w:r w:rsidRPr="002A6F58">
        <w:rPr>
          <w:rFonts w:ascii="Times New Roman" w:eastAsia="Times New Roman" w:hAnsi="Times New Roman" w:cs="Times New Roman"/>
          <w:color w:val="4A4A4A"/>
          <w:sz w:val="21"/>
          <w:szCs w:val="21"/>
          <w:lang w:eastAsia="en-US"/>
        </w:rPr>
        <w:t>). </w:t>
      </w:r>
      <w:r w:rsidRPr="002A6F58">
        <w:rPr>
          <w:rFonts w:ascii="Times New Roman" w:eastAsia="Times New Roman" w:hAnsi="Times New Roman" w:cs="Times New Roman"/>
          <w:color w:val="4A4A4A"/>
          <w:sz w:val="21"/>
          <w:szCs w:val="21"/>
          <w:lang w:val="en-US" w:eastAsia="en-US"/>
        </w:rPr>
        <w:t> </w:t>
      </w:r>
    </w:p>
    <w:p w14:paraId="538E94ED"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43471D44" w14:textId="77777777" w:rsidR="00FB46A4" w:rsidRDefault="002A6F58" w:rsidP="002A6F58">
      <w:pPr>
        <w:shd w:val="clear" w:color="auto" w:fill="FFFFFF"/>
        <w:spacing w:after="0" w:line="240" w:lineRule="auto"/>
        <w:textAlignment w:val="baseline"/>
        <w:rPr>
          <w:rFonts w:ascii="Calibri" w:eastAsia="Times New Roman" w:hAnsi="Calibri" w:cs="Calibri"/>
          <w:color w:val="4A4A4A"/>
          <w:sz w:val="21"/>
          <w:szCs w:val="21"/>
          <w:lang w:eastAsia="en-US"/>
        </w:rPr>
      </w:pPr>
      <w:r w:rsidRPr="002A6F58">
        <w:rPr>
          <w:rFonts w:ascii="Calibri" w:eastAsia="Times New Roman" w:hAnsi="Calibri" w:cs="Calibri"/>
          <w:color w:val="4A4A4A"/>
          <w:sz w:val="21"/>
          <w:szCs w:val="21"/>
          <w:lang w:eastAsia="en-US"/>
        </w:rPr>
        <w:t>For each different adjacency matrix, we also had to select a neighbourhood distance, i.e. over what distance can a country be </w:t>
      </w:r>
      <w:proofErr w:type="gramStart"/>
      <w:r w:rsidRPr="002A6F58">
        <w:rPr>
          <w:rFonts w:ascii="Calibri" w:eastAsia="Times New Roman" w:hAnsi="Calibri" w:cs="Calibri"/>
          <w:color w:val="4A4A4A"/>
          <w:sz w:val="21"/>
          <w:szCs w:val="21"/>
          <w:lang w:eastAsia="en-US"/>
        </w:rPr>
        <w:t>effected</w:t>
      </w:r>
      <w:proofErr w:type="gramEnd"/>
      <w:r w:rsidRPr="002A6F58">
        <w:rPr>
          <w:rFonts w:ascii="Calibri" w:eastAsia="Times New Roman" w:hAnsi="Calibri" w:cs="Calibri"/>
          <w:color w:val="4A4A4A"/>
          <w:sz w:val="21"/>
          <w:szCs w:val="21"/>
          <w:lang w:eastAsia="en-US"/>
        </w:rPr>
        <w:t> by another. Thus, we also varied the radius of distance from which to select neighbours for the neighbourhood network, we used the maximum minimum distance, twice the maximum minimum and three times the maximum minimum, thus varying the number of neighbours each country would have. </w:t>
      </w:r>
    </w:p>
    <w:p w14:paraId="202BF32E" w14:textId="7DA1CD1F"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val="en-US" w:eastAsia="en-US"/>
        </w:rPr>
        <w:t> </w:t>
      </w:r>
    </w:p>
    <w:p w14:paraId="511CED0C" w14:textId="5AE661EB"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A6F58">
        <w:rPr>
          <w:rFonts w:ascii="Calibri" w:eastAsia="Times New Roman" w:hAnsi="Calibri" w:cs="Calibri"/>
          <w:color w:val="4A4A4A"/>
          <w:sz w:val="21"/>
          <w:szCs w:val="21"/>
          <w:lang w:eastAsia="en-US"/>
        </w:rPr>
        <w:t>Finally, to decide the magnitude of the effect one country has on another in the neighbourhood network we varied the weights of pairs of countries in the adjacency matrix, using either a neutral weighting of 1, so that each neighbour has an equal effect on each other (not dependent on the distance in the network), or decaying weights over distance with 1/distance, and 1/distance2, where the closer the country is the greater the effect it has on another country. The outcome of these 36 different combinations led to minimum DIC (Deviance Information Criterion) being found for a ratio of 1:2 (</w:t>
      </w:r>
      <w:proofErr w:type="spellStart"/>
      <w:r w:rsidRPr="002A6F58">
        <w:rPr>
          <w:rFonts w:ascii="Calibri" w:eastAsia="Times New Roman" w:hAnsi="Calibri" w:cs="Calibri"/>
          <w:color w:val="4A4A4A"/>
          <w:sz w:val="21"/>
          <w:szCs w:val="21"/>
          <w:lang w:eastAsia="en-US"/>
        </w:rPr>
        <w:t>Geographic:GDP</w:t>
      </w:r>
      <w:proofErr w:type="spellEnd"/>
      <w:r w:rsidRPr="002A6F58">
        <w:rPr>
          <w:rFonts w:ascii="Calibri" w:eastAsia="Times New Roman" w:hAnsi="Calibri" w:cs="Calibri"/>
          <w:color w:val="4A4A4A"/>
          <w:sz w:val="21"/>
          <w:szCs w:val="21"/>
          <w:lang w:eastAsia="en-US"/>
        </w:rPr>
        <w:t>), the neighbourhood networks minimum distance being twice the maximum minimum distance and an even weighting of 1/distance for each adjacent country. </w:t>
      </w:r>
      <w:r w:rsidRPr="002A6F58">
        <w:rPr>
          <w:rFonts w:ascii="Calibri" w:eastAsia="Times New Roman" w:hAnsi="Calibri" w:cs="Calibri"/>
          <w:color w:val="4A4A4A"/>
          <w:sz w:val="21"/>
          <w:szCs w:val="21"/>
          <w:lang w:val="en-US" w:eastAsia="en-US"/>
        </w:rPr>
        <w:t> </w:t>
      </w:r>
    </w:p>
    <w:p w14:paraId="534757BA" w14:textId="77777777" w:rsidR="0050542C" w:rsidRPr="002A6F58" w:rsidRDefault="0050542C"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5DBECE2F"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This model structure produces estimates for all fixed effects </w:t>
      </w:r>
      <w:proofErr w:type="gramStart"/>
      <w:r w:rsidRPr="002A6F58">
        <w:rPr>
          <w:rFonts w:ascii="Calibri" w:eastAsia="Times New Roman" w:hAnsi="Calibri" w:cs="Calibri"/>
          <w:color w:val="4A4A4A"/>
          <w:sz w:val="21"/>
          <w:szCs w:val="21"/>
          <w:lang w:eastAsia="en-US"/>
        </w:rPr>
        <w:t>and also</w:t>
      </w:r>
      <w:proofErr w:type="gramEnd"/>
      <w:r w:rsidRPr="002A6F58">
        <w:rPr>
          <w:rFonts w:ascii="Calibri" w:eastAsia="Times New Roman" w:hAnsi="Calibri" w:cs="Calibri"/>
          <w:color w:val="4A4A4A"/>
          <w:sz w:val="21"/>
          <w:szCs w:val="21"/>
          <w:lang w:eastAsia="en-US"/>
        </w:rPr>
        <w:t> individual country level risk, this provides information on which are significantly at greater or lower risk to the average risk.  </w:t>
      </w:r>
      <w:r w:rsidRPr="002A6F58">
        <w:rPr>
          <w:rFonts w:ascii="Calibri" w:eastAsia="Times New Roman" w:hAnsi="Calibri" w:cs="Calibri"/>
          <w:color w:val="4A4A4A"/>
          <w:sz w:val="21"/>
          <w:szCs w:val="21"/>
          <w:lang w:val="en-US" w:eastAsia="en-US"/>
        </w:rPr>
        <w:t> </w:t>
      </w:r>
    </w:p>
    <w:p w14:paraId="7BF8BF55" w14:textId="65C9376C"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A6F58">
        <w:rPr>
          <w:rFonts w:ascii="Calibri" w:eastAsia="Times New Roman" w:hAnsi="Calibri" w:cs="Calibri"/>
          <w:color w:val="4A4A4A"/>
          <w:sz w:val="21"/>
          <w:szCs w:val="21"/>
          <w:lang w:eastAsia="en-US"/>
        </w:rPr>
        <w:t xml:space="preserve">All parameters were given un-informative priors. Simulations were run with 3 MCMC chains with 50,000 burn in iterations and each parameter estimated from 1000 samples taken from a thinned 250,000 iterations to produce the posterior distribution. Convergence was attained, with r̂ values all very </w:t>
      </w:r>
      <w:r w:rsidRPr="002A6F58">
        <w:rPr>
          <w:rFonts w:ascii="Calibri" w:eastAsia="Times New Roman" w:hAnsi="Calibri" w:cs="Calibri"/>
          <w:color w:val="4A4A4A"/>
          <w:sz w:val="21"/>
          <w:szCs w:val="21"/>
          <w:lang w:eastAsia="en-US"/>
        </w:rPr>
        <w:lastRenderedPageBreak/>
        <w:t>close to 1.000. Due to the Bayesian framework and </w:t>
      </w:r>
      <w:proofErr w:type="spellStart"/>
      <w:r w:rsidRPr="002A6F58">
        <w:rPr>
          <w:rFonts w:ascii="Calibri" w:eastAsia="Times New Roman" w:hAnsi="Calibri" w:cs="Calibri"/>
          <w:color w:val="4A4A4A"/>
          <w:sz w:val="21"/>
          <w:szCs w:val="21"/>
          <w:lang w:eastAsia="en-US"/>
        </w:rPr>
        <w:t>WinBUGS</w:t>
      </w:r>
      <w:proofErr w:type="spellEnd"/>
      <w:r w:rsidRPr="002A6F58">
        <w:rPr>
          <w:rFonts w:ascii="Calibri" w:eastAsia="Times New Roman" w:hAnsi="Calibri" w:cs="Calibri"/>
          <w:color w:val="4A4A4A"/>
          <w:sz w:val="21"/>
          <w:szCs w:val="21"/>
          <w:lang w:eastAsia="en-US"/>
        </w:rPr>
        <w:t> software it was possible to gain estimates for countries where we had no data on prevalence, using their GDP and geographic proximity to inform this estimate. Those countries with the largest number of studies provided the estimates with the tightest confidence intervals and those with few or no data were less well defined, often producing a log normal distributed posterior distribution, giving estimates with long tails. </w:t>
      </w:r>
      <w:r w:rsidRPr="002A6F58">
        <w:rPr>
          <w:rFonts w:ascii="Calibri" w:eastAsia="Times New Roman" w:hAnsi="Calibri" w:cs="Calibri"/>
          <w:color w:val="4A4A4A"/>
          <w:sz w:val="21"/>
          <w:szCs w:val="21"/>
          <w:lang w:val="en-US" w:eastAsia="en-US"/>
        </w:rPr>
        <w:t> </w:t>
      </w:r>
    </w:p>
    <w:p w14:paraId="73600F4F"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10D10D0D"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Posterior distributions of parameters were inspected for convergence and to check for covariance between parameters.  Where necessary parameters were centred and scaled to N (0, 1) to aid parameter convergence and remover covariance. This was done for the sex parameter, which was entered as the proportion of the sample that was female; this was seen to co-vary with the intercept and bias parameters before re-centring and scaling. However, the covariance of routine vaccination and birth dose persisted even after re-centring. This is in part unsurprising as there a few instances where birth dose is administered without the routine vaccination. Here we tried to reduce this interaction of the terms by transforming the birth dose data. We modelled birth dose using only data where the birth dose was greater than 60, 70, 80 &amp; 90% respectively, we also modelled birth dose to the square, thus increasing the effect of high birth doses over smaller doses. Model selection dependent on which one both reduced the covariance between the parameters and returned the lowest DIC score. </w:t>
      </w:r>
      <w:r w:rsidRPr="002A6F58">
        <w:rPr>
          <w:rFonts w:ascii="Calibri" w:eastAsia="Times New Roman" w:hAnsi="Calibri" w:cs="Calibri"/>
          <w:color w:val="4A4A4A"/>
          <w:sz w:val="21"/>
          <w:szCs w:val="21"/>
          <w:lang w:val="en-US" w:eastAsia="en-US"/>
        </w:rPr>
        <w:t> </w:t>
      </w:r>
    </w:p>
    <w:p w14:paraId="55A8D264" w14:textId="77777777" w:rsidR="00FB46A4" w:rsidRDefault="00FB46A4" w:rsidP="002A6F58">
      <w:pPr>
        <w:shd w:val="clear" w:color="auto" w:fill="FFFFFF"/>
        <w:spacing w:after="0" w:line="240" w:lineRule="auto"/>
        <w:textAlignment w:val="baseline"/>
        <w:rPr>
          <w:rFonts w:ascii="Calibri" w:eastAsia="Times New Roman" w:hAnsi="Calibri" w:cs="Calibri"/>
          <w:color w:val="4A4A4A"/>
          <w:sz w:val="21"/>
          <w:szCs w:val="21"/>
          <w:lang w:eastAsia="en-US"/>
        </w:rPr>
      </w:pPr>
    </w:p>
    <w:p w14:paraId="3EEE783A" w14:textId="47384B2D"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Model validation was conducted using 90% of randomly selected data against the remaining 10%, and by comparing model estimates of prevalence against observed data (Figure 3). Figure 4 shows the average prevalence in each country from all the studies plotted against the models estimate. Figure 5 shows the marginal and joint posterior distributions for the fitted parameters. Table 1 gives the estimated parameter values with associated credible intervals.</w:t>
      </w:r>
      <w:r w:rsidRPr="002A6F58">
        <w:rPr>
          <w:rFonts w:ascii="Calibri" w:eastAsia="Times New Roman" w:hAnsi="Calibri" w:cs="Calibri"/>
          <w:color w:val="4A4A4A"/>
          <w:sz w:val="21"/>
          <w:szCs w:val="21"/>
          <w:lang w:val="en-US" w:eastAsia="en-US"/>
        </w:rPr>
        <w:t> </w:t>
      </w:r>
    </w:p>
    <w:p w14:paraId="29797890" w14:textId="77777777" w:rsidR="00FB46A4" w:rsidRDefault="00FB46A4" w:rsidP="002A6F58">
      <w:pPr>
        <w:shd w:val="clear" w:color="auto" w:fill="FFFFFF"/>
        <w:spacing w:after="0" w:line="240" w:lineRule="auto"/>
        <w:textAlignment w:val="baseline"/>
        <w:rPr>
          <w:rFonts w:ascii="Calibri" w:eastAsia="Times New Roman" w:hAnsi="Calibri" w:cs="Calibri"/>
          <w:color w:val="4A4A4A"/>
          <w:sz w:val="21"/>
          <w:szCs w:val="21"/>
          <w:lang w:eastAsia="en-US"/>
        </w:rPr>
      </w:pPr>
    </w:p>
    <w:p w14:paraId="5D870E01" w14:textId="489C2663"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During the validation exercise (in which countries were consulted over their estimates) it was pointed out that China had undertaken three very large-scale population-based serological surveys in order to establish baseline prevalence and progress towards HBV elimination. There were </w:t>
      </w:r>
      <w:proofErr w:type="gramStart"/>
      <w:r w:rsidRPr="002A6F58">
        <w:rPr>
          <w:rFonts w:ascii="Calibri" w:eastAsia="Times New Roman" w:hAnsi="Calibri" w:cs="Calibri"/>
          <w:color w:val="4A4A4A"/>
          <w:sz w:val="21"/>
          <w:szCs w:val="21"/>
          <w:lang w:eastAsia="en-US"/>
        </w:rPr>
        <w:t>a large number of</w:t>
      </w:r>
      <w:proofErr w:type="gramEnd"/>
      <w:r w:rsidRPr="002A6F58">
        <w:rPr>
          <w:rFonts w:ascii="Calibri" w:eastAsia="Times New Roman" w:hAnsi="Calibri" w:cs="Calibri"/>
          <w:color w:val="4A4A4A"/>
          <w:sz w:val="21"/>
          <w:szCs w:val="21"/>
          <w:lang w:eastAsia="en-US"/>
        </w:rPr>
        <w:t> other surveys from China, that are less representative than these three nationwide surveys. We conducted a sensitivity analysis by restricting the data from China to the three nationally representative surveys. The effect of this change in input data was that the effect of vaccination was more distinct, but the estimated age effects (change in prevalence in children under 5, or juveniles (children 5-15 years)) were no longer significantly different from zero (see Table 2 and Figure 6). The deviance was significantly reduced, suggesting a much better fitting model (Table 2), albeit on a somewhat reduced dataset.</w:t>
      </w:r>
      <w:r w:rsidRPr="002A6F58">
        <w:rPr>
          <w:rFonts w:ascii="Calibri" w:eastAsia="Times New Roman" w:hAnsi="Calibri" w:cs="Calibri"/>
          <w:color w:val="4A4A4A"/>
          <w:sz w:val="21"/>
          <w:szCs w:val="21"/>
          <w:lang w:val="en-US" w:eastAsia="en-US"/>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7033AE55" w:rsidR="00EC2915" w:rsidRDefault="00EC2915" w:rsidP="00576CFA">
      <w:pPr>
        <w:pStyle w:val="MText"/>
      </w:pPr>
    </w:p>
    <w:p w14:paraId="09B3DC62" w14:textId="77777777" w:rsidR="00E73C89" w:rsidRDefault="00E73C89" w:rsidP="00576CFA">
      <w:pPr>
        <w:pStyle w:val="MText"/>
      </w:pPr>
    </w:p>
    <w:p w14:paraId="2CF2A343" w14:textId="0A7F0CBE" w:rsidR="00E1050F" w:rsidRPr="00A96255" w:rsidRDefault="00E1050F" w:rsidP="00F719A8">
      <w:pPr>
        <w:pStyle w:val="MHeader2"/>
      </w:pPr>
      <w:r w:rsidRPr="00A96255">
        <w:t>4.e. Adjustments</w:t>
      </w:r>
    </w:p>
    <w:p w14:paraId="7FBAEBBA" w14:textId="532C07F8" w:rsidR="00EC2915" w:rsidRDefault="007104B6" w:rsidP="00576CFA">
      <w:pPr>
        <w:pStyle w:val="MText"/>
      </w:pPr>
      <w:r>
        <w:t xml:space="preserve">Estimates are provided for the </w:t>
      </w:r>
      <w:r w:rsidRPr="007104B6">
        <w:t>194 WHO Member States</w:t>
      </w:r>
      <w:r>
        <w:t xml:space="preserve"> and grouped accordingly to the six</w:t>
      </w:r>
      <w:r w:rsidR="00995C9A">
        <w:t xml:space="preserve"> WHO regions. We also provide estimates according to income classification and follow UN Regional Groupings and Compositions as much as possible. </w:t>
      </w:r>
    </w:p>
    <w:p w14:paraId="14A6975D" w14:textId="77777777" w:rsidR="007104B6" w:rsidRPr="00A96255" w:rsidRDefault="007104B6"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C244DFE" w14:textId="77777777" w:rsidR="003945B5" w:rsidRDefault="003945B5" w:rsidP="003945B5">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07D0CA2A" w14:textId="3158FA03"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p>
    <w:p w14:paraId="6FE86C45"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All values represent the best estimates for the hepatitis B surface antigen indicator and aim to facilitate comparability across countries and over time. The estimates are not always the same as the official national estimates, because of the use of different methodologies and data sources. Estimates are provided for 194 WHO Member States. The analysis was carried out for the age groups 0-5 years and for the general population. Due to scarcity of data from some countries, the estimates are more </w:t>
      </w:r>
      <w:r>
        <w:rPr>
          <w:rStyle w:val="normaltextrun"/>
          <w:rFonts w:ascii="Calibri" w:hAnsi="Calibri" w:cs="Calibri"/>
          <w:color w:val="4A4A4A"/>
          <w:sz w:val="21"/>
          <w:szCs w:val="21"/>
          <w:lang w:val="en-GB"/>
        </w:rPr>
        <w:lastRenderedPageBreak/>
        <w:t>robust at global and regional level than at country level, therefore, we suggest countries focus on the 95% Credible Intervals and not only on the reported point estimates.</w:t>
      </w:r>
      <w:r>
        <w:rPr>
          <w:rStyle w:val="eop"/>
          <w:rFonts w:ascii="Calibri" w:hAnsi="Calibri" w:cs="Calibri"/>
          <w:color w:val="4A4A4A"/>
          <w:sz w:val="21"/>
          <w:szCs w:val="21"/>
        </w:rPr>
        <w:t> </w:t>
      </w:r>
    </w:p>
    <w:p w14:paraId="428E8A0D"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eop"/>
          <w:color w:val="4A4A4A"/>
          <w:sz w:val="21"/>
          <w:szCs w:val="21"/>
        </w:rPr>
        <w:t> </w:t>
      </w:r>
    </w:p>
    <w:p w14:paraId="7152FFA5" w14:textId="77777777" w:rsidR="003945B5" w:rsidRDefault="003945B5" w:rsidP="003945B5">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A thorough and robust literature review was undertaken to find studies across the 194 WHO Member States and across age groups and vaccination status. We updated the systematic review by Schweitzer et al, 2015 that included a systematic search on articles published between Jan 1, 1965, and Oct 23, 2013. We updated the systematic search to include articles published between Oct 23, 2013, and October 30, 2018 in the databases Embase, PubMed, Global Index </w:t>
      </w:r>
      <w:proofErr w:type="spellStart"/>
      <w:r>
        <w:rPr>
          <w:rStyle w:val="normaltextrun"/>
          <w:rFonts w:ascii="Calibri" w:hAnsi="Calibri" w:cs="Calibri"/>
          <w:color w:val="4A4A4A"/>
          <w:sz w:val="21"/>
          <w:szCs w:val="21"/>
          <w:lang w:val="en-GB"/>
        </w:rPr>
        <w:t>Medicus</w:t>
      </w:r>
      <w:proofErr w:type="spellEnd"/>
      <w:r>
        <w:rPr>
          <w:rStyle w:val="normaltextrun"/>
          <w:color w:val="4A4A4A"/>
          <w:sz w:val="21"/>
          <w:szCs w:val="21"/>
          <w:lang w:val="en-GB"/>
        </w:rPr>
        <w:t>, </w:t>
      </w:r>
      <w:proofErr w:type="spellStart"/>
      <w:r>
        <w:rPr>
          <w:rStyle w:val="normaltextrun"/>
          <w:rFonts w:ascii="Calibri" w:hAnsi="Calibri" w:cs="Calibri"/>
          <w:color w:val="4A4A4A"/>
          <w:sz w:val="21"/>
          <w:szCs w:val="21"/>
          <w:lang w:val="en-GB"/>
        </w:rPr>
        <w:t>Popline</w:t>
      </w:r>
      <w:proofErr w:type="spellEnd"/>
      <w:r>
        <w:rPr>
          <w:rStyle w:val="normaltextrun"/>
          <w:rFonts w:ascii="Calibri" w:hAnsi="Calibri" w:cs="Calibri"/>
          <w:color w:val="4A4A4A"/>
          <w:sz w:val="21"/>
          <w:szCs w:val="21"/>
          <w:lang w:val="en-GB"/>
        </w:rPr>
        <w:t>, and Web of Science. </w:t>
      </w:r>
      <w:r>
        <w:rPr>
          <w:rStyle w:val="eop"/>
          <w:rFonts w:ascii="Calibri" w:hAnsi="Calibri" w:cs="Calibri"/>
          <w:color w:val="4A4A4A"/>
          <w:sz w:val="21"/>
          <w:szCs w:val="21"/>
        </w:rPr>
        <w:t> </w:t>
      </w:r>
    </w:p>
    <w:p w14:paraId="18263E80"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eop"/>
          <w:color w:val="4A4A4A"/>
          <w:sz w:val="21"/>
          <w:szCs w:val="21"/>
        </w:rPr>
        <w:t> </w:t>
      </w:r>
    </w:p>
    <w:p w14:paraId="0E387B29"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For each country that had prevalence data, a weighted central position was calculated using the size and location of each study. For those countries with no data, we used the population centroid. Please see detailed explanation above.</w:t>
      </w:r>
      <w:r>
        <w:rPr>
          <w:rStyle w:val="eop"/>
          <w:rFonts w:ascii="Calibri" w:hAnsi="Calibri" w:cs="Calibri"/>
          <w:color w:val="4A4A4A"/>
          <w:sz w:val="21"/>
          <w:szCs w:val="21"/>
        </w:rPr>
        <w:t> </w:t>
      </w:r>
    </w:p>
    <w:p w14:paraId="27D99263" w14:textId="3D7C08AD"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p>
    <w:p w14:paraId="60D1A62C" w14:textId="77777777" w:rsidR="003945B5" w:rsidRDefault="003945B5" w:rsidP="003945B5">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5E0C764" w14:textId="77777777" w:rsidR="003945B5" w:rsidRDefault="003945B5" w:rsidP="003945B5">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7B4E2642"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Same as above</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F5F2BBE"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411DF8FB"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estimates are not always the same as the official national estimates, because of the use of different methodologies and data sources</w:t>
      </w:r>
      <w:r>
        <w:rPr>
          <w:rStyle w:val="normaltextrun"/>
          <w:color w:val="4A4A4A"/>
          <w:sz w:val="21"/>
          <w:szCs w:val="21"/>
          <w:lang w:val="en-GB"/>
        </w:rPr>
        <w:t>. </w:t>
      </w:r>
      <w:r>
        <w:rPr>
          <w:rStyle w:val="normaltextrun"/>
          <w:rFonts w:ascii="Calibri" w:hAnsi="Calibri" w:cs="Calibri"/>
          <w:color w:val="4A4A4A"/>
          <w:sz w:val="21"/>
          <w:szCs w:val="21"/>
          <w:lang w:val="en-GB"/>
        </w:rPr>
        <w:t>The study selection criteria were </w:t>
      </w:r>
      <w:proofErr w:type="gramStart"/>
      <w:r>
        <w:rPr>
          <w:rStyle w:val="normaltextrun"/>
          <w:rFonts w:ascii="Calibri" w:hAnsi="Calibri" w:cs="Calibri"/>
          <w:color w:val="4A4A4A"/>
          <w:sz w:val="21"/>
          <w:szCs w:val="21"/>
          <w:lang w:val="en-GB"/>
        </w:rPr>
        <w:t>similar to</w:t>
      </w:r>
      <w:proofErr w:type="gramEnd"/>
      <w:r>
        <w:rPr>
          <w:rStyle w:val="normaltextrun"/>
          <w:rFonts w:ascii="Calibri" w:hAnsi="Calibri" w:cs="Calibri"/>
          <w:color w:val="4A4A4A"/>
          <w:sz w:val="21"/>
          <w:szCs w:val="21"/>
          <w:lang w:val="en-GB"/>
        </w:rPr>
        <w:t> (Schweitzer, et al., 2015). Observational studies on chronic HBV infection seroprevalence (HBsAg prevalence), done in the general population or among blood donors, health-care workers (HCWs), and pregnant women were considered for inclusion in this systematic review. Studies were excluded if they were systematic reviews or meta-analyses, surveillance reports, case studies, letters or correspondence, or did not contain HBsAg seroprevalence data. Studies were also excluded if they exclusively reported prevalence estimates for high-risk population groups (e.g., migrants and refugees).</w:t>
      </w:r>
      <w:r>
        <w:rPr>
          <w:rStyle w:val="eop"/>
          <w:rFonts w:ascii="Calibri" w:hAnsi="Calibri" w:cs="Calibri"/>
          <w:color w:val="4A4A4A"/>
          <w:sz w:val="21"/>
          <w:szCs w:val="21"/>
        </w:rPr>
        <w:t> </w:t>
      </w:r>
    </w:p>
    <w:p w14:paraId="35E590AC"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Country estimates may come from selected </w:t>
      </w:r>
      <w:proofErr w:type="spellStart"/>
      <w:r>
        <w:rPr>
          <w:rStyle w:val="normaltextrun"/>
          <w:rFonts w:ascii="Calibri" w:hAnsi="Calibri" w:cs="Calibri"/>
          <w:color w:val="4A4A4A"/>
          <w:sz w:val="21"/>
          <w:szCs w:val="21"/>
          <w:lang w:val="en-GB"/>
        </w:rPr>
        <w:t>serosurveys</w:t>
      </w:r>
      <w:proofErr w:type="spellEnd"/>
      <w:r>
        <w:rPr>
          <w:rStyle w:val="normaltextrun"/>
          <w:color w:val="4A4A4A"/>
          <w:sz w:val="21"/>
          <w:szCs w:val="21"/>
          <w:lang w:val="en-GB"/>
        </w:rPr>
        <w:t>.</w:t>
      </w:r>
      <w:r>
        <w:rPr>
          <w:rStyle w:val="eop"/>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BB9AFCF" w14:textId="77777777" w:rsidR="003945B5" w:rsidRPr="00E25DB0" w:rsidRDefault="003945B5" w:rsidP="00E25DB0">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r w:rsidRPr="00E25DB0">
        <w:rPr>
          <w:rStyle w:val="normaltextrun"/>
          <w:rFonts w:asciiTheme="minorHAnsi" w:hAnsiTheme="minorHAnsi" w:cstheme="minorHAnsi"/>
          <w:color w:val="4A4A4A"/>
          <w:sz w:val="21"/>
          <w:szCs w:val="21"/>
          <w:lang w:val="en-GB"/>
        </w:rPr>
        <w:t>Non applicable. Estimates come from the mathematical model. </w:t>
      </w:r>
      <w:r w:rsidRPr="00E25DB0">
        <w:rPr>
          <w:rStyle w:val="eop"/>
          <w:rFonts w:asciiTheme="minorHAnsi" w:hAnsiTheme="minorHAnsi" w:cstheme="minorHAnsi"/>
          <w:color w:val="4A4A4A"/>
          <w:sz w:val="21"/>
          <w:szCs w:val="21"/>
        </w:rPr>
        <w:t> </w:t>
      </w:r>
    </w:p>
    <w:p w14:paraId="6D9A60A7" w14:textId="77777777" w:rsidR="003945B5" w:rsidRPr="00E25DB0" w:rsidRDefault="003945B5" w:rsidP="00E25DB0">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r w:rsidRPr="00E25DB0">
        <w:rPr>
          <w:rStyle w:val="eop"/>
          <w:rFonts w:asciiTheme="minorHAnsi" w:hAnsiTheme="minorHAnsi" w:cstheme="minorHAnsi"/>
          <w:color w:val="4A4A4A"/>
          <w:sz w:val="21"/>
          <w:szCs w:val="21"/>
        </w:rPr>
        <w:t> </w:t>
      </w:r>
    </w:p>
    <w:p w14:paraId="567AD94F" w14:textId="5A65A88B" w:rsidR="003945B5" w:rsidRPr="00E25DB0" w:rsidRDefault="003945B5" w:rsidP="00E25DB0">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E25DB0">
        <w:rPr>
          <w:rStyle w:val="normaltextrun"/>
          <w:rFonts w:asciiTheme="minorHAnsi" w:hAnsiTheme="minorHAnsi" w:cstheme="minorHAnsi"/>
          <w:color w:val="4A4A4A"/>
          <w:sz w:val="21"/>
          <w:szCs w:val="21"/>
          <w:lang w:val="en-GB"/>
        </w:rPr>
        <w:t>Gather checklist of information that should be included in new reports of global health estimates. Gather promotes best practices in reporting health estimates. A range of health indicators are used to monitor population health and guide resource allocation throughout the world. But the lack of data for some regions and differing measurement methods present challenges that are often addressed by using statistical </w:t>
      </w:r>
      <w:r w:rsidR="006C708E" w:rsidRPr="006C708E">
        <w:rPr>
          <w:rStyle w:val="normaltextrun"/>
          <w:rFonts w:asciiTheme="minorHAnsi" w:hAnsiTheme="minorHAnsi" w:cstheme="minorHAnsi"/>
          <w:color w:val="4A4A4A"/>
          <w:sz w:val="21"/>
          <w:szCs w:val="21"/>
          <w:lang w:val="en-GB"/>
        </w:rPr>
        <w:t>modelling</w:t>
      </w:r>
      <w:r w:rsidRPr="00E25DB0">
        <w:rPr>
          <w:rStyle w:val="normaltextrun"/>
          <w:rFonts w:asciiTheme="minorHAnsi" w:hAnsiTheme="minorHAnsi" w:cstheme="minorHAnsi"/>
          <w:color w:val="4A4A4A"/>
          <w:sz w:val="21"/>
          <w:szCs w:val="21"/>
          <w:lang w:val="en-GB"/>
        </w:rPr>
        <w:t> techniques to generate coherent estimates based on often disparate sources of data. </w:t>
      </w:r>
      <w:r w:rsidR="00120521" w:rsidRPr="00E25DB0">
        <w:rPr>
          <w:rFonts w:asciiTheme="minorHAnsi" w:hAnsiTheme="minorHAnsi" w:cstheme="minorHAnsi"/>
          <w:sz w:val="21"/>
          <w:szCs w:val="21"/>
        </w:rPr>
        <w:fldChar w:fldCharType="begin"/>
      </w:r>
      <w:r w:rsidR="00120521" w:rsidRPr="00E25DB0">
        <w:rPr>
          <w:rFonts w:asciiTheme="minorHAnsi" w:hAnsiTheme="minorHAnsi" w:cstheme="minorHAnsi"/>
          <w:sz w:val="21"/>
          <w:szCs w:val="21"/>
        </w:rPr>
        <w:instrText xml:space="preserve"> HYPERLINK "http://gather-statement.org/" \t "_blank" </w:instrText>
      </w:r>
      <w:r w:rsidR="00120521" w:rsidRPr="00E25DB0">
        <w:rPr>
          <w:rFonts w:asciiTheme="minorHAnsi" w:hAnsiTheme="minorHAnsi" w:cstheme="minorHAnsi"/>
          <w:sz w:val="21"/>
          <w:szCs w:val="21"/>
        </w:rPr>
        <w:fldChar w:fldCharType="separate"/>
      </w:r>
      <w:r w:rsidRPr="00E25DB0">
        <w:rPr>
          <w:rStyle w:val="normaltextrun"/>
          <w:rFonts w:asciiTheme="minorHAnsi" w:hAnsiTheme="minorHAnsi" w:cstheme="minorHAnsi"/>
          <w:color w:val="0000FF"/>
          <w:sz w:val="21"/>
          <w:szCs w:val="21"/>
          <w:u w:val="single"/>
          <w:lang w:val="en-GB"/>
        </w:rPr>
        <w:t>http://gather-statement.org/</w:t>
      </w:r>
      <w:r w:rsidR="00120521" w:rsidRPr="00E25DB0">
        <w:rPr>
          <w:rStyle w:val="normaltextrun"/>
          <w:rFonts w:asciiTheme="minorHAnsi" w:hAnsiTheme="minorHAnsi" w:cstheme="minorHAnsi"/>
          <w:color w:val="0000FF"/>
          <w:sz w:val="21"/>
          <w:szCs w:val="21"/>
          <w:u w:val="single"/>
          <w:lang w:val="en-GB"/>
        </w:rPr>
        <w:fldChar w:fldCharType="end"/>
      </w:r>
      <w:r w:rsidRPr="00E25DB0">
        <w:rPr>
          <w:rStyle w:val="normaltextrun"/>
          <w:rFonts w:asciiTheme="minorHAnsi" w:hAnsiTheme="minorHAnsi" w:cstheme="minorHAnsi"/>
          <w:sz w:val="21"/>
          <w:szCs w:val="21"/>
          <w:lang w:val="en-GB"/>
        </w:rPr>
        <w:t> </w:t>
      </w:r>
      <w:r w:rsidRPr="00E25DB0">
        <w:rPr>
          <w:rStyle w:val="eop"/>
          <w:rFonts w:asciiTheme="minorHAnsi" w:hAnsiTheme="minorHAnsi" w:cstheme="minorHAnsi"/>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5BB43ACB" w:rsidR="00EC2915" w:rsidRDefault="00EC2915" w:rsidP="00576CFA">
      <w:pPr>
        <w:pStyle w:val="MText"/>
      </w:pPr>
    </w:p>
    <w:p w14:paraId="2C406693" w14:textId="77777777" w:rsidR="00E73C89" w:rsidRPr="00A96255" w:rsidRDefault="00E73C89" w:rsidP="00576CFA">
      <w:pPr>
        <w:pStyle w:val="MText"/>
      </w:pPr>
    </w:p>
    <w:p w14:paraId="17B979CA" w14:textId="449C0153" w:rsidR="00E1050F" w:rsidRPr="00A96255" w:rsidRDefault="00E1050F" w:rsidP="00F719A8">
      <w:pPr>
        <w:pStyle w:val="MHeader2"/>
      </w:pPr>
      <w:r w:rsidRPr="00A96255">
        <w:t>4.j Quality assurance</w:t>
      </w:r>
    </w:p>
    <w:p w14:paraId="27B93E5A"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Quality assurance</w:t>
      </w:r>
      <w:r>
        <w:rPr>
          <w:rStyle w:val="eop"/>
          <w:rFonts w:ascii="Calibri" w:hAnsi="Calibri" w:cs="Calibri"/>
          <w:color w:val="4A4A4A"/>
          <w:sz w:val="21"/>
          <w:szCs w:val="21"/>
        </w:rPr>
        <w:t> </w:t>
      </w:r>
    </w:p>
    <w:p w14:paraId="0899CC81" w14:textId="77777777" w:rsidR="003945B5" w:rsidRDefault="003945B5" w:rsidP="003945B5">
      <w:pPr>
        <w:pStyle w:val="paragraph"/>
        <w:numPr>
          <w:ilvl w:val="0"/>
          <w:numId w:val="7"/>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 xml:space="preserve">WHO’s estimates use a methodology reviewed by the Immunization and Vaccines Related Implementation Research Advisory Committee (IVIR-AC) and presented to the Strategic </w:t>
      </w:r>
      <w:r>
        <w:rPr>
          <w:rStyle w:val="normaltextrun"/>
          <w:rFonts w:ascii="Calibri" w:hAnsi="Calibri" w:cs="Calibri"/>
          <w:color w:val="4A4A4A"/>
          <w:sz w:val="21"/>
          <w:szCs w:val="21"/>
          <w:lang w:val="en-GB"/>
        </w:rPr>
        <w:lastRenderedPageBreak/>
        <w:t>Advisory Group of Experts (SAGE). These estimates have been documented following the Guidelines for Accurate and Transparent Health Estimates Reporting (GATHER).</w:t>
      </w:r>
      <w:r>
        <w:rPr>
          <w:rStyle w:val="eop"/>
          <w:rFonts w:ascii="Calibri" w:hAnsi="Calibri" w:cs="Calibri"/>
          <w:color w:val="4A4A4A"/>
          <w:sz w:val="21"/>
          <w:szCs w:val="21"/>
        </w:rPr>
        <w:t> </w:t>
      </w:r>
    </w:p>
    <w:p w14:paraId="0F47211F"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3EF3244" w14:textId="08FFB238" w:rsidR="00EC2915" w:rsidRPr="00A96255" w:rsidRDefault="003945B5" w:rsidP="006D539C">
      <w:pPr>
        <w:pStyle w:val="paragraph"/>
        <w:numPr>
          <w:ilvl w:val="0"/>
          <w:numId w:val="8"/>
        </w:numPr>
        <w:shd w:val="clear" w:color="auto" w:fill="FFFFFF"/>
        <w:spacing w:before="0" w:beforeAutospacing="0" w:after="0" w:afterAutospacing="0"/>
        <w:ind w:left="360" w:firstLine="0"/>
        <w:textAlignment w:val="baseline"/>
      </w:pPr>
      <w:r w:rsidRPr="006D539C">
        <w:rPr>
          <w:rStyle w:val="normaltextrun"/>
          <w:rFonts w:ascii="Calibri" w:hAnsi="Calibri" w:cs="Calibri"/>
          <w:color w:val="4A4A4A"/>
          <w:sz w:val="21"/>
          <w:szCs w:val="21"/>
          <w:lang w:val="en-GB"/>
        </w:rPr>
        <w:t>WHO provided Member States the opportunity to review and comment on data and estimates as part of the </w:t>
      </w:r>
      <w:proofErr w:type="gramStart"/>
      <w:r w:rsidRPr="006D539C">
        <w:rPr>
          <w:rStyle w:val="normaltextrun"/>
          <w:rFonts w:ascii="Calibri" w:hAnsi="Calibri" w:cs="Calibri"/>
          <w:color w:val="4A4A4A"/>
          <w:sz w:val="21"/>
          <w:szCs w:val="21"/>
          <w:lang w:val="en-GB"/>
        </w:rPr>
        <w:t>so called</w:t>
      </w:r>
      <w:proofErr w:type="gramEnd"/>
      <w:r w:rsidRPr="006D539C">
        <w:rPr>
          <w:rStyle w:val="normaltextrun"/>
          <w:rFonts w:ascii="Calibri" w:hAnsi="Calibri" w:cs="Calibri"/>
          <w:color w:val="4A4A4A"/>
          <w:sz w:val="21"/>
          <w:szCs w:val="21"/>
          <w:lang w:val="en-GB"/>
        </w:rPr>
        <w:t> country consultation process</w:t>
      </w:r>
      <w:r w:rsidRPr="006D539C">
        <w:rPr>
          <w:rStyle w:val="normaltextrun"/>
          <w:rFonts w:ascii="Calibri" w:hAnsi="Calibri" w:cs="Calibri"/>
          <w:color w:val="4A86E8"/>
          <w:sz w:val="20"/>
          <w:szCs w:val="20"/>
          <w:lang w:val="en-GB"/>
        </w:rPr>
        <w:t>.</w:t>
      </w:r>
      <w:r w:rsidRPr="006D539C">
        <w:rPr>
          <w:rStyle w:val="eop"/>
          <w:rFonts w:ascii="Calibri" w:hAnsi="Calibri" w:cs="Calibri"/>
          <w:color w:val="4A86E8"/>
          <w:sz w:val="20"/>
          <w:szCs w:val="20"/>
        </w:rPr>
        <w:t> </w:t>
      </w:r>
    </w:p>
    <w:p w14:paraId="34ADD322" w14:textId="1A21C057" w:rsidR="00E1050F" w:rsidRPr="00A96255" w:rsidRDefault="00576CFA" w:rsidP="00F719A8">
      <w:pPr>
        <w:pStyle w:val="MHeader2"/>
      </w:pPr>
      <w:r w:rsidRPr="00A96255">
        <w:t>4.k Qua</w:t>
      </w:r>
      <w:r w:rsidR="00E1050F" w:rsidRPr="00A96255">
        <w:t>lity assessment</w:t>
      </w:r>
    </w:p>
    <w:p w14:paraId="5B7C52CE" w14:textId="02EFC9C9" w:rsidR="00576CFA" w:rsidRDefault="00576CFA" w:rsidP="00576CFA">
      <w:pPr>
        <w:pStyle w:val="MText"/>
      </w:pPr>
    </w:p>
    <w:p w14:paraId="441CCA15" w14:textId="77777777" w:rsidR="00E73C89" w:rsidRPr="00A96255" w:rsidRDefault="00E73C89"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59429AAA" w:rsidR="00576CFA" w:rsidRPr="003945B5" w:rsidRDefault="00D51E7C" w:rsidP="00576CFA">
      <w:pPr>
        <w:pStyle w:val="MText"/>
      </w:pPr>
      <w:r w:rsidRPr="003945B5">
        <w:t>Data availability:</w:t>
      </w:r>
      <w:r w:rsidR="003945B5" w:rsidRPr="003945B5">
        <w:t xml:space="preserve"> </w:t>
      </w:r>
    </w:p>
    <w:p w14:paraId="2D0010B3"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Estimates are available for 194 Member States and for the six WHO Regions, as well as at global level</w:t>
      </w:r>
      <w:r>
        <w:rPr>
          <w:rStyle w:val="normaltextrun"/>
          <w:color w:val="4A4A4A"/>
          <w:sz w:val="21"/>
          <w:szCs w:val="21"/>
          <w:lang w:val="en-GB"/>
        </w:rPr>
        <w:t>.</w:t>
      </w:r>
      <w:r>
        <w:rPr>
          <w:rStyle w:val="eop"/>
          <w:color w:val="4A4A4A"/>
          <w:sz w:val="21"/>
          <w:szCs w:val="21"/>
        </w:rPr>
        <w:t> </w:t>
      </w:r>
    </w:p>
    <w:p w14:paraId="2D0542F7" w14:textId="3DE6BFAB" w:rsidR="00D51E7C" w:rsidRPr="00C019E5" w:rsidRDefault="00D51E7C" w:rsidP="00576CFA">
      <w:pPr>
        <w:pStyle w:val="MText"/>
        <w:rPr>
          <w:highlight w:val="cyan"/>
        </w:rPr>
      </w:pPr>
    </w:p>
    <w:p w14:paraId="41FC58EE" w14:textId="77777777" w:rsidR="003945B5" w:rsidRDefault="00D51E7C" w:rsidP="00576CFA">
      <w:pPr>
        <w:pStyle w:val="MText"/>
      </w:pPr>
      <w:r w:rsidRPr="003945B5">
        <w:t>Time series:</w:t>
      </w:r>
    </w:p>
    <w:p w14:paraId="5853D6F7" w14:textId="37417469" w:rsidR="00D51E7C" w:rsidRPr="00C019E5" w:rsidRDefault="003945B5" w:rsidP="00576CFA">
      <w:pPr>
        <w:pStyle w:val="MText"/>
        <w:rPr>
          <w:highlight w:val="cyan"/>
        </w:rPr>
      </w:pPr>
      <w:r>
        <w:rPr>
          <w:rStyle w:val="normaltextrun"/>
          <w:rFonts w:ascii="Calibri" w:hAnsi="Calibri" w:cs="Calibri"/>
        </w:rPr>
        <w:t>Estimates are available for pre- vaccine</w:t>
      </w:r>
      <w:r w:rsidRPr="00E25DB0">
        <w:rPr>
          <w:rStyle w:val="normaltextrun"/>
          <w:rFonts w:ascii="Calibri" w:hAnsi="Calibri" w:cs="Calibri"/>
        </w:rPr>
        <w:t> era,</w:t>
      </w:r>
      <w:r>
        <w:rPr>
          <w:rStyle w:val="normaltextrun"/>
        </w:rPr>
        <w:t> </w:t>
      </w:r>
      <w:r>
        <w:rPr>
          <w:rStyle w:val="normaltextrun"/>
          <w:rFonts w:ascii="Calibri" w:hAnsi="Calibri" w:cs="Calibri"/>
        </w:rPr>
        <w:t xml:space="preserve">2015 and </w:t>
      </w:r>
      <w:r w:rsidR="001B1F4B">
        <w:rPr>
          <w:rStyle w:val="normaltextrun"/>
          <w:rFonts w:ascii="Calibri" w:hAnsi="Calibri" w:cs="Calibri"/>
        </w:rPr>
        <w:t>2018 and 2020 </w:t>
      </w:r>
      <w:r>
        <w:rPr>
          <w:rStyle w:val="normaltextrun"/>
        </w:rPr>
        <w:t> </w:t>
      </w:r>
      <w:r>
        <w:rPr>
          <w:rStyle w:val="eop"/>
        </w:rPr>
        <w:t> </w:t>
      </w:r>
    </w:p>
    <w:p w14:paraId="760C013A" w14:textId="4597FCBD" w:rsidR="00D51E7C" w:rsidRPr="00C019E5" w:rsidRDefault="00D51E7C" w:rsidP="00576CFA">
      <w:pPr>
        <w:pStyle w:val="MText"/>
        <w:rPr>
          <w:highlight w:val="cyan"/>
        </w:rPr>
      </w:pPr>
    </w:p>
    <w:p w14:paraId="7AE7CB07" w14:textId="2E45DCD5" w:rsidR="003945B5" w:rsidRPr="009A29CB" w:rsidRDefault="00D51E7C" w:rsidP="009A29CB">
      <w:pPr>
        <w:pStyle w:val="MText"/>
      </w:pPr>
      <w:r w:rsidRPr="009A29CB">
        <w:t>Disaggregation:</w:t>
      </w:r>
      <w:r w:rsidR="003945B5" w:rsidRPr="009A29CB">
        <w:rPr>
          <w:rStyle w:val="eop"/>
        </w:rPr>
        <w:t> </w:t>
      </w:r>
    </w:p>
    <w:p w14:paraId="2964C3BB" w14:textId="08FC04D2" w:rsidR="003945B5" w:rsidRPr="009A29CB" w:rsidRDefault="003945B5" w:rsidP="009A29CB">
      <w:pPr>
        <w:pStyle w:val="MText"/>
      </w:pPr>
      <w:r w:rsidRPr="009A29CB">
        <w:rPr>
          <w:rStyle w:val="normaltextrun"/>
        </w:rPr>
        <w:t>age groups (i.e. under five years of age</w:t>
      </w:r>
      <w:r w:rsidR="001B1F4B">
        <w:rPr>
          <w:rStyle w:val="normaltextrun"/>
        </w:rPr>
        <w:t>, 5 years and older (although these estimates are not reported)</w:t>
      </w:r>
      <w:r w:rsidRPr="009A29CB">
        <w:rPr>
          <w:rStyle w:val="normaltextrun"/>
        </w:rPr>
        <w:t xml:space="preserve"> and the general population); sex/gender if possible. Although the data for the latter is scarce. In addition, data at national, regional and global level. </w:t>
      </w:r>
      <w:r w:rsidRPr="009A29CB">
        <w:rPr>
          <w:rStyle w:val="eop"/>
        </w:rPr>
        <w:t> </w:t>
      </w:r>
    </w:p>
    <w:p w14:paraId="42E8CA56" w14:textId="36D84805" w:rsidR="00D51E7C" w:rsidRPr="00A96255" w:rsidRDefault="003945B5" w:rsidP="009A29CB">
      <w:pPr>
        <w:pStyle w:val="MText"/>
      </w:pPr>
      <w:r w:rsidRPr="009A29CB">
        <w:rPr>
          <w:rStyle w:val="eop"/>
        </w:rPr>
        <w:t> </w:t>
      </w: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3C90CA4" w14:textId="397F7B8C" w:rsidR="001B1F4B" w:rsidRDefault="001B1F4B" w:rsidP="001B1F4B">
      <w:pPr>
        <w:pStyle w:val="MText"/>
      </w:pPr>
      <w:r>
        <w:t>This dataset represents the best estimates for the hepatitis B surface antigen indicator and aims to facilitate comparability across countries and over time. The estimates are not always the same as the official national estimates, because of the use of different methodologies and data sources</w:t>
      </w:r>
      <w:r w:rsidR="00DC291C">
        <w:t xml:space="preserve"> e.g. special populations or populations at risk are not included in the hepatitis b seroprevalence model</w:t>
      </w:r>
      <w:r>
        <w:t>. Estimates are provided for 194 WHO Member States.</w:t>
      </w:r>
      <w:r w:rsidR="00DC291C" w:rsidRPr="00DC291C">
        <w:t xml:space="preserve"> Th</w:t>
      </w:r>
      <w:r w:rsidR="00DC291C">
        <w:t>e conditional autoregressive</w:t>
      </w:r>
      <w:r w:rsidR="00DC291C" w:rsidRPr="00DC291C">
        <w:t xml:space="preserve"> model uses data from well sampled countries to estimate prevalence in more data</w:t>
      </w:r>
      <w:r w:rsidR="00DC291C">
        <w:t>-</w:t>
      </w:r>
      <w:r w:rsidR="00DC291C" w:rsidRPr="00DC291C">
        <w:t>poor countries taking account of effects such as sex, age and vaccination status.</w:t>
      </w:r>
      <w:r w:rsidR="00DC291C">
        <w:t xml:space="preserve"> </w:t>
      </w:r>
      <w:r>
        <w:t>Due to scarcity of data from some countries, the estimates are more robust at global and regional level than at country level, therefore focus</w:t>
      </w:r>
      <w:r w:rsidR="00DC291C">
        <w:t xml:space="preserve"> should be</w:t>
      </w:r>
      <w:r>
        <w:t xml:space="preserve"> on the 95% Credible Intervals and not only on the reported point estimates.</w:t>
      </w:r>
    </w:p>
    <w:p w14:paraId="72F6AF57" w14:textId="77777777" w:rsidR="001B1F4B" w:rsidRDefault="001B1F4B" w:rsidP="001B1F4B">
      <w:pPr>
        <w:pStyle w:val="MText"/>
      </w:pPr>
    </w:p>
    <w:p w14:paraId="33CAB7BE" w14:textId="329913B5" w:rsidR="00EC2915" w:rsidRDefault="00EC2915" w:rsidP="00576CFA">
      <w:pPr>
        <w:pStyle w:val="MText"/>
      </w:pPr>
    </w:p>
    <w:p w14:paraId="3595E072" w14:textId="37C5F188" w:rsidR="00D51E7C" w:rsidRDefault="00D51E7C" w:rsidP="00576CFA">
      <w:pPr>
        <w:pStyle w:val="MText"/>
      </w:pPr>
      <w:r w:rsidRPr="00E73C89">
        <w:t>Sources of discrepancies:</w:t>
      </w:r>
    </w:p>
    <w:p w14:paraId="3FCFBC7B" w14:textId="17D53249" w:rsidR="002B644A" w:rsidRDefault="002B644A" w:rsidP="00576CFA">
      <w:pPr>
        <w:pStyle w:val="MText"/>
      </w:pPr>
      <w:r>
        <w:t xml:space="preserve">Inclusion or exclusion criteria of the type of seroprevalence studies. </w:t>
      </w:r>
      <w:r w:rsidRPr="002B644A">
        <w:t>Observational studies on chronic HBV infection seroprevalence (HBsAg prevalence), done in the general population or among blood donors, health-care workers (HCWs), and pregnant women were considered for inclusion. Studies were excluded if they were systematic reviews or meta-analyses, surveillance reports, case studies, letters or correspondence, or did not contain HBsAg seroprevalence data. Studies were also excluded if they exclusively reported prevalence estimates for high-risk population groups (e.g., migrants and refugees).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41BC65E"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color w:val="4A4A4A"/>
          <w:sz w:val="21"/>
          <w:szCs w:val="21"/>
          <w:lang w:val="en-GB"/>
        </w:rPr>
        <w:t>Serosurveys</w:t>
      </w:r>
      <w:proofErr w:type="spellEnd"/>
      <w:r>
        <w:rPr>
          <w:rStyle w:val="normaltextrun"/>
          <w:rFonts w:ascii="Calibri" w:hAnsi="Calibri" w:cs="Calibri"/>
          <w:b/>
          <w:bCs/>
          <w:color w:val="4A4A4A"/>
          <w:sz w:val="21"/>
          <w:szCs w:val="21"/>
          <w:lang w:val="en-GB"/>
        </w:rPr>
        <w:t> are available for each member states and reference provided for each data point.</w:t>
      </w:r>
      <w:r>
        <w:rPr>
          <w:rStyle w:val="eop"/>
          <w:rFonts w:ascii="Calibri" w:hAnsi="Calibri" w:cs="Calibri"/>
          <w:color w:val="4A4A4A"/>
          <w:sz w:val="21"/>
          <w:szCs w:val="21"/>
        </w:rPr>
        <w:t> </w:t>
      </w:r>
    </w:p>
    <w:p w14:paraId="2895E4A8"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normaltextrun"/>
          <w:b/>
          <w:bCs/>
          <w:color w:val="4A4A4A"/>
          <w:sz w:val="21"/>
          <w:szCs w:val="21"/>
          <w:lang w:val="en-GB"/>
        </w:rPr>
        <w:t> </w:t>
      </w:r>
      <w:hyperlink r:id="rId15" w:anchor="global-strategies" w:tgtFrame="_blank" w:history="1">
        <w:r>
          <w:rPr>
            <w:rStyle w:val="normaltextrun"/>
            <w:rFonts w:ascii="Calibri" w:hAnsi="Calibri" w:cs="Calibri"/>
            <w:b/>
            <w:bCs/>
            <w:color w:val="0000FF"/>
            <w:sz w:val="21"/>
            <w:szCs w:val="21"/>
            <w:u w:val="single"/>
            <w:lang w:val="en-GB"/>
          </w:rPr>
          <w:t>http://whohbsagdashboard.com/#global-strategies</w:t>
        </w:r>
      </w:hyperlink>
      <w:r>
        <w:rPr>
          <w:rStyle w:val="normaltextrun"/>
          <w:b/>
          <w:bCs/>
          <w:color w:val="4A4A4A"/>
          <w:sz w:val="21"/>
          <w:szCs w:val="21"/>
          <w:lang w:val="en-GB"/>
        </w:rPr>
        <w:t> </w:t>
      </w:r>
      <w:r>
        <w:rPr>
          <w:rStyle w:val="eop"/>
          <w:color w:val="4A4A4A"/>
          <w:sz w:val="21"/>
          <w:szCs w:val="21"/>
        </w:rPr>
        <w:t> </w:t>
      </w: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72E50" w14:textId="77777777" w:rsidR="00811F41" w:rsidRDefault="00811F41" w:rsidP="00573C0B">
      <w:pPr>
        <w:spacing w:after="0" w:line="240" w:lineRule="auto"/>
      </w:pPr>
      <w:r>
        <w:separator/>
      </w:r>
    </w:p>
  </w:endnote>
  <w:endnote w:type="continuationSeparator" w:id="0">
    <w:p w14:paraId="5EB3D59B" w14:textId="77777777" w:rsidR="00811F41" w:rsidRDefault="00811F41" w:rsidP="00573C0B">
      <w:pPr>
        <w:spacing w:after="0" w:line="240" w:lineRule="auto"/>
      </w:pPr>
      <w:r>
        <w:continuationSeparator/>
      </w:r>
    </w:p>
  </w:endnote>
  <w:endnote w:type="continuationNotice" w:id="1">
    <w:p w14:paraId="5E22D2C2" w14:textId="77777777" w:rsidR="00811F41" w:rsidRDefault="00811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B3A50" w14:textId="77777777" w:rsidR="00811F41" w:rsidRDefault="00811F41" w:rsidP="00573C0B">
      <w:pPr>
        <w:spacing w:after="0" w:line="240" w:lineRule="auto"/>
      </w:pPr>
      <w:r>
        <w:separator/>
      </w:r>
    </w:p>
  </w:footnote>
  <w:footnote w:type="continuationSeparator" w:id="0">
    <w:p w14:paraId="7FF56082" w14:textId="77777777" w:rsidR="00811F41" w:rsidRDefault="00811F41" w:rsidP="00573C0B">
      <w:pPr>
        <w:spacing w:after="0" w:line="240" w:lineRule="auto"/>
      </w:pPr>
      <w:r>
        <w:continuationSeparator/>
      </w:r>
    </w:p>
  </w:footnote>
  <w:footnote w:type="continuationNotice" w:id="1">
    <w:p w14:paraId="0A01A220" w14:textId="77777777" w:rsidR="00811F41" w:rsidRDefault="00811F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4A67F9C"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B46A4">
      <w:rPr>
        <w:color w:val="404040" w:themeColor="text1" w:themeTint="BF"/>
        <w:sz w:val="18"/>
        <w:szCs w:val="18"/>
      </w:rPr>
      <w:t>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7F2"/>
    <w:multiLevelType w:val="multilevel"/>
    <w:tmpl w:val="3ECC6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6499"/>
    <w:multiLevelType w:val="multilevel"/>
    <w:tmpl w:val="269CB17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5544D6"/>
    <w:multiLevelType w:val="multilevel"/>
    <w:tmpl w:val="0B08A7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E4160"/>
    <w:multiLevelType w:val="multilevel"/>
    <w:tmpl w:val="8A4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D1E1F"/>
    <w:multiLevelType w:val="multilevel"/>
    <w:tmpl w:val="7F2668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F21AD"/>
    <w:multiLevelType w:val="multilevel"/>
    <w:tmpl w:val="5636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2611C"/>
    <w:multiLevelType w:val="multilevel"/>
    <w:tmpl w:val="53986DC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5F19CC"/>
    <w:multiLevelType w:val="multilevel"/>
    <w:tmpl w:val="B29A32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4368B"/>
    <w:multiLevelType w:val="multilevel"/>
    <w:tmpl w:val="480688E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E6528"/>
    <w:multiLevelType w:val="multilevel"/>
    <w:tmpl w:val="FCA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424CC8"/>
    <w:multiLevelType w:val="multilevel"/>
    <w:tmpl w:val="AA4EE1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1A062E"/>
    <w:multiLevelType w:val="multilevel"/>
    <w:tmpl w:val="8A4C0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22340"/>
    <w:multiLevelType w:val="multilevel"/>
    <w:tmpl w:val="23A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CF003D"/>
    <w:multiLevelType w:val="multilevel"/>
    <w:tmpl w:val="9B80EE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764DA"/>
    <w:multiLevelType w:val="multilevel"/>
    <w:tmpl w:val="A50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250F9"/>
    <w:multiLevelType w:val="multilevel"/>
    <w:tmpl w:val="4F06F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04A2C"/>
    <w:multiLevelType w:val="multilevel"/>
    <w:tmpl w:val="6956997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03322CF"/>
    <w:multiLevelType w:val="multilevel"/>
    <w:tmpl w:val="248EC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01147"/>
    <w:multiLevelType w:val="multilevel"/>
    <w:tmpl w:val="2D4C0A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B674B"/>
    <w:multiLevelType w:val="multilevel"/>
    <w:tmpl w:val="EE225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05749"/>
    <w:multiLevelType w:val="multilevel"/>
    <w:tmpl w:val="C75CB1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4E5C15"/>
    <w:multiLevelType w:val="multilevel"/>
    <w:tmpl w:val="D6EA6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73A72"/>
    <w:multiLevelType w:val="multilevel"/>
    <w:tmpl w:val="EB3610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3700A"/>
    <w:multiLevelType w:val="multilevel"/>
    <w:tmpl w:val="E4763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563CE"/>
    <w:multiLevelType w:val="multilevel"/>
    <w:tmpl w:val="338E1BB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77D7B84"/>
    <w:multiLevelType w:val="multilevel"/>
    <w:tmpl w:val="AE62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35BAB"/>
    <w:multiLevelType w:val="multilevel"/>
    <w:tmpl w:val="08D09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0A5123"/>
    <w:multiLevelType w:val="multilevel"/>
    <w:tmpl w:val="F8B27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6A86FC9"/>
    <w:multiLevelType w:val="multilevel"/>
    <w:tmpl w:val="9FB6AA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7070BE8"/>
    <w:multiLevelType w:val="multilevel"/>
    <w:tmpl w:val="F13C24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33"/>
  </w:num>
  <w:num w:numId="4">
    <w:abstractNumId w:val="12"/>
  </w:num>
  <w:num w:numId="5">
    <w:abstractNumId w:val="10"/>
  </w:num>
  <w:num w:numId="6">
    <w:abstractNumId w:val="16"/>
  </w:num>
  <w:num w:numId="7">
    <w:abstractNumId w:val="3"/>
  </w:num>
  <w:num w:numId="8">
    <w:abstractNumId w:val="14"/>
  </w:num>
  <w:num w:numId="9">
    <w:abstractNumId w:val="5"/>
  </w:num>
  <w:num w:numId="10">
    <w:abstractNumId w:val="19"/>
  </w:num>
  <w:num w:numId="11">
    <w:abstractNumId w:val="21"/>
  </w:num>
  <w:num w:numId="12">
    <w:abstractNumId w:val="23"/>
  </w:num>
  <w:num w:numId="13">
    <w:abstractNumId w:val="30"/>
  </w:num>
  <w:num w:numId="14">
    <w:abstractNumId w:val="31"/>
  </w:num>
  <w:num w:numId="15">
    <w:abstractNumId w:val="27"/>
  </w:num>
  <w:num w:numId="16">
    <w:abstractNumId w:val="8"/>
  </w:num>
  <w:num w:numId="17">
    <w:abstractNumId w:val="1"/>
  </w:num>
  <w:num w:numId="18">
    <w:abstractNumId w:val="18"/>
  </w:num>
  <w:num w:numId="19">
    <w:abstractNumId w:val="6"/>
  </w:num>
  <w:num w:numId="20">
    <w:abstractNumId w:val="29"/>
  </w:num>
  <w:num w:numId="21">
    <w:abstractNumId w:val="17"/>
  </w:num>
  <w:num w:numId="22">
    <w:abstractNumId w:val="32"/>
  </w:num>
  <w:num w:numId="23">
    <w:abstractNumId w:val="2"/>
  </w:num>
  <w:num w:numId="24">
    <w:abstractNumId w:val="4"/>
  </w:num>
  <w:num w:numId="25">
    <w:abstractNumId w:val="24"/>
  </w:num>
  <w:num w:numId="26">
    <w:abstractNumId w:val="20"/>
  </w:num>
  <w:num w:numId="27">
    <w:abstractNumId w:val="15"/>
  </w:num>
  <w:num w:numId="28">
    <w:abstractNumId w:val="11"/>
  </w:num>
  <w:num w:numId="29">
    <w:abstractNumId w:val="28"/>
  </w:num>
  <w:num w:numId="30">
    <w:abstractNumId w:val="26"/>
  </w:num>
  <w:num w:numId="31">
    <w:abstractNumId w:val="13"/>
  </w:num>
  <w:num w:numId="32">
    <w:abstractNumId w:val="7"/>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D744C"/>
    <w:rsid w:val="000E21F1"/>
    <w:rsid w:val="000F703E"/>
    <w:rsid w:val="00120521"/>
    <w:rsid w:val="00120E86"/>
    <w:rsid w:val="00125DE9"/>
    <w:rsid w:val="001332E0"/>
    <w:rsid w:val="00134DE7"/>
    <w:rsid w:val="00185354"/>
    <w:rsid w:val="001854DC"/>
    <w:rsid w:val="00186795"/>
    <w:rsid w:val="00194D09"/>
    <w:rsid w:val="001A7D5C"/>
    <w:rsid w:val="001B1F4B"/>
    <w:rsid w:val="001B60AA"/>
    <w:rsid w:val="001B63C8"/>
    <w:rsid w:val="001C1972"/>
    <w:rsid w:val="001C421F"/>
    <w:rsid w:val="001D0287"/>
    <w:rsid w:val="001D360D"/>
    <w:rsid w:val="00202E72"/>
    <w:rsid w:val="00261A8D"/>
    <w:rsid w:val="00283C1C"/>
    <w:rsid w:val="00285E9E"/>
    <w:rsid w:val="00291A00"/>
    <w:rsid w:val="00291A11"/>
    <w:rsid w:val="00295823"/>
    <w:rsid w:val="002A315C"/>
    <w:rsid w:val="002A3342"/>
    <w:rsid w:val="002A64BA"/>
    <w:rsid w:val="002A6F58"/>
    <w:rsid w:val="002B4989"/>
    <w:rsid w:val="002B644A"/>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11DB"/>
    <w:rsid w:val="003945B5"/>
    <w:rsid w:val="003A7CEA"/>
    <w:rsid w:val="003E7F5B"/>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542C"/>
    <w:rsid w:val="00507637"/>
    <w:rsid w:val="00507852"/>
    <w:rsid w:val="00514DBF"/>
    <w:rsid w:val="00550921"/>
    <w:rsid w:val="00563712"/>
    <w:rsid w:val="00573631"/>
    <w:rsid w:val="00573C0B"/>
    <w:rsid w:val="0057404F"/>
    <w:rsid w:val="005768D7"/>
    <w:rsid w:val="00576CFA"/>
    <w:rsid w:val="00577011"/>
    <w:rsid w:val="005843FB"/>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08E"/>
    <w:rsid w:val="006C7D30"/>
    <w:rsid w:val="006D539C"/>
    <w:rsid w:val="006E3C08"/>
    <w:rsid w:val="00700ACF"/>
    <w:rsid w:val="007104B6"/>
    <w:rsid w:val="00712487"/>
    <w:rsid w:val="00743235"/>
    <w:rsid w:val="007530CA"/>
    <w:rsid w:val="00756D68"/>
    <w:rsid w:val="007578D9"/>
    <w:rsid w:val="00757E8A"/>
    <w:rsid w:val="00763E43"/>
    <w:rsid w:val="00764EB5"/>
    <w:rsid w:val="00777A95"/>
    <w:rsid w:val="00782416"/>
    <w:rsid w:val="007B0364"/>
    <w:rsid w:val="007D0981"/>
    <w:rsid w:val="007D1929"/>
    <w:rsid w:val="00803CF1"/>
    <w:rsid w:val="008104BB"/>
    <w:rsid w:val="00811F41"/>
    <w:rsid w:val="008249C5"/>
    <w:rsid w:val="00827191"/>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75336"/>
    <w:rsid w:val="009824C6"/>
    <w:rsid w:val="00995C9A"/>
    <w:rsid w:val="009A29CB"/>
    <w:rsid w:val="009A7E3A"/>
    <w:rsid w:val="009B1265"/>
    <w:rsid w:val="009B4A15"/>
    <w:rsid w:val="009B5693"/>
    <w:rsid w:val="009C61A2"/>
    <w:rsid w:val="009C78E4"/>
    <w:rsid w:val="009D687E"/>
    <w:rsid w:val="009F6DE7"/>
    <w:rsid w:val="00A10583"/>
    <w:rsid w:val="00A37FCB"/>
    <w:rsid w:val="00A54863"/>
    <w:rsid w:val="00A6025E"/>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C291C"/>
    <w:rsid w:val="00DD1BC6"/>
    <w:rsid w:val="00DE5DC3"/>
    <w:rsid w:val="00DF2C7D"/>
    <w:rsid w:val="00E00D8A"/>
    <w:rsid w:val="00E1050F"/>
    <w:rsid w:val="00E11604"/>
    <w:rsid w:val="00E11D92"/>
    <w:rsid w:val="00E130A0"/>
    <w:rsid w:val="00E210C4"/>
    <w:rsid w:val="00E23DB7"/>
    <w:rsid w:val="00E25DB0"/>
    <w:rsid w:val="00E46D96"/>
    <w:rsid w:val="00E52CCA"/>
    <w:rsid w:val="00E66409"/>
    <w:rsid w:val="00E73C8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B46A4"/>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A6F58"/>
  </w:style>
  <w:style w:type="character" w:customStyle="1" w:styleId="eop">
    <w:name w:val="eop"/>
    <w:basedOn w:val="DefaultParagraphFont"/>
    <w:rsid w:val="002A6F58"/>
  </w:style>
  <w:style w:type="paragraph" w:customStyle="1" w:styleId="paragraph">
    <w:name w:val="paragraph"/>
    <w:basedOn w:val="Normal"/>
    <w:rsid w:val="002A6F5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2A6F58"/>
  </w:style>
  <w:style w:type="character" w:customStyle="1" w:styleId="scxw86738870">
    <w:name w:val="scxw86738870"/>
    <w:basedOn w:val="DefaultParagraphFont"/>
    <w:rsid w:val="0039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9057">
      <w:bodyDiv w:val="1"/>
      <w:marLeft w:val="0"/>
      <w:marRight w:val="0"/>
      <w:marTop w:val="0"/>
      <w:marBottom w:val="0"/>
      <w:divBdr>
        <w:top w:val="none" w:sz="0" w:space="0" w:color="auto"/>
        <w:left w:val="none" w:sz="0" w:space="0" w:color="auto"/>
        <w:bottom w:val="none" w:sz="0" w:space="0" w:color="auto"/>
        <w:right w:val="none" w:sz="0" w:space="0" w:color="auto"/>
      </w:divBdr>
      <w:divsChild>
        <w:div w:id="254246719">
          <w:marLeft w:val="0"/>
          <w:marRight w:val="0"/>
          <w:marTop w:val="0"/>
          <w:marBottom w:val="0"/>
          <w:divBdr>
            <w:top w:val="none" w:sz="0" w:space="0" w:color="auto"/>
            <w:left w:val="none" w:sz="0" w:space="0" w:color="auto"/>
            <w:bottom w:val="none" w:sz="0" w:space="0" w:color="auto"/>
            <w:right w:val="none" w:sz="0" w:space="0" w:color="auto"/>
          </w:divBdr>
        </w:div>
        <w:div w:id="1205677109">
          <w:marLeft w:val="0"/>
          <w:marRight w:val="0"/>
          <w:marTop w:val="0"/>
          <w:marBottom w:val="0"/>
          <w:divBdr>
            <w:top w:val="none" w:sz="0" w:space="0" w:color="auto"/>
            <w:left w:val="none" w:sz="0" w:space="0" w:color="auto"/>
            <w:bottom w:val="none" w:sz="0" w:space="0" w:color="auto"/>
            <w:right w:val="none" w:sz="0" w:space="0" w:color="auto"/>
          </w:divBdr>
        </w:div>
      </w:divsChild>
    </w:div>
    <w:div w:id="292828417">
      <w:bodyDiv w:val="1"/>
      <w:marLeft w:val="0"/>
      <w:marRight w:val="0"/>
      <w:marTop w:val="0"/>
      <w:marBottom w:val="0"/>
      <w:divBdr>
        <w:top w:val="none" w:sz="0" w:space="0" w:color="auto"/>
        <w:left w:val="none" w:sz="0" w:space="0" w:color="auto"/>
        <w:bottom w:val="none" w:sz="0" w:space="0" w:color="auto"/>
        <w:right w:val="none" w:sz="0" w:space="0" w:color="auto"/>
      </w:divBdr>
      <w:divsChild>
        <w:div w:id="2056276050">
          <w:marLeft w:val="0"/>
          <w:marRight w:val="0"/>
          <w:marTop w:val="0"/>
          <w:marBottom w:val="0"/>
          <w:divBdr>
            <w:top w:val="none" w:sz="0" w:space="0" w:color="auto"/>
            <w:left w:val="none" w:sz="0" w:space="0" w:color="auto"/>
            <w:bottom w:val="none" w:sz="0" w:space="0" w:color="auto"/>
            <w:right w:val="none" w:sz="0" w:space="0" w:color="auto"/>
          </w:divBdr>
        </w:div>
        <w:div w:id="507254489">
          <w:marLeft w:val="0"/>
          <w:marRight w:val="0"/>
          <w:marTop w:val="0"/>
          <w:marBottom w:val="0"/>
          <w:divBdr>
            <w:top w:val="none" w:sz="0" w:space="0" w:color="auto"/>
            <w:left w:val="none" w:sz="0" w:space="0" w:color="auto"/>
            <w:bottom w:val="none" w:sz="0" w:space="0" w:color="auto"/>
            <w:right w:val="none" w:sz="0" w:space="0" w:color="auto"/>
          </w:divBdr>
        </w:div>
      </w:divsChild>
    </w:div>
    <w:div w:id="349647251">
      <w:bodyDiv w:val="1"/>
      <w:marLeft w:val="0"/>
      <w:marRight w:val="0"/>
      <w:marTop w:val="0"/>
      <w:marBottom w:val="0"/>
      <w:divBdr>
        <w:top w:val="none" w:sz="0" w:space="0" w:color="auto"/>
        <w:left w:val="none" w:sz="0" w:space="0" w:color="auto"/>
        <w:bottom w:val="none" w:sz="0" w:space="0" w:color="auto"/>
        <w:right w:val="none" w:sz="0" w:space="0" w:color="auto"/>
      </w:divBdr>
      <w:divsChild>
        <w:div w:id="859320197">
          <w:marLeft w:val="0"/>
          <w:marRight w:val="0"/>
          <w:marTop w:val="0"/>
          <w:marBottom w:val="0"/>
          <w:divBdr>
            <w:top w:val="none" w:sz="0" w:space="0" w:color="auto"/>
            <w:left w:val="none" w:sz="0" w:space="0" w:color="auto"/>
            <w:bottom w:val="none" w:sz="0" w:space="0" w:color="auto"/>
            <w:right w:val="none" w:sz="0" w:space="0" w:color="auto"/>
          </w:divBdr>
        </w:div>
        <w:div w:id="168297586">
          <w:marLeft w:val="0"/>
          <w:marRight w:val="0"/>
          <w:marTop w:val="0"/>
          <w:marBottom w:val="0"/>
          <w:divBdr>
            <w:top w:val="none" w:sz="0" w:space="0" w:color="auto"/>
            <w:left w:val="none" w:sz="0" w:space="0" w:color="auto"/>
            <w:bottom w:val="none" w:sz="0" w:space="0" w:color="auto"/>
            <w:right w:val="none" w:sz="0" w:space="0" w:color="auto"/>
          </w:divBdr>
        </w:div>
        <w:div w:id="620188710">
          <w:marLeft w:val="0"/>
          <w:marRight w:val="0"/>
          <w:marTop w:val="0"/>
          <w:marBottom w:val="0"/>
          <w:divBdr>
            <w:top w:val="none" w:sz="0" w:space="0" w:color="auto"/>
            <w:left w:val="none" w:sz="0" w:space="0" w:color="auto"/>
            <w:bottom w:val="none" w:sz="0" w:space="0" w:color="auto"/>
            <w:right w:val="none" w:sz="0" w:space="0" w:color="auto"/>
          </w:divBdr>
        </w:div>
        <w:div w:id="1635910818">
          <w:marLeft w:val="0"/>
          <w:marRight w:val="0"/>
          <w:marTop w:val="0"/>
          <w:marBottom w:val="0"/>
          <w:divBdr>
            <w:top w:val="none" w:sz="0" w:space="0" w:color="auto"/>
            <w:left w:val="none" w:sz="0" w:space="0" w:color="auto"/>
            <w:bottom w:val="none" w:sz="0" w:space="0" w:color="auto"/>
            <w:right w:val="none" w:sz="0" w:space="0" w:color="auto"/>
          </w:divBdr>
        </w:div>
        <w:div w:id="1102844458">
          <w:marLeft w:val="0"/>
          <w:marRight w:val="0"/>
          <w:marTop w:val="0"/>
          <w:marBottom w:val="0"/>
          <w:divBdr>
            <w:top w:val="none" w:sz="0" w:space="0" w:color="auto"/>
            <w:left w:val="none" w:sz="0" w:space="0" w:color="auto"/>
            <w:bottom w:val="none" w:sz="0" w:space="0" w:color="auto"/>
            <w:right w:val="none" w:sz="0" w:space="0" w:color="auto"/>
          </w:divBdr>
        </w:div>
        <w:div w:id="1636643072">
          <w:marLeft w:val="0"/>
          <w:marRight w:val="0"/>
          <w:marTop w:val="0"/>
          <w:marBottom w:val="0"/>
          <w:divBdr>
            <w:top w:val="none" w:sz="0" w:space="0" w:color="auto"/>
            <w:left w:val="none" w:sz="0" w:space="0" w:color="auto"/>
            <w:bottom w:val="none" w:sz="0" w:space="0" w:color="auto"/>
            <w:right w:val="none" w:sz="0" w:space="0" w:color="auto"/>
          </w:divBdr>
        </w:div>
        <w:div w:id="1369834260">
          <w:marLeft w:val="0"/>
          <w:marRight w:val="0"/>
          <w:marTop w:val="0"/>
          <w:marBottom w:val="0"/>
          <w:divBdr>
            <w:top w:val="none" w:sz="0" w:space="0" w:color="auto"/>
            <w:left w:val="none" w:sz="0" w:space="0" w:color="auto"/>
            <w:bottom w:val="none" w:sz="0" w:space="0" w:color="auto"/>
            <w:right w:val="none" w:sz="0" w:space="0" w:color="auto"/>
          </w:divBdr>
        </w:div>
        <w:div w:id="340737967">
          <w:marLeft w:val="0"/>
          <w:marRight w:val="0"/>
          <w:marTop w:val="0"/>
          <w:marBottom w:val="0"/>
          <w:divBdr>
            <w:top w:val="none" w:sz="0" w:space="0" w:color="auto"/>
            <w:left w:val="none" w:sz="0" w:space="0" w:color="auto"/>
            <w:bottom w:val="none" w:sz="0" w:space="0" w:color="auto"/>
            <w:right w:val="none" w:sz="0" w:space="0" w:color="auto"/>
          </w:divBdr>
        </w:div>
        <w:div w:id="1195196582">
          <w:marLeft w:val="0"/>
          <w:marRight w:val="0"/>
          <w:marTop w:val="0"/>
          <w:marBottom w:val="0"/>
          <w:divBdr>
            <w:top w:val="none" w:sz="0" w:space="0" w:color="auto"/>
            <w:left w:val="none" w:sz="0" w:space="0" w:color="auto"/>
            <w:bottom w:val="none" w:sz="0" w:space="0" w:color="auto"/>
            <w:right w:val="none" w:sz="0" w:space="0" w:color="auto"/>
          </w:divBdr>
        </w:div>
        <w:div w:id="825515287">
          <w:marLeft w:val="0"/>
          <w:marRight w:val="0"/>
          <w:marTop w:val="0"/>
          <w:marBottom w:val="0"/>
          <w:divBdr>
            <w:top w:val="none" w:sz="0" w:space="0" w:color="auto"/>
            <w:left w:val="none" w:sz="0" w:space="0" w:color="auto"/>
            <w:bottom w:val="none" w:sz="0" w:space="0" w:color="auto"/>
            <w:right w:val="none" w:sz="0" w:space="0" w:color="auto"/>
          </w:divBdr>
        </w:div>
        <w:div w:id="1902248995">
          <w:marLeft w:val="0"/>
          <w:marRight w:val="0"/>
          <w:marTop w:val="0"/>
          <w:marBottom w:val="0"/>
          <w:divBdr>
            <w:top w:val="none" w:sz="0" w:space="0" w:color="auto"/>
            <w:left w:val="none" w:sz="0" w:space="0" w:color="auto"/>
            <w:bottom w:val="none" w:sz="0" w:space="0" w:color="auto"/>
            <w:right w:val="none" w:sz="0" w:space="0" w:color="auto"/>
          </w:divBdr>
        </w:div>
        <w:div w:id="1152024076">
          <w:marLeft w:val="0"/>
          <w:marRight w:val="0"/>
          <w:marTop w:val="0"/>
          <w:marBottom w:val="0"/>
          <w:divBdr>
            <w:top w:val="none" w:sz="0" w:space="0" w:color="auto"/>
            <w:left w:val="none" w:sz="0" w:space="0" w:color="auto"/>
            <w:bottom w:val="none" w:sz="0" w:space="0" w:color="auto"/>
            <w:right w:val="none" w:sz="0" w:space="0" w:color="auto"/>
          </w:divBdr>
        </w:div>
        <w:div w:id="946348513">
          <w:marLeft w:val="0"/>
          <w:marRight w:val="0"/>
          <w:marTop w:val="0"/>
          <w:marBottom w:val="0"/>
          <w:divBdr>
            <w:top w:val="none" w:sz="0" w:space="0" w:color="auto"/>
            <w:left w:val="none" w:sz="0" w:space="0" w:color="auto"/>
            <w:bottom w:val="none" w:sz="0" w:space="0" w:color="auto"/>
            <w:right w:val="none" w:sz="0" w:space="0" w:color="auto"/>
          </w:divBdr>
        </w:div>
        <w:div w:id="1376853614">
          <w:marLeft w:val="0"/>
          <w:marRight w:val="0"/>
          <w:marTop w:val="0"/>
          <w:marBottom w:val="0"/>
          <w:divBdr>
            <w:top w:val="none" w:sz="0" w:space="0" w:color="auto"/>
            <w:left w:val="none" w:sz="0" w:space="0" w:color="auto"/>
            <w:bottom w:val="none" w:sz="0" w:space="0" w:color="auto"/>
            <w:right w:val="none" w:sz="0" w:space="0" w:color="auto"/>
          </w:divBdr>
        </w:div>
        <w:div w:id="1903519443">
          <w:marLeft w:val="0"/>
          <w:marRight w:val="0"/>
          <w:marTop w:val="0"/>
          <w:marBottom w:val="0"/>
          <w:divBdr>
            <w:top w:val="none" w:sz="0" w:space="0" w:color="auto"/>
            <w:left w:val="none" w:sz="0" w:space="0" w:color="auto"/>
            <w:bottom w:val="none" w:sz="0" w:space="0" w:color="auto"/>
            <w:right w:val="none" w:sz="0" w:space="0" w:color="auto"/>
          </w:divBdr>
        </w:div>
        <w:div w:id="1711567440">
          <w:marLeft w:val="0"/>
          <w:marRight w:val="0"/>
          <w:marTop w:val="0"/>
          <w:marBottom w:val="0"/>
          <w:divBdr>
            <w:top w:val="none" w:sz="0" w:space="0" w:color="auto"/>
            <w:left w:val="none" w:sz="0" w:space="0" w:color="auto"/>
            <w:bottom w:val="none" w:sz="0" w:space="0" w:color="auto"/>
            <w:right w:val="none" w:sz="0" w:space="0" w:color="auto"/>
          </w:divBdr>
        </w:div>
      </w:divsChild>
    </w:div>
    <w:div w:id="429279409">
      <w:bodyDiv w:val="1"/>
      <w:marLeft w:val="0"/>
      <w:marRight w:val="0"/>
      <w:marTop w:val="0"/>
      <w:marBottom w:val="0"/>
      <w:divBdr>
        <w:top w:val="none" w:sz="0" w:space="0" w:color="auto"/>
        <w:left w:val="none" w:sz="0" w:space="0" w:color="auto"/>
        <w:bottom w:val="none" w:sz="0" w:space="0" w:color="auto"/>
        <w:right w:val="none" w:sz="0" w:space="0" w:color="auto"/>
      </w:divBdr>
      <w:divsChild>
        <w:div w:id="810245894">
          <w:marLeft w:val="0"/>
          <w:marRight w:val="0"/>
          <w:marTop w:val="0"/>
          <w:marBottom w:val="0"/>
          <w:divBdr>
            <w:top w:val="none" w:sz="0" w:space="0" w:color="auto"/>
            <w:left w:val="none" w:sz="0" w:space="0" w:color="auto"/>
            <w:bottom w:val="none" w:sz="0" w:space="0" w:color="auto"/>
            <w:right w:val="none" w:sz="0" w:space="0" w:color="auto"/>
          </w:divBdr>
        </w:div>
        <w:div w:id="378169028">
          <w:marLeft w:val="0"/>
          <w:marRight w:val="0"/>
          <w:marTop w:val="0"/>
          <w:marBottom w:val="0"/>
          <w:divBdr>
            <w:top w:val="none" w:sz="0" w:space="0" w:color="auto"/>
            <w:left w:val="none" w:sz="0" w:space="0" w:color="auto"/>
            <w:bottom w:val="none" w:sz="0" w:space="0" w:color="auto"/>
            <w:right w:val="none" w:sz="0" w:space="0" w:color="auto"/>
          </w:divBdr>
        </w:div>
      </w:divsChild>
    </w:div>
    <w:div w:id="444496278">
      <w:bodyDiv w:val="1"/>
      <w:marLeft w:val="0"/>
      <w:marRight w:val="0"/>
      <w:marTop w:val="0"/>
      <w:marBottom w:val="0"/>
      <w:divBdr>
        <w:top w:val="none" w:sz="0" w:space="0" w:color="auto"/>
        <w:left w:val="none" w:sz="0" w:space="0" w:color="auto"/>
        <w:bottom w:val="none" w:sz="0" w:space="0" w:color="auto"/>
        <w:right w:val="none" w:sz="0" w:space="0" w:color="auto"/>
      </w:divBdr>
      <w:divsChild>
        <w:div w:id="1190682035">
          <w:marLeft w:val="0"/>
          <w:marRight w:val="0"/>
          <w:marTop w:val="0"/>
          <w:marBottom w:val="0"/>
          <w:divBdr>
            <w:top w:val="none" w:sz="0" w:space="0" w:color="auto"/>
            <w:left w:val="none" w:sz="0" w:space="0" w:color="auto"/>
            <w:bottom w:val="none" w:sz="0" w:space="0" w:color="auto"/>
            <w:right w:val="none" w:sz="0" w:space="0" w:color="auto"/>
          </w:divBdr>
        </w:div>
        <w:div w:id="910893724">
          <w:marLeft w:val="0"/>
          <w:marRight w:val="0"/>
          <w:marTop w:val="0"/>
          <w:marBottom w:val="0"/>
          <w:divBdr>
            <w:top w:val="none" w:sz="0" w:space="0" w:color="auto"/>
            <w:left w:val="none" w:sz="0" w:space="0" w:color="auto"/>
            <w:bottom w:val="none" w:sz="0" w:space="0" w:color="auto"/>
            <w:right w:val="none" w:sz="0" w:space="0" w:color="auto"/>
          </w:divBdr>
        </w:div>
        <w:div w:id="1225332177">
          <w:marLeft w:val="0"/>
          <w:marRight w:val="0"/>
          <w:marTop w:val="0"/>
          <w:marBottom w:val="0"/>
          <w:divBdr>
            <w:top w:val="none" w:sz="0" w:space="0" w:color="auto"/>
            <w:left w:val="none" w:sz="0" w:space="0" w:color="auto"/>
            <w:bottom w:val="none" w:sz="0" w:space="0" w:color="auto"/>
            <w:right w:val="none" w:sz="0" w:space="0" w:color="auto"/>
          </w:divBdr>
        </w:div>
        <w:div w:id="1891921654">
          <w:marLeft w:val="0"/>
          <w:marRight w:val="0"/>
          <w:marTop w:val="0"/>
          <w:marBottom w:val="0"/>
          <w:divBdr>
            <w:top w:val="none" w:sz="0" w:space="0" w:color="auto"/>
            <w:left w:val="none" w:sz="0" w:space="0" w:color="auto"/>
            <w:bottom w:val="none" w:sz="0" w:space="0" w:color="auto"/>
            <w:right w:val="none" w:sz="0" w:space="0" w:color="auto"/>
          </w:divBdr>
        </w:div>
        <w:div w:id="1942299811">
          <w:marLeft w:val="0"/>
          <w:marRight w:val="0"/>
          <w:marTop w:val="0"/>
          <w:marBottom w:val="0"/>
          <w:divBdr>
            <w:top w:val="none" w:sz="0" w:space="0" w:color="auto"/>
            <w:left w:val="none" w:sz="0" w:space="0" w:color="auto"/>
            <w:bottom w:val="none" w:sz="0" w:space="0" w:color="auto"/>
            <w:right w:val="none" w:sz="0" w:space="0" w:color="auto"/>
          </w:divBdr>
        </w:div>
        <w:div w:id="155191400">
          <w:marLeft w:val="0"/>
          <w:marRight w:val="0"/>
          <w:marTop w:val="0"/>
          <w:marBottom w:val="0"/>
          <w:divBdr>
            <w:top w:val="none" w:sz="0" w:space="0" w:color="auto"/>
            <w:left w:val="none" w:sz="0" w:space="0" w:color="auto"/>
            <w:bottom w:val="none" w:sz="0" w:space="0" w:color="auto"/>
            <w:right w:val="none" w:sz="0" w:space="0" w:color="auto"/>
          </w:divBdr>
        </w:div>
        <w:div w:id="2073966454">
          <w:marLeft w:val="0"/>
          <w:marRight w:val="0"/>
          <w:marTop w:val="0"/>
          <w:marBottom w:val="0"/>
          <w:divBdr>
            <w:top w:val="none" w:sz="0" w:space="0" w:color="auto"/>
            <w:left w:val="none" w:sz="0" w:space="0" w:color="auto"/>
            <w:bottom w:val="none" w:sz="0" w:space="0" w:color="auto"/>
            <w:right w:val="none" w:sz="0" w:space="0" w:color="auto"/>
          </w:divBdr>
        </w:div>
        <w:div w:id="803474103">
          <w:marLeft w:val="0"/>
          <w:marRight w:val="0"/>
          <w:marTop w:val="0"/>
          <w:marBottom w:val="0"/>
          <w:divBdr>
            <w:top w:val="none" w:sz="0" w:space="0" w:color="auto"/>
            <w:left w:val="none" w:sz="0" w:space="0" w:color="auto"/>
            <w:bottom w:val="none" w:sz="0" w:space="0" w:color="auto"/>
            <w:right w:val="none" w:sz="0" w:space="0" w:color="auto"/>
          </w:divBdr>
        </w:div>
        <w:div w:id="634677821">
          <w:marLeft w:val="0"/>
          <w:marRight w:val="0"/>
          <w:marTop w:val="0"/>
          <w:marBottom w:val="0"/>
          <w:divBdr>
            <w:top w:val="none" w:sz="0" w:space="0" w:color="auto"/>
            <w:left w:val="none" w:sz="0" w:space="0" w:color="auto"/>
            <w:bottom w:val="none" w:sz="0" w:space="0" w:color="auto"/>
            <w:right w:val="none" w:sz="0" w:space="0" w:color="auto"/>
          </w:divBdr>
        </w:div>
        <w:div w:id="1077246738">
          <w:marLeft w:val="0"/>
          <w:marRight w:val="0"/>
          <w:marTop w:val="0"/>
          <w:marBottom w:val="0"/>
          <w:divBdr>
            <w:top w:val="none" w:sz="0" w:space="0" w:color="auto"/>
            <w:left w:val="none" w:sz="0" w:space="0" w:color="auto"/>
            <w:bottom w:val="none" w:sz="0" w:space="0" w:color="auto"/>
            <w:right w:val="none" w:sz="0" w:space="0" w:color="auto"/>
          </w:divBdr>
        </w:div>
        <w:div w:id="473477">
          <w:marLeft w:val="0"/>
          <w:marRight w:val="0"/>
          <w:marTop w:val="0"/>
          <w:marBottom w:val="0"/>
          <w:divBdr>
            <w:top w:val="none" w:sz="0" w:space="0" w:color="auto"/>
            <w:left w:val="none" w:sz="0" w:space="0" w:color="auto"/>
            <w:bottom w:val="none" w:sz="0" w:space="0" w:color="auto"/>
            <w:right w:val="none" w:sz="0" w:space="0" w:color="auto"/>
          </w:divBdr>
        </w:div>
        <w:div w:id="840894930">
          <w:marLeft w:val="0"/>
          <w:marRight w:val="0"/>
          <w:marTop w:val="0"/>
          <w:marBottom w:val="0"/>
          <w:divBdr>
            <w:top w:val="none" w:sz="0" w:space="0" w:color="auto"/>
            <w:left w:val="none" w:sz="0" w:space="0" w:color="auto"/>
            <w:bottom w:val="none" w:sz="0" w:space="0" w:color="auto"/>
            <w:right w:val="none" w:sz="0" w:space="0" w:color="auto"/>
          </w:divBdr>
        </w:div>
        <w:div w:id="915087597">
          <w:marLeft w:val="0"/>
          <w:marRight w:val="0"/>
          <w:marTop w:val="0"/>
          <w:marBottom w:val="0"/>
          <w:divBdr>
            <w:top w:val="none" w:sz="0" w:space="0" w:color="auto"/>
            <w:left w:val="none" w:sz="0" w:space="0" w:color="auto"/>
            <w:bottom w:val="none" w:sz="0" w:space="0" w:color="auto"/>
            <w:right w:val="none" w:sz="0" w:space="0" w:color="auto"/>
          </w:divBdr>
        </w:div>
        <w:div w:id="1012727831">
          <w:marLeft w:val="0"/>
          <w:marRight w:val="0"/>
          <w:marTop w:val="0"/>
          <w:marBottom w:val="0"/>
          <w:divBdr>
            <w:top w:val="none" w:sz="0" w:space="0" w:color="auto"/>
            <w:left w:val="none" w:sz="0" w:space="0" w:color="auto"/>
            <w:bottom w:val="none" w:sz="0" w:space="0" w:color="auto"/>
            <w:right w:val="none" w:sz="0" w:space="0" w:color="auto"/>
          </w:divBdr>
        </w:div>
        <w:div w:id="1739471067">
          <w:marLeft w:val="0"/>
          <w:marRight w:val="0"/>
          <w:marTop w:val="0"/>
          <w:marBottom w:val="0"/>
          <w:divBdr>
            <w:top w:val="none" w:sz="0" w:space="0" w:color="auto"/>
            <w:left w:val="none" w:sz="0" w:space="0" w:color="auto"/>
            <w:bottom w:val="none" w:sz="0" w:space="0" w:color="auto"/>
            <w:right w:val="none" w:sz="0" w:space="0" w:color="auto"/>
          </w:divBdr>
        </w:div>
        <w:div w:id="1298530411">
          <w:marLeft w:val="0"/>
          <w:marRight w:val="0"/>
          <w:marTop w:val="0"/>
          <w:marBottom w:val="0"/>
          <w:divBdr>
            <w:top w:val="none" w:sz="0" w:space="0" w:color="auto"/>
            <w:left w:val="none" w:sz="0" w:space="0" w:color="auto"/>
            <w:bottom w:val="none" w:sz="0" w:space="0" w:color="auto"/>
            <w:right w:val="none" w:sz="0" w:space="0" w:color="auto"/>
          </w:divBdr>
        </w:div>
        <w:div w:id="544558580">
          <w:marLeft w:val="0"/>
          <w:marRight w:val="0"/>
          <w:marTop w:val="0"/>
          <w:marBottom w:val="0"/>
          <w:divBdr>
            <w:top w:val="none" w:sz="0" w:space="0" w:color="auto"/>
            <w:left w:val="none" w:sz="0" w:space="0" w:color="auto"/>
            <w:bottom w:val="none" w:sz="0" w:space="0" w:color="auto"/>
            <w:right w:val="none" w:sz="0" w:space="0" w:color="auto"/>
          </w:divBdr>
        </w:div>
        <w:div w:id="762188574">
          <w:marLeft w:val="0"/>
          <w:marRight w:val="0"/>
          <w:marTop w:val="0"/>
          <w:marBottom w:val="0"/>
          <w:divBdr>
            <w:top w:val="none" w:sz="0" w:space="0" w:color="auto"/>
            <w:left w:val="none" w:sz="0" w:space="0" w:color="auto"/>
            <w:bottom w:val="none" w:sz="0" w:space="0" w:color="auto"/>
            <w:right w:val="none" w:sz="0" w:space="0" w:color="auto"/>
          </w:divBdr>
        </w:div>
        <w:div w:id="1628776923">
          <w:marLeft w:val="0"/>
          <w:marRight w:val="0"/>
          <w:marTop w:val="0"/>
          <w:marBottom w:val="0"/>
          <w:divBdr>
            <w:top w:val="none" w:sz="0" w:space="0" w:color="auto"/>
            <w:left w:val="none" w:sz="0" w:space="0" w:color="auto"/>
            <w:bottom w:val="none" w:sz="0" w:space="0" w:color="auto"/>
            <w:right w:val="none" w:sz="0" w:space="0" w:color="auto"/>
          </w:divBdr>
        </w:div>
        <w:div w:id="1398170568">
          <w:marLeft w:val="0"/>
          <w:marRight w:val="0"/>
          <w:marTop w:val="0"/>
          <w:marBottom w:val="0"/>
          <w:divBdr>
            <w:top w:val="none" w:sz="0" w:space="0" w:color="auto"/>
            <w:left w:val="none" w:sz="0" w:space="0" w:color="auto"/>
            <w:bottom w:val="none" w:sz="0" w:space="0" w:color="auto"/>
            <w:right w:val="none" w:sz="0" w:space="0" w:color="auto"/>
          </w:divBdr>
        </w:div>
      </w:divsChild>
    </w:div>
    <w:div w:id="720330030">
      <w:bodyDiv w:val="1"/>
      <w:marLeft w:val="0"/>
      <w:marRight w:val="0"/>
      <w:marTop w:val="0"/>
      <w:marBottom w:val="0"/>
      <w:divBdr>
        <w:top w:val="none" w:sz="0" w:space="0" w:color="auto"/>
        <w:left w:val="none" w:sz="0" w:space="0" w:color="auto"/>
        <w:bottom w:val="none" w:sz="0" w:space="0" w:color="auto"/>
        <w:right w:val="none" w:sz="0" w:space="0" w:color="auto"/>
      </w:divBdr>
      <w:divsChild>
        <w:div w:id="1896549830">
          <w:marLeft w:val="0"/>
          <w:marRight w:val="0"/>
          <w:marTop w:val="0"/>
          <w:marBottom w:val="0"/>
          <w:divBdr>
            <w:top w:val="none" w:sz="0" w:space="0" w:color="auto"/>
            <w:left w:val="none" w:sz="0" w:space="0" w:color="auto"/>
            <w:bottom w:val="none" w:sz="0" w:space="0" w:color="auto"/>
            <w:right w:val="none" w:sz="0" w:space="0" w:color="auto"/>
          </w:divBdr>
          <w:divsChild>
            <w:div w:id="1765418332">
              <w:marLeft w:val="0"/>
              <w:marRight w:val="0"/>
              <w:marTop w:val="0"/>
              <w:marBottom w:val="0"/>
              <w:divBdr>
                <w:top w:val="none" w:sz="0" w:space="0" w:color="auto"/>
                <w:left w:val="none" w:sz="0" w:space="0" w:color="auto"/>
                <w:bottom w:val="none" w:sz="0" w:space="0" w:color="auto"/>
                <w:right w:val="none" w:sz="0" w:space="0" w:color="auto"/>
              </w:divBdr>
            </w:div>
            <w:div w:id="1218055902">
              <w:marLeft w:val="0"/>
              <w:marRight w:val="0"/>
              <w:marTop w:val="0"/>
              <w:marBottom w:val="0"/>
              <w:divBdr>
                <w:top w:val="none" w:sz="0" w:space="0" w:color="auto"/>
                <w:left w:val="none" w:sz="0" w:space="0" w:color="auto"/>
                <w:bottom w:val="none" w:sz="0" w:space="0" w:color="auto"/>
                <w:right w:val="none" w:sz="0" w:space="0" w:color="auto"/>
              </w:divBdr>
            </w:div>
          </w:divsChild>
        </w:div>
        <w:div w:id="1829975612">
          <w:marLeft w:val="0"/>
          <w:marRight w:val="0"/>
          <w:marTop w:val="0"/>
          <w:marBottom w:val="0"/>
          <w:divBdr>
            <w:top w:val="none" w:sz="0" w:space="0" w:color="auto"/>
            <w:left w:val="none" w:sz="0" w:space="0" w:color="auto"/>
            <w:bottom w:val="none" w:sz="0" w:space="0" w:color="auto"/>
            <w:right w:val="none" w:sz="0" w:space="0" w:color="auto"/>
          </w:divBdr>
        </w:div>
        <w:div w:id="645355388">
          <w:marLeft w:val="0"/>
          <w:marRight w:val="0"/>
          <w:marTop w:val="0"/>
          <w:marBottom w:val="0"/>
          <w:divBdr>
            <w:top w:val="none" w:sz="0" w:space="0" w:color="auto"/>
            <w:left w:val="none" w:sz="0" w:space="0" w:color="auto"/>
            <w:bottom w:val="none" w:sz="0" w:space="0" w:color="auto"/>
            <w:right w:val="none" w:sz="0" w:space="0" w:color="auto"/>
          </w:divBdr>
        </w:div>
        <w:div w:id="1133328366">
          <w:marLeft w:val="0"/>
          <w:marRight w:val="0"/>
          <w:marTop w:val="0"/>
          <w:marBottom w:val="0"/>
          <w:divBdr>
            <w:top w:val="none" w:sz="0" w:space="0" w:color="auto"/>
            <w:left w:val="none" w:sz="0" w:space="0" w:color="auto"/>
            <w:bottom w:val="none" w:sz="0" w:space="0" w:color="auto"/>
            <w:right w:val="none" w:sz="0" w:space="0" w:color="auto"/>
          </w:divBdr>
        </w:div>
        <w:div w:id="977149716">
          <w:marLeft w:val="0"/>
          <w:marRight w:val="0"/>
          <w:marTop w:val="0"/>
          <w:marBottom w:val="0"/>
          <w:divBdr>
            <w:top w:val="none" w:sz="0" w:space="0" w:color="auto"/>
            <w:left w:val="none" w:sz="0" w:space="0" w:color="auto"/>
            <w:bottom w:val="none" w:sz="0" w:space="0" w:color="auto"/>
            <w:right w:val="none" w:sz="0" w:space="0" w:color="auto"/>
          </w:divBdr>
        </w:div>
        <w:div w:id="1602910256">
          <w:marLeft w:val="0"/>
          <w:marRight w:val="0"/>
          <w:marTop w:val="0"/>
          <w:marBottom w:val="0"/>
          <w:divBdr>
            <w:top w:val="none" w:sz="0" w:space="0" w:color="auto"/>
            <w:left w:val="none" w:sz="0" w:space="0" w:color="auto"/>
            <w:bottom w:val="none" w:sz="0" w:space="0" w:color="auto"/>
            <w:right w:val="none" w:sz="0" w:space="0" w:color="auto"/>
          </w:divBdr>
        </w:div>
        <w:div w:id="1013921750">
          <w:marLeft w:val="0"/>
          <w:marRight w:val="0"/>
          <w:marTop w:val="0"/>
          <w:marBottom w:val="0"/>
          <w:divBdr>
            <w:top w:val="none" w:sz="0" w:space="0" w:color="auto"/>
            <w:left w:val="none" w:sz="0" w:space="0" w:color="auto"/>
            <w:bottom w:val="none" w:sz="0" w:space="0" w:color="auto"/>
            <w:right w:val="none" w:sz="0" w:space="0" w:color="auto"/>
          </w:divBdr>
          <w:divsChild>
            <w:div w:id="1873610472">
              <w:marLeft w:val="0"/>
              <w:marRight w:val="0"/>
              <w:marTop w:val="0"/>
              <w:marBottom w:val="0"/>
              <w:divBdr>
                <w:top w:val="none" w:sz="0" w:space="0" w:color="auto"/>
                <w:left w:val="none" w:sz="0" w:space="0" w:color="auto"/>
                <w:bottom w:val="none" w:sz="0" w:space="0" w:color="auto"/>
                <w:right w:val="none" w:sz="0" w:space="0" w:color="auto"/>
              </w:divBdr>
            </w:div>
            <w:div w:id="148137199">
              <w:marLeft w:val="0"/>
              <w:marRight w:val="0"/>
              <w:marTop w:val="0"/>
              <w:marBottom w:val="0"/>
              <w:divBdr>
                <w:top w:val="none" w:sz="0" w:space="0" w:color="auto"/>
                <w:left w:val="none" w:sz="0" w:space="0" w:color="auto"/>
                <w:bottom w:val="none" w:sz="0" w:space="0" w:color="auto"/>
                <w:right w:val="none" w:sz="0" w:space="0" w:color="auto"/>
              </w:divBdr>
            </w:div>
            <w:div w:id="691227951">
              <w:marLeft w:val="0"/>
              <w:marRight w:val="0"/>
              <w:marTop w:val="0"/>
              <w:marBottom w:val="0"/>
              <w:divBdr>
                <w:top w:val="none" w:sz="0" w:space="0" w:color="auto"/>
                <w:left w:val="none" w:sz="0" w:space="0" w:color="auto"/>
                <w:bottom w:val="none" w:sz="0" w:space="0" w:color="auto"/>
                <w:right w:val="none" w:sz="0" w:space="0" w:color="auto"/>
              </w:divBdr>
            </w:div>
            <w:div w:id="5583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8067">
      <w:bodyDiv w:val="1"/>
      <w:marLeft w:val="0"/>
      <w:marRight w:val="0"/>
      <w:marTop w:val="0"/>
      <w:marBottom w:val="0"/>
      <w:divBdr>
        <w:top w:val="none" w:sz="0" w:space="0" w:color="auto"/>
        <w:left w:val="none" w:sz="0" w:space="0" w:color="auto"/>
        <w:bottom w:val="none" w:sz="0" w:space="0" w:color="auto"/>
        <w:right w:val="none" w:sz="0" w:space="0" w:color="auto"/>
      </w:divBdr>
      <w:divsChild>
        <w:div w:id="523248723">
          <w:marLeft w:val="0"/>
          <w:marRight w:val="0"/>
          <w:marTop w:val="0"/>
          <w:marBottom w:val="0"/>
          <w:divBdr>
            <w:top w:val="none" w:sz="0" w:space="0" w:color="auto"/>
            <w:left w:val="none" w:sz="0" w:space="0" w:color="auto"/>
            <w:bottom w:val="none" w:sz="0" w:space="0" w:color="auto"/>
            <w:right w:val="none" w:sz="0" w:space="0" w:color="auto"/>
          </w:divBdr>
        </w:div>
        <w:div w:id="105319061">
          <w:marLeft w:val="0"/>
          <w:marRight w:val="0"/>
          <w:marTop w:val="0"/>
          <w:marBottom w:val="0"/>
          <w:divBdr>
            <w:top w:val="none" w:sz="0" w:space="0" w:color="auto"/>
            <w:left w:val="none" w:sz="0" w:space="0" w:color="auto"/>
            <w:bottom w:val="none" w:sz="0" w:space="0" w:color="auto"/>
            <w:right w:val="none" w:sz="0" w:space="0" w:color="auto"/>
          </w:divBdr>
        </w:div>
        <w:div w:id="272789920">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3182904">
      <w:bodyDiv w:val="1"/>
      <w:marLeft w:val="0"/>
      <w:marRight w:val="0"/>
      <w:marTop w:val="0"/>
      <w:marBottom w:val="0"/>
      <w:divBdr>
        <w:top w:val="none" w:sz="0" w:space="0" w:color="auto"/>
        <w:left w:val="none" w:sz="0" w:space="0" w:color="auto"/>
        <w:bottom w:val="none" w:sz="0" w:space="0" w:color="auto"/>
        <w:right w:val="none" w:sz="0" w:space="0" w:color="auto"/>
      </w:divBdr>
      <w:divsChild>
        <w:div w:id="488332086">
          <w:marLeft w:val="0"/>
          <w:marRight w:val="0"/>
          <w:marTop w:val="0"/>
          <w:marBottom w:val="0"/>
          <w:divBdr>
            <w:top w:val="none" w:sz="0" w:space="0" w:color="auto"/>
            <w:left w:val="none" w:sz="0" w:space="0" w:color="auto"/>
            <w:bottom w:val="none" w:sz="0" w:space="0" w:color="auto"/>
            <w:right w:val="none" w:sz="0" w:space="0" w:color="auto"/>
          </w:divBdr>
        </w:div>
        <w:div w:id="942688429">
          <w:marLeft w:val="0"/>
          <w:marRight w:val="0"/>
          <w:marTop w:val="0"/>
          <w:marBottom w:val="0"/>
          <w:divBdr>
            <w:top w:val="none" w:sz="0" w:space="0" w:color="auto"/>
            <w:left w:val="none" w:sz="0" w:space="0" w:color="auto"/>
            <w:bottom w:val="none" w:sz="0" w:space="0" w:color="auto"/>
            <w:right w:val="none" w:sz="0" w:space="0" w:color="auto"/>
          </w:divBdr>
        </w:div>
        <w:div w:id="546450600">
          <w:marLeft w:val="0"/>
          <w:marRight w:val="0"/>
          <w:marTop w:val="0"/>
          <w:marBottom w:val="0"/>
          <w:divBdr>
            <w:top w:val="none" w:sz="0" w:space="0" w:color="auto"/>
            <w:left w:val="none" w:sz="0" w:space="0" w:color="auto"/>
            <w:bottom w:val="none" w:sz="0" w:space="0" w:color="auto"/>
            <w:right w:val="none" w:sz="0" w:space="0" w:color="auto"/>
          </w:divBdr>
        </w:div>
      </w:divsChild>
    </w:div>
    <w:div w:id="1392189101">
      <w:bodyDiv w:val="1"/>
      <w:marLeft w:val="0"/>
      <w:marRight w:val="0"/>
      <w:marTop w:val="0"/>
      <w:marBottom w:val="0"/>
      <w:divBdr>
        <w:top w:val="none" w:sz="0" w:space="0" w:color="auto"/>
        <w:left w:val="none" w:sz="0" w:space="0" w:color="auto"/>
        <w:bottom w:val="none" w:sz="0" w:space="0" w:color="auto"/>
        <w:right w:val="none" w:sz="0" w:space="0" w:color="auto"/>
      </w:divBdr>
      <w:divsChild>
        <w:div w:id="1539389803">
          <w:marLeft w:val="0"/>
          <w:marRight w:val="0"/>
          <w:marTop w:val="0"/>
          <w:marBottom w:val="0"/>
          <w:divBdr>
            <w:top w:val="none" w:sz="0" w:space="0" w:color="auto"/>
            <w:left w:val="none" w:sz="0" w:space="0" w:color="auto"/>
            <w:bottom w:val="none" w:sz="0" w:space="0" w:color="auto"/>
            <w:right w:val="none" w:sz="0" w:space="0" w:color="auto"/>
          </w:divBdr>
        </w:div>
        <w:div w:id="1758361416">
          <w:marLeft w:val="0"/>
          <w:marRight w:val="0"/>
          <w:marTop w:val="0"/>
          <w:marBottom w:val="0"/>
          <w:divBdr>
            <w:top w:val="none" w:sz="0" w:space="0" w:color="auto"/>
            <w:left w:val="none" w:sz="0" w:space="0" w:color="auto"/>
            <w:bottom w:val="none" w:sz="0" w:space="0" w:color="auto"/>
            <w:right w:val="none" w:sz="0" w:space="0" w:color="auto"/>
          </w:divBdr>
          <w:divsChild>
            <w:div w:id="1179931931">
              <w:marLeft w:val="0"/>
              <w:marRight w:val="0"/>
              <w:marTop w:val="0"/>
              <w:marBottom w:val="0"/>
              <w:divBdr>
                <w:top w:val="none" w:sz="0" w:space="0" w:color="auto"/>
                <w:left w:val="none" w:sz="0" w:space="0" w:color="auto"/>
                <w:bottom w:val="none" w:sz="0" w:space="0" w:color="auto"/>
                <w:right w:val="none" w:sz="0" w:space="0" w:color="auto"/>
              </w:divBdr>
            </w:div>
            <w:div w:id="416171121">
              <w:marLeft w:val="0"/>
              <w:marRight w:val="0"/>
              <w:marTop w:val="0"/>
              <w:marBottom w:val="0"/>
              <w:divBdr>
                <w:top w:val="none" w:sz="0" w:space="0" w:color="auto"/>
                <w:left w:val="none" w:sz="0" w:space="0" w:color="auto"/>
                <w:bottom w:val="none" w:sz="0" w:space="0" w:color="auto"/>
                <w:right w:val="none" w:sz="0" w:space="0" w:color="auto"/>
              </w:divBdr>
            </w:div>
            <w:div w:id="823351251">
              <w:marLeft w:val="0"/>
              <w:marRight w:val="0"/>
              <w:marTop w:val="0"/>
              <w:marBottom w:val="0"/>
              <w:divBdr>
                <w:top w:val="none" w:sz="0" w:space="0" w:color="auto"/>
                <w:left w:val="none" w:sz="0" w:space="0" w:color="auto"/>
                <w:bottom w:val="none" w:sz="0" w:space="0" w:color="auto"/>
                <w:right w:val="none" w:sz="0" w:space="0" w:color="auto"/>
              </w:divBdr>
            </w:div>
            <w:div w:id="1278367854">
              <w:marLeft w:val="0"/>
              <w:marRight w:val="0"/>
              <w:marTop w:val="0"/>
              <w:marBottom w:val="0"/>
              <w:divBdr>
                <w:top w:val="none" w:sz="0" w:space="0" w:color="auto"/>
                <w:left w:val="none" w:sz="0" w:space="0" w:color="auto"/>
                <w:bottom w:val="none" w:sz="0" w:space="0" w:color="auto"/>
                <w:right w:val="none" w:sz="0" w:space="0" w:color="auto"/>
              </w:divBdr>
            </w:div>
            <w:div w:id="1514801402">
              <w:marLeft w:val="0"/>
              <w:marRight w:val="0"/>
              <w:marTop w:val="0"/>
              <w:marBottom w:val="0"/>
              <w:divBdr>
                <w:top w:val="none" w:sz="0" w:space="0" w:color="auto"/>
                <w:left w:val="none" w:sz="0" w:space="0" w:color="auto"/>
                <w:bottom w:val="none" w:sz="0" w:space="0" w:color="auto"/>
                <w:right w:val="none" w:sz="0" w:space="0" w:color="auto"/>
              </w:divBdr>
            </w:div>
          </w:divsChild>
        </w:div>
        <w:div w:id="2039576984">
          <w:marLeft w:val="0"/>
          <w:marRight w:val="0"/>
          <w:marTop w:val="0"/>
          <w:marBottom w:val="0"/>
          <w:divBdr>
            <w:top w:val="none" w:sz="0" w:space="0" w:color="auto"/>
            <w:left w:val="none" w:sz="0" w:space="0" w:color="auto"/>
            <w:bottom w:val="none" w:sz="0" w:space="0" w:color="auto"/>
            <w:right w:val="none" w:sz="0" w:space="0" w:color="auto"/>
          </w:divBdr>
          <w:divsChild>
            <w:div w:id="327948528">
              <w:marLeft w:val="0"/>
              <w:marRight w:val="0"/>
              <w:marTop w:val="0"/>
              <w:marBottom w:val="0"/>
              <w:divBdr>
                <w:top w:val="none" w:sz="0" w:space="0" w:color="auto"/>
                <w:left w:val="none" w:sz="0" w:space="0" w:color="auto"/>
                <w:bottom w:val="none" w:sz="0" w:space="0" w:color="auto"/>
                <w:right w:val="none" w:sz="0" w:space="0" w:color="auto"/>
              </w:divBdr>
            </w:div>
            <w:div w:id="379599844">
              <w:marLeft w:val="0"/>
              <w:marRight w:val="0"/>
              <w:marTop w:val="0"/>
              <w:marBottom w:val="0"/>
              <w:divBdr>
                <w:top w:val="none" w:sz="0" w:space="0" w:color="auto"/>
                <w:left w:val="none" w:sz="0" w:space="0" w:color="auto"/>
                <w:bottom w:val="none" w:sz="0" w:space="0" w:color="auto"/>
                <w:right w:val="none" w:sz="0" w:space="0" w:color="auto"/>
              </w:divBdr>
            </w:div>
            <w:div w:id="403189172">
              <w:marLeft w:val="0"/>
              <w:marRight w:val="0"/>
              <w:marTop w:val="0"/>
              <w:marBottom w:val="0"/>
              <w:divBdr>
                <w:top w:val="none" w:sz="0" w:space="0" w:color="auto"/>
                <w:left w:val="none" w:sz="0" w:space="0" w:color="auto"/>
                <w:bottom w:val="none" w:sz="0" w:space="0" w:color="auto"/>
                <w:right w:val="none" w:sz="0" w:space="0" w:color="auto"/>
              </w:divBdr>
            </w:div>
            <w:div w:id="969020237">
              <w:marLeft w:val="0"/>
              <w:marRight w:val="0"/>
              <w:marTop w:val="0"/>
              <w:marBottom w:val="0"/>
              <w:divBdr>
                <w:top w:val="none" w:sz="0" w:space="0" w:color="auto"/>
                <w:left w:val="none" w:sz="0" w:space="0" w:color="auto"/>
                <w:bottom w:val="none" w:sz="0" w:space="0" w:color="auto"/>
                <w:right w:val="none" w:sz="0" w:space="0" w:color="auto"/>
              </w:divBdr>
            </w:div>
            <w:div w:id="195895802">
              <w:marLeft w:val="0"/>
              <w:marRight w:val="0"/>
              <w:marTop w:val="0"/>
              <w:marBottom w:val="0"/>
              <w:divBdr>
                <w:top w:val="none" w:sz="0" w:space="0" w:color="auto"/>
                <w:left w:val="none" w:sz="0" w:space="0" w:color="auto"/>
                <w:bottom w:val="none" w:sz="0" w:space="0" w:color="auto"/>
                <w:right w:val="none" w:sz="0" w:space="0" w:color="auto"/>
              </w:divBdr>
            </w:div>
          </w:divsChild>
        </w:div>
        <w:div w:id="1263688993">
          <w:marLeft w:val="0"/>
          <w:marRight w:val="0"/>
          <w:marTop w:val="0"/>
          <w:marBottom w:val="0"/>
          <w:divBdr>
            <w:top w:val="none" w:sz="0" w:space="0" w:color="auto"/>
            <w:left w:val="none" w:sz="0" w:space="0" w:color="auto"/>
            <w:bottom w:val="none" w:sz="0" w:space="0" w:color="auto"/>
            <w:right w:val="none" w:sz="0" w:space="0" w:color="auto"/>
          </w:divBdr>
          <w:divsChild>
            <w:div w:id="631596727">
              <w:marLeft w:val="0"/>
              <w:marRight w:val="0"/>
              <w:marTop w:val="0"/>
              <w:marBottom w:val="0"/>
              <w:divBdr>
                <w:top w:val="none" w:sz="0" w:space="0" w:color="auto"/>
                <w:left w:val="none" w:sz="0" w:space="0" w:color="auto"/>
                <w:bottom w:val="none" w:sz="0" w:space="0" w:color="auto"/>
                <w:right w:val="none" w:sz="0" w:space="0" w:color="auto"/>
              </w:divBdr>
            </w:div>
            <w:div w:id="1521626609">
              <w:marLeft w:val="0"/>
              <w:marRight w:val="0"/>
              <w:marTop w:val="0"/>
              <w:marBottom w:val="0"/>
              <w:divBdr>
                <w:top w:val="none" w:sz="0" w:space="0" w:color="auto"/>
                <w:left w:val="none" w:sz="0" w:space="0" w:color="auto"/>
                <w:bottom w:val="none" w:sz="0" w:space="0" w:color="auto"/>
                <w:right w:val="none" w:sz="0" w:space="0" w:color="auto"/>
              </w:divBdr>
            </w:div>
            <w:div w:id="1109086589">
              <w:marLeft w:val="0"/>
              <w:marRight w:val="0"/>
              <w:marTop w:val="0"/>
              <w:marBottom w:val="0"/>
              <w:divBdr>
                <w:top w:val="none" w:sz="0" w:space="0" w:color="auto"/>
                <w:left w:val="none" w:sz="0" w:space="0" w:color="auto"/>
                <w:bottom w:val="none" w:sz="0" w:space="0" w:color="auto"/>
                <w:right w:val="none" w:sz="0" w:space="0" w:color="auto"/>
              </w:divBdr>
            </w:div>
            <w:div w:id="349449750">
              <w:marLeft w:val="0"/>
              <w:marRight w:val="0"/>
              <w:marTop w:val="0"/>
              <w:marBottom w:val="0"/>
              <w:divBdr>
                <w:top w:val="none" w:sz="0" w:space="0" w:color="auto"/>
                <w:left w:val="none" w:sz="0" w:space="0" w:color="auto"/>
                <w:bottom w:val="none" w:sz="0" w:space="0" w:color="auto"/>
                <w:right w:val="none" w:sz="0" w:space="0" w:color="auto"/>
              </w:divBdr>
            </w:div>
            <w:div w:id="1130633920">
              <w:marLeft w:val="0"/>
              <w:marRight w:val="0"/>
              <w:marTop w:val="0"/>
              <w:marBottom w:val="0"/>
              <w:divBdr>
                <w:top w:val="none" w:sz="0" w:space="0" w:color="auto"/>
                <w:left w:val="none" w:sz="0" w:space="0" w:color="auto"/>
                <w:bottom w:val="none" w:sz="0" w:space="0" w:color="auto"/>
                <w:right w:val="none" w:sz="0" w:space="0" w:color="auto"/>
              </w:divBdr>
            </w:div>
          </w:divsChild>
        </w:div>
        <w:div w:id="1908106082">
          <w:marLeft w:val="0"/>
          <w:marRight w:val="0"/>
          <w:marTop w:val="0"/>
          <w:marBottom w:val="0"/>
          <w:divBdr>
            <w:top w:val="none" w:sz="0" w:space="0" w:color="auto"/>
            <w:left w:val="none" w:sz="0" w:space="0" w:color="auto"/>
            <w:bottom w:val="none" w:sz="0" w:space="0" w:color="auto"/>
            <w:right w:val="none" w:sz="0" w:space="0" w:color="auto"/>
          </w:divBdr>
          <w:divsChild>
            <w:div w:id="1975402575">
              <w:marLeft w:val="0"/>
              <w:marRight w:val="0"/>
              <w:marTop w:val="0"/>
              <w:marBottom w:val="0"/>
              <w:divBdr>
                <w:top w:val="none" w:sz="0" w:space="0" w:color="auto"/>
                <w:left w:val="none" w:sz="0" w:space="0" w:color="auto"/>
                <w:bottom w:val="none" w:sz="0" w:space="0" w:color="auto"/>
                <w:right w:val="none" w:sz="0" w:space="0" w:color="auto"/>
              </w:divBdr>
            </w:div>
            <w:div w:id="2145810617">
              <w:marLeft w:val="0"/>
              <w:marRight w:val="0"/>
              <w:marTop w:val="0"/>
              <w:marBottom w:val="0"/>
              <w:divBdr>
                <w:top w:val="none" w:sz="0" w:space="0" w:color="auto"/>
                <w:left w:val="none" w:sz="0" w:space="0" w:color="auto"/>
                <w:bottom w:val="none" w:sz="0" w:space="0" w:color="auto"/>
                <w:right w:val="none" w:sz="0" w:space="0" w:color="auto"/>
              </w:divBdr>
            </w:div>
            <w:div w:id="959459835">
              <w:marLeft w:val="0"/>
              <w:marRight w:val="0"/>
              <w:marTop w:val="0"/>
              <w:marBottom w:val="0"/>
              <w:divBdr>
                <w:top w:val="none" w:sz="0" w:space="0" w:color="auto"/>
                <w:left w:val="none" w:sz="0" w:space="0" w:color="auto"/>
                <w:bottom w:val="none" w:sz="0" w:space="0" w:color="auto"/>
                <w:right w:val="none" w:sz="0" w:space="0" w:color="auto"/>
              </w:divBdr>
            </w:div>
            <w:div w:id="1610552575">
              <w:marLeft w:val="0"/>
              <w:marRight w:val="0"/>
              <w:marTop w:val="0"/>
              <w:marBottom w:val="0"/>
              <w:divBdr>
                <w:top w:val="none" w:sz="0" w:space="0" w:color="auto"/>
                <w:left w:val="none" w:sz="0" w:space="0" w:color="auto"/>
                <w:bottom w:val="none" w:sz="0" w:space="0" w:color="auto"/>
                <w:right w:val="none" w:sz="0" w:space="0" w:color="auto"/>
              </w:divBdr>
            </w:div>
            <w:div w:id="1436439784">
              <w:marLeft w:val="0"/>
              <w:marRight w:val="0"/>
              <w:marTop w:val="0"/>
              <w:marBottom w:val="0"/>
              <w:divBdr>
                <w:top w:val="none" w:sz="0" w:space="0" w:color="auto"/>
                <w:left w:val="none" w:sz="0" w:space="0" w:color="auto"/>
                <w:bottom w:val="none" w:sz="0" w:space="0" w:color="auto"/>
                <w:right w:val="none" w:sz="0" w:space="0" w:color="auto"/>
              </w:divBdr>
            </w:div>
          </w:divsChild>
        </w:div>
        <w:div w:id="743646437">
          <w:marLeft w:val="0"/>
          <w:marRight w:val="0"/>
          <w:marTop w:val="0"/>
          <w:marBottom w:val="0"/>
          <w:divBdr>
            <w:top w:val="none" w:sz="0" w:space="0" w:color="auto"/>
            <w:left w:val="none" w:sz="0" w:space="0" w:color="auto"/>
            <w:bottom w:val="none" w:sz="0" w:space="0" w:color="auto"/>
            <w:right w:val="none" w:sz="0" w:space="0" w:color="auto"/>
          </w:divBdr>
          <w:divsChild>
            <w:div w:id="480972039">
              <w:marLeft w:val="0"/>
              <w:marRight w:val="0"/>
              <w:marTop w:val="0"/>
              <w:marBottom w:val="0"/>
              <w:divBdr>
                <w:top w:val="none" w:sz="0" w:space="0" w:color="auto"/>
                <w:left w:val="none" w:sz="0" w:space="0" w:color="auto"/>
                <w:bottom w:val="none" w:sz="0" w:space="0" w:color="auto"/>
                <w:right w:val="none" w:sz="0" w:space="0" w:color="auto"/>
              </w:divBdr>
            </w:div>
            <w:div w:id="1915166266">
              <w:marLeft w:val="0"/>
              <w:marRight w:val="0"/>
              <w:marTop w:val="0"/>
              <w:marBottom w:val="0"/>
              <w:divBdr>
                <w:top w:val="none" w:sz="0" w:space="0" w:color="auto"/>
                <w:left w:val="none" w:sz="0" w:space="0" w:color="auto"/>
                <w:bottom w:val="none" w:sz="0" w:space="0" w:color="auto"/>
                <w:right w:val="none" w:sz="0" w:space="0" w:color="auto"/>
              </w:divBdr>
            </w:div>
            <w:div w:id="1256405157">
              <w:marLeft w:val="0"/>
              <w:marRight w:val="0"/>
              <w:marTop w:val="0"/>
              <w:marBottom w:val="0"/>
              <w:divBdr>
                <w:top w:val="none" w:sz="0" w:space="0" w:color="auto"/>
                <w:left w:val="none" w:sz="0" w:space="0" w:color="auto"/>
                <w:bottom w:val="none" w:sz="0" w:space="0" w:color="auto"/>
                <w:right w:val="none" w:sz="0" w:space="0" w:color="auto"/>
              </w:divBdr>
            </w:div>
            <w:div w:id="1260866489">
              <w:marLeft w:val="0"/>
              <w:marRight w:val="0"/>
              <w:marTop w:val="0"/>
              <w:marBottom w:val="0"/>
              <w:divBdr>
                <w:top w:val="none" w:sz="0" w:space="0" w:color="auto"/>
                <w:left w:val="none" w:sz="0" w:space="0" w:color="auto"/>
                <w:bottom w:val="none" w:sz="0" w:space="0" w:color="auto"/>
                <w:right w:val="none" w:sz="0" w:space="0" w:color="auto"/>
              </w:divBdr>
            </w:div>
            <w:div w:id="151067531">
              <w:marLeft w:val="0"/>
              <w:marRight w:val="0"/>
              <w:marTop w:val="0"/>
              <w:marBottom w:val="0"/>
              <w:divBdr>
                <w:top w:val="none" w:sz="0" w:space="0" w:color="auto"/>
                <w:left w:val="none" w:sz="0" w:space="0" w:color="auto"/>
                <w:bottom w:val="none" w:sz="0" w:space="0" w:color="auto"/>
                <w:right w:val="none" w:sz="0" w:space="0" w:color="auto"/>
              </w:divBdr>
            </w:div>
          </w:divsChild>
        </w:div>
        <w:div w:id="696541488">
          <w:marLeft w:val="0"/>
          <w:marRight w:val="0"/>
          <w:marTop w:val="0"/>
          <w:marBottom w:val="0"/>
          <w:divBdr>
            <w:top w:val="none" w:sz="0" w:space="0" w:color="auto"/>
            <w:left w:val="none" w:sz="0" w:space="0" w:color="auto"/>
            <w:bottom w:val="none" w:sz="0" w:space="0" w:color="auto"/>
            <w:right w:val="none" w:sz="0" w:space="0" w:color="auto"/>
          </w:divBdr>
          <w:divsChild>
            <w:div w:id="2100132458">
              <w:marLeft w:val="0"/>
              <w:marRight w:val="0"/>
              <w:marTop w:val="0"/>
              <w:marBottom w:val="0"/>
              <w:divBdr>
                <w:top w:val="none" w:sz="0" w:space="0" w:color="auto"/>
                <w:left w:val="none" w:sz="0" w:space="0" w:color="auto"/>
                <w:bottom w:val="none" w:sz="0" w:space="0" w:color="auto"/>
                <w:right w:val="none" w:sz="0" w:space="0" w:color="auto"/>
              </w:divBdr>
            </w:div>
            <w:div w:id="245458269">
              <w:marLeft w:val="0"/>
              <w:marRight w:val="0"/>
              <w:marTop w:val="0"/>
              <w:marBottom w:val="0"/>
              <w:divBdr>
                <w:top w:val="none" w:sz="0" w:space="0" w:color="auto"/>
                <w:left w:val="none" w:sz="0" w:space="0" w:color="auto"/>
                <w:bottom w:val="none" w:sz="0" w:space="0" w:color="auto"/>
                <w:right w:val="none" w:sz="0" w:space="0" w:color="auto"/>
              </w:divBdr>
            </w:div>
            <w:div w:id="1437557848">
              <w:marLeft w:val="0"/>
              <w:marRight w:val="0"/>
              <w:marTop w:val="0"/>
              <w:marBottom w:val="0"/>
              <w:divBdr>
                <w:top w:val="none" w:sz="0" w:space="0" w:color="auto"/>
                <w:left w:val="none" w:sz="0" w:space="0" w:color="auto"/>
                <w:bottom w:val="none" w:sz="0" w:space="0" w:color="auto"/>
                <w:right w:val="none" w:sz="0" w:space="0" w:color="auto"/>
              </w:divBdr>
            </w:div>
            <w:div w:id="370150521">
              <w:marLeft w:val="0"/>
              <w:marRight w:val="0"/>
              <w:marTop w:val="0"/>
              <w:marBottom w:val="0"/>
              <w:divBdr>
                <w:top w:val="none" w:sz="0" w:space="0" w:color="auto"/>
                <w:left w:val="none" w:sz="0" w:space="0" w:color="auto"/>
                <w:bottom w:val="none" w:sz="0" w:space="0" w:color="auto"/>
                <w:right w:val="none" w:sz="0" w:space="0" w:color="auto"/>
              </w:divBdr>
            </w:div>
            <w:div w:id="220404275">
              <w:marLeft w:val="0"/>
              <w:marRight w:val="0"/>
              <w:marTop w:val="0"/>
              <w:marBottom w:val="0"/>
              <w:divBdr>
                <w:top w:val="none" w:sz="0" w:space="0" w:color="auto"/>
                <w:left w:val="none" w:sz="0" w:space="0" w:color="auto"/>
                <w:bottom w:val="none" w:sz="0" w:space="0" w:color="auto"/>
                <w:right w:val="none" w:sz="0" w:space="0" w:color="auto"/>
              </w:divBdr>
            </w:div>
          </w:divsChild>
        </w:div>
        <w:div w:id="943730663">
          <w:marLeft w:val="0"/>
          <w:marRight w:val="0"/>
          <w:marTop w:val="0"/>
          <w:marBottom w:val="0"/>
          <w:divBdr>
            <w:top w:val="none" w:sz="0" w:space="0" w:color="auto"/>
            <w:left w:val="none" w:sz="0" w:space="0" w:color="auto"/>
            <w:bottom w:val="none" w:sz="0" w:space="0" w:color="auto"/>
            <w:right w:val="none" w:sz="0" w:space="0" w:color="auto"/>
          </w:divBdr>
          <w:divsChild>
            <w:div w:id="659314079">
              <w:marLeft w:val="0"/>
              <w:marRight w:val="0"/>
              <w:marTop w:val="0"/>
              <w:marBottom w:val="0"/>
              <w:divBdr>
                <w:top w:val="none" w:sz="0" w:space="0" w:color="auto"/>
                <w:left w:val="none" w:sz="0" w:space="0" w:color="auto"/>
                <w:bottom w:val="none" w:sz="0" w:space="0" w:color="auto"/>
                <w:right w:val="none" w:sz="0" w:space="0" w:color="auto"/>
              </w:divBdr>
            </w:div>
            <w:div w:id="746417853">
              <w:marLeft w:val="0"/>
              <w:marRight w:val="0"/>
              <w:marTop w:val="0"/>
              <w:marBottom w:val="0"/>
              <w:divBdr>
                <w:top w:val="none" w:sz="0" w:space="0" w:color="auto"/>
                <w:left w:val="none" w:sz="0" w:space="0" w:color="auto"/>
                <w:bottom w:val="none" w:sz="0" w:space="0" w:color="auto"/>
                <w:right w:val="none" w:sz="0" w:space="0" w:color="auto"/>
              </w:divBdr>
            </w:div>
            <w:div w:id="19846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7541">
      <w:bodyDiv w:val="1"/>
      <w:marLeft w:val="0"/>
      <w:marRight w:val="0"/>
      <w:marTop w:val="0"/>
      <w:marBottom w:val="0"/>
      <w:divBdr>
        <w:top w:val="none" w:sz="0" w:space="0" w:color="auto"/>
        <w:left w:val="none" w:sz="0" w:space="0" w:color="auto"/>
        <w:bottom w:val="none" w:sz="0" w:space="0" w:color="auto"/>
        <w:right w:val="none" w:sz="0" w:space="0" w:color="auto"/>
      </w:divBdr>
      <w:divsChild>
        <w:div w:id="1054158852">
          <w:marLeft w:val="0"/>
          <w:marRight w:val="0"/>
          <w:marTop w:val="0"/>
          <w:marBottom w:val="0"/>
          <w:divBdr>
            <w:top w:val="none" w:sz="0" w:space="0" w:color="auto"/>
            <w:left w:val="none" w:sz="0" w:space="0" w:color="auto"/>
            <w:bottom w:val="none" w:sz="0" w:space="0" w:color="auto"/>
            <w:right w:val="none" w:sz="0" w:space="0" w:color="auto"/>
          </w:divBdr>
        </w:div>
        <w:div w:id="718745408">
          <w:marLeft w:val="0"/>
          <w:marRight w:val="0"/>
          <w:marTop w:val="0"/>
          <w:marBottom w:val="0"/>
          <w:divBdr>
            <w:top w:val="none" w:sz="0" w:space="0" w:color="auto"/>
            <w:left w:val="none" w:sz="0" w:space="0" w:color="auto"/>
            <w:bottom w:val="none" w:sz="0" w:space="0" w:color="auto"/>
            <w:right w:val="none" w:sz="0" w:space="0" w:color="auto"/>
          </w:divBdr>
        </w:div>
        <w:div w:id="1162313332">
          <w:marLeft w:val="0"/>
          <w:marRight w:val="0"/>
          <w:marTop w:val="0"/>
          <w:marBottom w:val="0"/>
          <w:divBdr>
            <w:top w:val="none" w:sz="0" w:space="0" w:color="auto"/>
            <w:left w:val="none" w:sz="0" w:space="0" w:color="auto"/>
            <w:bottom w:val="none" w:sz="0" w:space="0" w:color="auto"/>
            <w:right w:val="none" w:sz="0" w:space="0" w:color="auto"/>
          </w:divBdr>
        </w:div>
        <w:div w:id="1607814268">
          <w:marLeft w:val="0"/>
          <w:marRight w:val="0"/>
          <w:marTop w:val="0"/>
          <w:marBottom w:val="0"/>
          <w:divBdr>
            <w:top w:val="none" w:sz="0" w:space="0" w:color="auto"/>
            <w:left w:val="none" w:sz="0" w:space="0" w:color="auto"/>
            <w:bottom w:val="none" w:sz="0" w:space="0" w:color="auto"/>
            <w:right w:val="none" w:sz="0" w:space="0" w:color="auto"/>
          </w:divBdr>
        </w:div>
      </w:divsChild>
    </w:div>
    <w:div w:id="1521163882">
      <w:bodyDiv w:val="1"/>
      <w:marLeft w:val="0"/>
      <w:marRight w:val="0"/>
      <w:marTop w:val="0"/>
      <w:marBottom w:val="0"/>
      <w:divBdr>
        <w:top w:val="none" w:sz="0" w:space="0" w:color="auto"/>
        <w:left w:val="none" w:sz="0" w:space="0" w:color="auto"/>
        <w:bottom w:val="none" w:sz="0" w:space="0" w:color="auto"/>
        <w:right w:val="none" w:sz="0" w:space="0" w:color="auto"/>
      </w:divBdr>
      <w:divsChild>
        <w:div w:id="1054817114">
          <w:marLeft w:val="0"/>
          <w:marRight w:val="0"/>
          <w:marTop w:val="0"/>
          <w:marBottom w:val="0"/>
          <w:divBdr>
            <w:top w:val="none" w:sz="0" w:space="0" w:color="auto"/>
            <w:left w:val="none" w:sz="0" w:space="0" w:color="auto"/>
            <w:bottom w:val="none" w:sz="0" w:space="0" w:color="auto"/>
            <w:right w:val="none" w:sz="0" w:space="0" w:color="auto"/>
          </w:divBdr>
        </w:div>
        <w:div w:id="2042046873">
          <w:marLeft w:val="0"/>
          <w:marRight w:val="0"/>
          <w:marTop w:val="0"/>
          <w:marBottom w:val="0"/>
          <w:divBdr>
            <w:top w:val="none" w:sz="0" w:space="0" w:color="auto"/>
            <w:left w:val="none" w:sz="0" w:space="0" w:color="auto"/>
            <w:bottom w:val="none" w:sz="0" w:space="0" w:color="auto"/>
            <w:right w:val="none" w:sz="0" w:space="0" w:color="auto"/>
          </w:divBdr>
        </w:div>
      </w:divsChild>
    </w:div>
    <w:div w:id="1612467652">
      <w:bodyDiv w:val="1"/>
      <w:marLeft w:val="0"/>
      <w:marRight w:val="0"/>
      <w:marTop w:val="0"/>
      <w:marBottom w:val="0"/>
      <w:divBdr>
        <w:top w:val="none" w:sz="0" w:space="0" w:color="auto"/>
        <w:left w:val="none" w:sz="0" w:space="0" w:color="auto"/>
        <w:bottom w:val="none" w:sz="0" w:space="0" w:color="auto"/>
        <w:right w:val="none" w:sz="0" w:space="0" w:color="auto"/>
      </w:divBdr>
      <w:divsChild>
        <w:div w:id="243533174">
          <w:marLeft w:val="0"/>
          <w:marRight w:val="0"/>
          <w:marTop w:val="0"/>
          <w:marBottom w:val="0"/>
          <w:divBdr>
            <w:top w:val="none" w:sz="0" w:space="0" w:color="auto"/>
            <w:left w:val="none" w:sz="0" w:space="0" w:color="auto"/>
            <w:bottom w:val="none" w:sz="0" w:space="0" w:color="auto"/>
            <w:right w:val="none" w:sz="0" w:space="0" w:color="auto"/>
          </w:divBdr>
        </w:div>
        <w:div w:id="1638531169">
          <w:marLeft w:val="0"/>
          <w:marRight w:val="0"/>
          <w:marTop w:val="0"/>
          <w:marBottom w:val="0"/>
          <w:divBdr>
            <w:top w:val="none" w:sz="0" w:space="0" w:color="auto"/>
            <w:left w:val="none" w:sz="0" w:space="0" w:color="auto"/>
            <w:bottom w:val="none" w:sz="0" w:space="0" w:color="auto"/>
            <w:right w:val="none" w:sz="0" w:space="0" w:color="auto"/>
          </w:divBdr>
        </w:div>
        <w:div w:id="373388664">
          <w:marLeft w:val="0"/>
          <w:marRight w:val="0"/>
          <w:marTop w:val="0"/>
          <w:marBottom w:val="0"/>
          <w:divBdr>
            <w:top w:val="none" w:sz="0" w:space="0" w:color="auto"/>
            <w:left w:val="none" w:sz="0" w:space="0" w:color="auto"/>
            <w:bottom w:val="none" w:sz="0" w:space="0" w:color="auto"/>
            <w:right w:val="none" w:sz="0" w:space="0" w:color="auto"/>
          </w:divBdr>
        </w:div>
        <w:div w:id="1149128028">
          <w:marLeft w:val="0"/>
          <w:marRight w:val="0"/>
          <w:marTop w:val="0"/>
          <w:marBottom w:val="0"/>
          <w:divBdr>
            <w:top w:val="none" w:sz="0" w:space="0" w:color="auto"/>
            <w:left w:val="none" w:sz="0" w:space="0" w:color="auto"/>
            <w:bottom w:val="none" w:sz="0" w:space="0" w:color="auto"/>
            <w:right w:val="none" w:sz="0" w:space="0" w:color="auto"/>
          </w:divBdr>
        </w:div>
      </w:divsChild>
    </w:div>
    <w:div w:id="1905095738">
      <w:bodyDiv w:val="1"/>
      <w:marLeft w:val="0"/>
      <w:marRight w:val="0"/>
      <w:marTop w:val="0"/>
      <w:marBottom w:val="0"/>
      <w:divBdr>
        <w:top w:val="none" w:sz="0" w:space="0" w:color="auto"/>
        <w:left w:val="none" w:sz="0" w:space="0" w:color="auto"/>
        <w:bottom w:val="none" w:sz="0" w:space="0" w:color="auto"/>
        <w:right w:val="none" w:sz="0" w:space="0" w:color="auto"/>
      </w:divBdr>
      <w:divsChild>
        <w:div w:id="1972906357">
          <w:marLeft w:val="0"/>
          <w:marRight w:val="0"/>
          <w:marTop w:val="0"/>
          <w:marBottom w:val="0"/>
          <w:divBdr>
            <w:top w:val="none" w:sz="0" w:space="0" w:color="auto"/>
            <w:left w:val="none" w:sz="0" w:space="0" w:color="auto"/>
            <w:bottom w:val="none" w:sz="0" w:space="0" w:color="auto"/>
            <w:right w:val="none" w:sz="0" w:space="0" w:color="auto"/>
          </w:divBdr>
        </w:div>
        <w:div w:id="30389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ta.un.org/Data.aspx?q=GDP&amp;d=SNAAMA&amp;f=grID%3a101%3bcurrID%3aUSD%3bpcFlag%3a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pps.who.int/immunization_monitoring/globalsummary/timeseries/tswucoveragebcg.html" TargetMode="External"/><Relationship Id="rId5" Type="http://schemas.openxmlformats.org/officeDocument/2006/relationships/numbering" Target="numbering.xml"/><Relationship Id="rId15" Type="http://schemas.openxmlformats.org/officeDocument/2006/relationships/hyperlink" Target="http://whohbsagdashboard.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org/en/development/desa/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A3804C3F-DF20-4826-99E6-809CB4A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2021-07-05T04:55:00Z</dcterms:created>
  <dcterms:modified xsi:type="dcterms:W3CDTF">2021-07-05T04:55:00Z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