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bookmarkStart w:id="0" w:name="_GoBack"/>
      <w:bookmarkEnd w:id="0"/>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1.0)</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0. Indicator information</w:t>
      </w:r>
    </w:p>
    <w:p w14:paraId="043ED752" w14:textId="28D7692E" w:rsidR="00D24330" w:rsidRPr="00A96255" w:rsidRDefault="00D24330" w:rsidP="00EA05D3">
      <w:pPr>
        <w:pStyle w:val="MIndHeader"/>
      </w:pPr>
      <w:r w:rsidRPr="00A96255">
        <w:t xml:space="preserve">0.a. </w:t>
      </w:r>
      <w:r w:rsidRPr="00EA05D3">
        <w:t>Goal</w:t>
      </w:r>
    </w:p>
    <w:p w14:paraId="3E704AA9" w14:textId="77777777" w:rsidR="0072214E" w:rsidRDefault="0072214E" w:rsidP="00D24330">
      <w:pPr>
        <w:pStyle w:val="MIndHeader"/>
        <w:rPr>
          <w:rStyle w:val="eop"/>
          <w:rFonts w:ascii="Calibri" w:hAnsi="Calibri" w:cs="Calibri"/>
          <w:color w:val="333333"/>
          <w:sz w:val="21"/>
          <w:szCs w:val="21"/>
        </w:rPr>
      </w:pPr>
      <w:r>
        <w:rPr>
          <w:rStyle w:val="normaltextrun"/>
          <w:rFonts w:ascii="Calibri" w:hAnsi="Calibri" w:cs="Calibri"/>
          <w:color w:val="333333"/>
          <w:sz w:val="21"/>
          <w:szCs w:val="21"/>
        </w:rPr>
        <w:t>Goal 3: Ensure healthy lives and promote well-being for all at all ages</w:t>
      </w:r>
      <w:r>
        <w:rPr>
          <w:rStyle w:val="eop"/>
          <w:rFonts w:ascii="Calibri" w:hAnsi="Calibri" w:cs="Calibri"/>
          <w:color w:val="333333"/>
          <w:sz w:val="21"/>
          <w:szCs w:val="21"/>
        </w:rPr>
        <w:t> </w:t>
      </w:r>
    </w:p>
    <w:p w14:paraId="084142D2" w14:textId="1C5D32BD" w:rsidR="00D24330" w:rsidRPr="00A96255" w:rsidRDefault="00D24330" w:rsidP="00D24330">
      <w:pPr>
        <w:pStyle w:val="MIndHeader"/>
      </w:pPr>
      <w:r w:rsidRPr="00A96255">
        <w:t>0.b. Target</w:t>
      </w:r>
    </w:p>
    <w:p w14:paraId="43580985" w14:textId="77777777" w:rsidR="0072214E" w:rsidRDefault="0072214E" w:rsidP="00D24330">
      <w:pPr>
        <w:pStyle w:val="MIndHeader"/>
        <w:rPr>
          <w:rStyle w:val="eop"/>
          <w:rFonts w:ascii="Calibri" w:hAnsi="Calibri" w:cs="Calibri"/>
          <w:color w:val="333333"/>
          <w:sz w:val="21"/>
          <w:szCs w:val="21"/>
        </w:rPr>
      </w:pPr>
      <w:r>
        <w:rPr>
          <w:rStyle w:val="normaltextrun"/>
          <w:rFonts w:ascii="Calibri" w:hAnsi="Calibri" w:cs="Calibri"/>
          <w:color w:val="333333"/>
          <w:sz w:val="21"/>
          <w:szCs w:val="21"/>
        </w:rPr>
        <w:t>Target 3.3: By 2030, end the epidemics of AIDS, tuberculosis, malaria and neglected tropical diseases and combat hepatitis, water-borne diseases and other communicable diseases</w:t>
      </w:r>
      <w:r>
        <w:rPr>
          <w:rStyle w:val="eop"/>
          <w:rFonts w:ascii="Calibri" w:hAnsi="Calibri" w:cs="Calibri"/>
          <w:color w:val="333333"/>
          <w:sz w:val="21"/>
          <w:szCs w:val="21"/>
        </w:rPr>
        <w:t> </w:t>
      </w:r>
    </w:p>
    <w:p w14:paraId="3E67E7E0" w14:textId="1031034B" w:rsidR="00D24330" w:rsidRPr="00A96255" w:rsidRDefault="00D24330" w:rsidP="00D24330">
      <w:pPr>
        <w:pStyle w:val="MIndHeader"/>
      </w:pPr>
      <w:r w:rsidRPr="00A96255">
        <w:t>0.c. Indicator</w:t>
      </w:r>
    </w:p>
    <w:p w14:paraId="45767BF5" w14:textId="77777777" w:rsidR="0072214E" w:rsidRDefault="0072214E" w:rsidP="00D24330">
      <w:pPr>
        <w:pStyle w:val="MIndHeader"/>
        <w:rPr>
          <w:color w:val="333333"/>
          <w:sz w:val="21"/>
          <w:szCs w:val="21"/>
        </w:rPr>
      </w:pPr>
      <w:r w:rsidRPr="0072214E">
        <w:rPr>
          <w:color w:val="333333"/>
          <w:sz w:val="21"/>
          <w:szCs w:val="21"/>
        </w:rPr>
        <w:t xml:space="preserve">Indicator 3.3.5: Number of people requiring interventions against neglected tropical diseases </w:t>
      </w:r>
    </w:p>
    <w:p w14:paraId="37E5E4F6" w14:textId="4D54B37C" w:rsidR="00D24330" w:rsidRPr="00A96255" w:rsidRDefault="00D24330" w:rsidP="00D24330">
      <w:pPr>
        <w:pStyle w:val="MIndHeader"/>
      </w:pPr>
      <w:r w:rsidRPr="00A96255">
        <w:t>0.d. Series</w:t>
      </w:r>
    </w:p>
    <w:p w14:paraId="771888BA" w14:textId="30934200" w:rsidR="00D24330" w:rsidRPr="00CD31C9" w:rsidRDefault="7DCA9A31" w:rsidP="3ECAD149">
      <w:pPr>
        <w:pStyle w:val="MGTHeader"/>
        <w:rPr>
          <w:highlight w:val="green"/>
        </w:rPr>
      </w:pPr>
      <w:r>
        <w:t>Not applicable</w:t>
      </w:r>
      <w:r w:rsidR="001C1972">
        <w:tab/>
      </w:r>
    </w:p>
    <w:p w14:paraId="157DACE7" w14:textId="77777777" w:rsidR="00D24330" w:rsidRPr="00A96255" w:rsidRDefault="00D24330" w:rsidP="00D24330">
      <w:pPr>
        <w:pStyle w:val="MIndHeader"/>
      </w:pPr>
      <w:r w:rsidRPr="00A96255">
        <w:t>0.e. Metadata update</w:t>
      </w:r>
    </w:p>
    <w:p w14:paraId="03424B60" w14:textId="6FC5B804" w:rsidR="00D24330" w:rsidRPr="00A96255" w:rsidRDefault="524CF3DA" w:rsidP="00D24330">
      <w:pPr>
        <w:pStyle w:val="MGTHeader"/>
      </w:pPr>
      <w:r>
        <w:t>7</w:t>
      </w:r>
      <w:r w:rsidR="00DF7DD1">
        <w:t xml:space="preserve"> February </w:t>
      </w:r>
      <w:r w:rsidR="2C225381">
        <w:t>2021</w:t>
      </w:r>
    </w:p>
    <w:p w14:paraId="415C9FF1" w14:textId="77777777" w:rsidR="00D24330" w:rsidRPr="00A96255" w:rsidRDefault="00D24330" w:rsidP="00D24330">
      <w:pPr>
        <w:pStyle w:val="MIndHeader"/>
      </w:pPr>
      <w:r w:rsidRPr="00A96255">
        <w:t>0.f. Related indicators</w:t>
      </w:r>
    </w:p>
    <w:p w14:paraId="2EA0FE1D" w14:textId="14136DE0" w:rsidR="00D24330" w:rsidRPr="004645FA" w:rsidRDefault="538C0F07" w:rsidP="3ECAD149">
      <w:pPr>
        <w:pStyle w:val="MGTHeader"/>
        <w:rPr>
          <w:rStyle w:val="normaltextrun"/>
          <w:rFonts w:ascii="Calibri" w:hAnsi="Calibri" w:cs="Calibri"/>
        </w:rPr>
      </w:pPr>
      <w:r w:rsidRPr="004645FA">
        <w:rPr>
          <w:rStyle w:val="normaltextrun"/>
          <w:rFonts w:ascii="Calibri" w:hAnsi="Calibri" w:cs="Calibri"/>
        </w:rPr>
        <w:t>NTDs are formally recognized as targets for global action in SDG target 3.3, which calls to “end the epidemics of ... neglected tropical diseases” by 2030, as part of Goal 3 (Ensure healthy lives and ensure well-being for all at all ages). Successful interventions against NTDs contribute to meeting other SDGs, such as alleviating poverty (Goal 1) and hunger (Goal 2), enabling people to pursue an education (Goal 4) and lead productive working lives (Goal 8) and promoting equality, for example with regard to gender (Goals 5 and 10). Progress towards other Goals can accelerate the achievement of NTD goals. For example, wider provision of clean water, sanitation and hygiene (WASH) (Goal 6) is believed to help to eliminate or control NTDs; the availability of resilient infrastructure (Goal 9) should facilitate delivery of medicines and outreach to remote communities; the goals of sustainable cities (Goal 11) and climate action (Goal 13) can support the environmental management necessary for control of disease vectors. Attaining all SDGs and NTD goals is founded on strong global partnerships (Goal 17).</w:t>
      </w:r>
    </w:p>
    <w:p w14:paraId="077BC49E" w14:textId="77777777" w:rsidR="00D24330" w:rsidRPr="00A96255" w:rsidRDefault="00D24330" w:rsidP="00D24330">
      <w:pPr>
        <w:pStyle w:val="MIndHeader"/>
      </w:pPr>
      <w:r w:rsidRPr="00A96255">
        <w:t>0.g. International organisations(s) responsible for global monitoring</w:t>
      </w:r>
    </w:p>
    <w:p w14:paraId="19F29921" w14:textId="07EBB8DB" w:rsidR="008D1D39" w:rsidRDefault="0072214E" w:rsidP="002826CA">
      <w:pPr>
        <w:pStyle w:val="MGTHeader"/>
        <w:rPr>
          <w:rStyle w:val="eop"/>
          <w:rFonts w:ascii="Calibri" w:hAnsi="Calibri" w:cs="Calibri"/>
          <w:color w:val="4A4A4A"/>
        </w:rPr>
      </w:pPr>
      <w:r>
        <w:rPr>
          <w:rStyle w:val="normaltextrun"/>
          <w:rFonts w:ascii="Calibri" w:hAnsi="Calibri" w:cs="Calibri"/>
          <w:color w:val="4A4A4A"/>
        </w:rPr>
        <w:t>World Health Organization (WHO)</w:t>
      </w:r>
    </w:p>
    <w:p w14:paraId="791F5EAE" w14:textId="77777777" w:rsidR="002826CA" w:rsidRPr="00A96255" w:rsidRDefault="002826CA"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1" w:name="_Toc37932744"/>
      <w:bookmarkStart w:id="2" w:name="_Toc36813072"/>
      <w:bookmarkStart w:id="3" w:name="_Toc36812685"/>
      <w:bookmarkStart w:id="4" w:name="_Toc36812572"/>
      <w:bookmarkStart w:id="5" w:name="_Toc36655609"/>
      <w:r w:rsidRPr="00EA05D3">
        <w:t>1. Data reporter</w:t>
      </w:r>
      <w:bookmarkEnd w:id="1"/>
      <w:bookmarkEnd w:id="2"/>
      <w:bookmarkEnd w:id="3"/>
      <w:bookmarkEnd w:id="4"/>
      <w:bookmarkEnd w:id="5"/>
    </w:p>
    <w:p w14:paraId="0BD77982" w14:textId="72DFE854" w:rsidR="00576CFA" w:rsidRPr="00A96255" w:rsidRDefault="00576CFA" w:rsidP="00F719A8">
      <w:pPr>
        <w:pStyle w:val="MHeader2"/>
      </w:pPr>
      <w:r w:rsidRPr="00A96255">
        <w:t>1.a. Organisation</w:t>
      </w:r>
    </w:p>
    <w:p w14:paraId="6E829FD0" w14:textId="7BABAD00" w:rsidR="00F719A8" w:rsidRDefault="0072214E" w:rsidP="00576CFA">
      <w:pPr>
        <w:pStyle w:val="MText"/>
        <w:rPr>
          <w:rStyle w:val="eop"/>
          <w:rFonts w:ascii="Calibri" w:hAnsi="Calibri" w:cs="Calibri"/>
        </w:rPr>
      </w:pPr>
      <w:r>
        <w:rPr>
          <w:rStyle w:val="normaltextrun"/>
          <w:rFonts w:ascii="Calibri" w:hAnsi="Calibri" w:cs="Calibri"/>
        </w:rPr>
        <w:t>World Health Organization (WHO)</w:t>
      </w:r>
    </w:p>
    <w:p w14:paraId="30D0642A" w14:textId="77777777" w:rsidR="002826CA" w:rsidRDefault="002826CA" w:rsidP="00576CFA">
      <w:pPr>
        <w:pStyle w:val="MText"/>
      </w:pPr>
    </w:p>
    <w:p w14:paraId="14915AC8" w14:textId="7D506133" w:rsidR="00B31E2C" w:rsidRPr="00A96255" w:rsidRDefault="00B31E2C" w:rsidP="008B0AC7">
      <w:pPr>
        <w:pStyle w:val="MHeader"/>
      </w:pPr>
      <w:r w:rsidRPr="00A96255">
        <w:t>2. Definition, concepts, and classifications</w:t>
      </w:r>
    </w:p>
    <w:p w14:paraId="2AC373EA" w14:textId="44236363" w:rsidR="008B0AC7" w:rsidRPr="00A96255" w:rsidRDefault="008B0AC7" w:rsidP="00F719A8">
      <w:pPr>
        <w:pStyle w:val="MHeader2"/>
      </w:pPr>
      <w:r w:rsidRPr="00A96255">
        <w:t>2.a. Definition and concepts</w:t>
      </w:r>
    </w:p>
    <w:p w14:paraId="4886FCA8" w14:textId="77777777" w:rsidR="0072214E" w:rsidRDefault="0072214E" w:rsidP="0072214E">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4A4A4A"/>
          <w:sz w:val="21"/>
          <w:szCs w:val="21"/>
          <w:lang w:val="en-GB"/>
        </w:rPr>
        <w:t>Definition:</w:t>
      </w:r>
      <w:r>
        <w:rPr>
          <w:rStyle w:val="eop"/>
          <w:rFonts w:ascii="Calibri" w:hAnsi="Calibri" w:cs="Calibri"/>
          <w:color w:val="4A4A4A"/>
          <w:sz w:val="21"/>
          <w:szCs w:val="21"/>
        </w:rPr>
        <w:t> </w:t>
      </w:r>
    </w:p>
    <w:p w14:paraId="7D9791E5" w14:textId="77777777" w:rsidR="0072214E" w:rsidRDefault="0072214E" w:rsidP="0072214E">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3AC4FF5E" w14:textId="77777777" w:rsidR="0072214E" w:rsidRDefault="0072214E" w:rsidP="0072214E">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Number of people requiring treatment and care for any one of the neglected tropical diseases (NTDs) targeted by the WHO NTD Roadmap and World Health Assembly resolutions and reported to WHO.</w:t>
      </w:r>
      <w:r>
        <w:rPr>
          <w:rStyle w:val="eop"/>
          <w:rFonts w:ascii="Calibri" w:hAnsi="Calibri" w:cs="Calibri"/>
          <w:color w:val="4A4A4A"/>
          <w:sz w:val="21"/>
          <w:szCs w:val="21"/>
        </w:rPr>
        <w:t> </w:t>
      </w:r>
    </w:p>
    <w:p w14:paraId="328598AF" w14:textId="77777777" w:rsidR="0072214E" w:rsidRDefault="0072214E" w:rsidP="0072214E">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0368A552" w14:textId="77777777" w:rsidR="0072214E" w:rsidRDefault="0072214E" w:rsidP="0072214E">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4A4A4A"/>
          <w:sz w:val="21"/>
          <w:szCs w:val="21"/>
          <w:lang w:val="en-GB"/>
        </w:rPr>
        <w:lastRenderedPageBreak/>
        <w:t>Concepts:</w:t>
      </w:r>
      <w:r>
        <w:rPr>
          <w:rStyle w:val="eop"/>
          <w:rFonts w:ascii="Calibri" w:hAnsi="Calibri" w:cs="Calibri"/>
          <w:color w:val="4A4A4A"/>
          <w:sz w:val="21"/>
          <w:szCs w:val="21"/>
        </w:rPr>
        <w:t> </w:t>
      </w:r>
    </w:p>
    <w:p w14:paraId="609AE62C" w14:textId="77777777" w:rsidR="0072214E" w:rsidRDefault="0072214E" w:rsidP="0072214E">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317D0658" w14:textId="77777777" w:rsidR="0072214E" w:rsidRDefault="0072214E" w:rsidP="0072214E">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Treatment and care is broadly defined to allow for preventive, curative, surgical or rehabilitative treatment and care. </w:t>
      </w:r>
      <w:proofErr w:type="gramStart"/>
      <w:r>
        <w:rPr>
          <w:rStyle w:val="normaltextrun"/>
          <w:rFonts w:ascii="Calibri" w:hAnsi="Calibri" w:cs="Calibri"/>
          <w:color w:val="4A4A4A"/>
          <w:sz w:val="21"/>
          <w:szCs w:val="21"/>
          <w:lang w:val="en-GB"/>
        </w:rPr>
        <w:t>In particular, it</w:t>
      </w:r>
      <w:proofErr w:type="gramEnd"/>
      <w:r>
        <w:rPr>
          <w:rStyle w:val="normaltextrun"/>
          <w:rFonts w:ascii="Calibri" w:hAnsi="Calibri" w:cs="Calibri"/>
          <w:color w:val="4A4A4A"/>
          <w:sz w:val="21"/>
          <w:szCs w:val="21"/>
          <w:lang w:val="en-GB"/>
        </w:rPr>
        <w:t> includes both:</w:t>
      </w:r>
      <w:r>
        <w:rPr>
          <w:rStyle w:val="eop"/>
          <w:rFonts w:ascii="Calibri" w:hAnsi="Calibri" w:cs="Calibri"/>
          <w:color w:val="4A4A4A"/>
          <w:sz w:val="21"/>
          <w:szCs w:val="21"/>
        </w:rPr>
        <w:t> </w:t>
      </w:r>
    </w:p>
    <w:p w14:paraId="24692813" w14:textId="77777777" w:rsidR="0072214E" w:rsidRDefault="0072214E" w:rsidP="0072214E">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71332D07" w14:textId="77777777" w:rsidR="0072214E" w:rsidRDefault="0072214E" w:rsidP="0072214E">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1) Average annual number of people requiring mass treatment known as preventive chemotherapy (PC) for at least one PC-NTD; and</w:t>
      </w:r>
      <w:r>
        <w:rPr>
          <w:rStyle w:val="eop"/>
          <w:rFonts w:ascii="Calibri" w:hAnsi="Calibri" w:cs="Calibri"/>
          <w:color w:val="4A4A4A"/>
          <w:sz w:val="21"/>
          <w:szCs w:val="21"/>
        </w:rPr>
        <w:t> </w:t>
      </w:r>
    </w:p>
    <w:p w14:paraId="5353545C" w14:textId="77777777" w:rsidR="0072214E" w:rsidRDefault="0072214E" w:rsidP="0072214E">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3ED84023" w14:textId="77777777" w:rsidR="0072214E" w:rsidRDefault="0072214E" w:rsidP="0072214E">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2) Number of new cases requiring individual treatment and care for other NTDs.</w:t>
      </w:r>
      <w:r>
        <w:rPr>
          <w:rStyle w:val="eop"/>
          <w:rFonts w:ascii="Calibri" w:hAnsi="Calibri" w:cs="Calibri"/>
          <w:color w:val="4A4A4A"/>
          <w:sz w:val="21"/>
          <w:szCs w:val="21"/>
        </w:rPr>
        <w:t> </w:t>
      </w:r>
    </w:p>
    <w:p w14:paraId="09215C14" w14:textId="77777777" w:rsidR="0072214E" w:rsidRDefault="0072214E" w:rsidP="0072214E">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5FD62B2E" w14:textId="77777777" w:rsidR="0072214E" w:rsidRDefault="0072214E" w:rsidP="0072214E">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Other key interventions against NTDs (e.g. vector management, veterinary public health, water, sanitation and hygiene) are to be addressed in the context of other targets and indicators, namely Universal Health Coverage (UHC) and universal access to water and sanitation.</w:t>
      </w:r>
      <w:r>
        <w:rPr>
          <w:rStyle w:val="eop"/>
          <w:rFonts w:ascii="Calibri" w:hAnsi="Calibri" w:cs="Calibri"/>
          <w:color w:val="4A4A4A"/>
          <w:sz w:val="21"/>
          <w:szCs w:val="21"/>
        </w:rPr>
        <w:t> </w:t>
      </w:r>
    </w:p>
    <w:p w14:paraId="6E54D3D6" w14:textId="77777777" w:rsidR="00EC2915" w:rsidRPr="004645FA" w:rsidRDefault="00EC2915" w:rsidP="00576CFA">
      <w:pPr>
        <w:pStyle w:val="MText"/>
        <w:rPr>
          <w:lang w:val="en-US"/>
        </w:rPr>
      </w:pPr>
    </w:p>
    <w:p w14:paraId="7932F8BD" w14:textId="3869C451" w:rsidR="008B0AC7" w:rsidRPr="00A96255" w:rsidRDefault="00576CFA" w:rsidP="00F719A8">
      <w:pPr>
        <w:pStyle w:val="MHeader2"/>
      </w:pPr>
      <w:r>
        <w:t>2.b.</w:t>
      </w:r>
      <w:r w:rsidR="008B0AC7">
        <w:t xml:space="preserve"> Unit of measure</w:t>
      </w:r>
    </w:p>
    <w:p w14:paraId="54006A2E" w14:textId="7ED764DD" w:rsidR="38065B22" w:rsidRDefault="38065B22" w:rsidP="00CD31C9">
      <w:pPr>
        <w:pStyle w:val="MText"/>
      </w:pPr>
      <w:r>
        <w:t>Number of people</w:t>
      </w:r>
    </w:p>
    <w:p w14:paraId="651AA7AC" w14:textId="5144B8C4" w:rsidR="00DA615C" w:rsidRPr="00A96255" w:rsidRDefault="008B0AC7" w:rsidP="00F719A8">
      <w:pPr>
        <w:pStyle w:val="MHeader2"/>
      </w:pPr>
      <w:r w:rsidRPr="00A96255">
        <w:t>2.c. Classifications</w:t>
      </w:r>
    </w:p>
    <w:p w14:paraId="6291A7DD" w14:textId="7B16491E" w:rsidR="00576CFA" w:rsidRPr="00A96255" w:rsidRDefault="3352B362" w:rsidP="00576CFA">
      <w:pPr>
        <w:pStyle w:val="MText"/>
      </w:pPr>
      <w:r w:rsidRPr="004645FA">
        <w:rPr>
          <w:rStyle w:val="normaltextrun"/>
          <w:rFonts w:ascii="Calibri" w:hAnsi="Calibri" w:cs="Calibri"/>
        </w:rPr>
        <w:t>Not applicable</w:t>
      </w:r>
    </w:p>
    <w:p w14:paraId="123172F4" w14:textId="317734A1" w:rsidR="00F719A8" w:rsidRPr="00A96255" w:rsidRDefault="00F719A8" w:rsidP="00576CFA">
      <w:pPr>
        <w:pStyle w:val="MText"/>
      </w:pPr>
    </w:p>
    <w:p w14:paraId="1D3AEECA" w14:textId="4C5EC949" w:rsidR="00B31E2C" w:rsidRPr="00F719A8" w:rsidRDefault="00B31E2C" w:rsidP="00F719A8">
      <w:pPr>
        <w:pStyle w:val="MHeader"/>
      </w:pPr>
      <w:r w:rsidRPr="00F719A8">
        <w:t>3. Data source type and data collection method</w:t>
      </w:r>
    </w:p>
    <w:p w14:paraId="340B050E" w14:textId="31C09E5F" w:rsidR="008B0AC7" w:rsidRPr="00A96255" w:rsidRDefault="008B0AC7" w:rsidP="00F719A8">
      <w:pPr>
        <w:pStyle w:val="MHeader2"/>
      </w:pPr>
      <w:r w:rsidRPr="00A96255">
        <w:t>3.a. Data sources</w:t>
      </w:r>
    </w:p>
    <w:p w14:paraId="2AE48DA6" w14:textId="77777777" w:rsidR="00956D34" w:rsidRDefault="00956D34" w:rsidP="00956D34">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4A4A4A"/>
          <w:sz w:val="21"/>
          <w:szCs w:val="21"/>
          <w:lang w:val="en-GB"/>
        </w:rPr>
        <w:t>Description:</w:t>
      </w:r>
      <w:r>
        <w:rPr>
          <w:rStyle w:val="eop"/>
          <w:rFonts w:ascii="Calibri" w:hAnsi="Calibri" w:cs="Calibri"/>
          <w:color w:val="4A4A4A"/>
          <w:sz w:val="21"/>
          <w:szCs w:val="21"/>
        </w:rPr>
        <w:t> </w:t>
      </w:r>
    </w:p>
    <w:p w14:paraId="1D1AD52D" w14:textId="77777777" w:rsidR="00956D34" w:rsidRDefault="00956D34" w:rsidP="00956D34">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2970D7D8" w14:textId="2100047A" w:rsidR="00956D34" w:rsidRDefault="00956D34" w:rsidP="00956D34">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The number of people requiring treatment and care for NTDs is measured by existing country </w:t>
      </w:r>
      <w:r w:rsidR="00695220">
        <w:rPr>
          <w:rStyle w:val="normaltextrun"/>
          <w:rFonts w:ascii="Calibri" w:hAnsi="Calibri" w:cs="Calibri"/>
          <w:color w:val="4A4A4A"/>
          <w:sz w:val="21"/>
          <w:szCs w:val="21"/>
          <w:lang w:val="en-GB"/>
        </w:rPr>
        <w:t>systems, and</w:t>
      </w:r>
      <w:r>
        <w:rPr>
          <w:rStyle w:val="normaltextrun"/>
          <w:rFonts w:ascii="Calibri" w:hAnsi="Calibri" w:cs="Calibri"/>
          <w:color w:val="4A4A4A"/>
          <w:sz w:val="21"/>
          <w:szCs w:val="21"/>
          <w:lang w:val="en-GB"/>
        </w:rPr>
        <w:t> reported through joint request and reporting forms for donated medicines, the integrated NTD database, and other reports to WHO.</w:t>
      </w:r>
      <w:r>
        <w:rPr>
          <w:rStyle w:val="eop"/>
          <w:rFonts w:ascii="Calibri" w:hAnsi="Calibri" w:cs="Calibri"/>
          <w:color w:val="4A4A4A"/>
          <w:sz w:val="21"/>
          <w:szCs w:val="21"/>
        </w:rPr>
        <w:t> </w:t>
      </w:r>
    </w:p>
    <w:p w14:paraId="691551A8" w14:textId="77777777" w:rsidR="00956D34" w:rsidRDefault="00956D34" w:rsidP="00956D34">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71EA9237" w14:textId="18B88A79" w:rsidR="00956D34" w:rsidRDefault="3B37EF83" w:rsidP="3ECAD149">
      <w:pPr>
        <w:pStyle w:val="paragraph"/>
        <w:shd w:val="clear" w:color="auto" w:fill="FFFFFF" w:themeFill="background1"/>
        <w:spacing w:before="0" w:beforeAutospacing="0" w:after="0" w:afterAutospacing="0"/>
        <w:textAlignment w:val="baseline"/>
        <w:rPr>
          <w:rFonts w:ascii="Segoe UI" w:hAnsi="Segoe UI" w:cs="Segoe UI"/>
          <w:sz w:val="18"/>
          <w:szCs w:val="18"/>
        </w:rPr>
      </w:pPr>
      <w:r w:rsidRPr="3ECAD149">
        <w:rPr>
          <w:rStyle w:val="normaltextrun"/>
          <w:rFonts w:ascii="Calibri" w:hAnsi="Calibri" w:cs="Calibri"/>
          <w:color w:val="0000FF"/>
          <w:sz w:val="21"/>
          <w:szCs w:val="21"/>
          <w:u w:val="single"/>
          <w:lang w:val="en-GB"/>
        </w:rPr>
        <w:t xml:space="preserve"> https://www.who.int/teams/control-of-neglected-tropical-diseases/preventive-chemotherapy/joint-application-package </w:t>
      </w:r>
      <w:r w:rsidR="00956D34" w:rsidRPr="3ECAD149">
        <w:rPr>
          <w:rStyle w:val="eop"/>
          <w:color w:val="4A4A4A"/>
          <w:sz w:val="21"/>
          <w:szCs w:val="21"/>
        </w:rPr>
        <w:t> </w:t>
      </w:r>
    </w:p>
    <w:p w14:paraId="4EF82F4E" w14:textId="7AA508BD" w:rsidR="00956D34" w:rsidRDefault="67FA97CD" w:rsidP="3A6FFEF0">
      <w:pPr>
        <w:pStyle w:val="paragraph"/>
        <w:shd w:val="clear" w:color="auto" w:fill="FFFFFF" w:themeFill="background1"/>
        <w:spacing w:before="0" w:beforeAutospacing="0" w:after="0" w:afterAutospacing="0"/>
        <w:textAlignment w:val="baseline"/>
        <w:rPr>
          <w:rFonts w:ascii="Segoe UI" w:hAnsi="Segoe UI" w:cs="Segoe UI"/>
          <w:sz w:val="18"/>
          <w:szCs w:val="18"/>
        </w:rPr>
      </w:pPr>
      <w:r w:rsidRPr="3A6FFEF0">
        <w:rPr>
          <w:rStyle w:val="normaltextrun"/>
          <w:rFonts w:ascii="Calibri" w:hAnsi="Calibri" w:cs="Calibri"/>
          <w:color w:val="0000FF"/>
          <w:sz w:val="21"/>
          <w:szCs w:val="21"/>
          <w:u w:val="single"/>
          <w:lang w:val="en-GB"/>
        </w:rPr>
        <w:t xml:space="preserve"> https://www.who.int/teams/control-of-neglected-tropical-diseases/preventive-chemotherapy/integrated-ntd-database </w:t>
      </w:r>
      <w:r w:rsidR="00956D34" w:rsidRPr="3A6FFEF0">
        <w:rPr>
          <w:rStyle w:val="normaltextrun"/>
          <w:color w:val="4A4A4A"/>
          <w:sz w:val="21"/>
          <w:szCs w:val="21"/>
          <w:lang w:val="en-GB"/>
        </w:rPr>
        <w:t> </w:t>
      </w:r>
      <w:r w:rsidR="00956D34" w:rsidRPr="3A6FFEF0">
        <w:rPr>
          <w:rStyle w:val="eop"/>
          <w:color w:val="4A4A4A"/>
          <w:sz w:val="21"/>
          <w:szCs w:val="21"/>
        </w:rPr>
        <w:t> </w:t>
      </w:r>
    </w:p>
    <w:p w14:paraId="223BAFC2" w14:textId="77777777" w:rsidR="00956D34" w:rsidRDefault="00956D34" w:rsidP="00956D34">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66D278F2" w14:textId="77777777" w:rsidR="00956D34" w:rsidRDefault="00956D34" w:rsidP="00956D34">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Country data are published via the WHO Global Health Observatory and Preventive Chemotherapy Data Portal</w:t>
      </w:r>
      <w:r>
        <w:rPr>
          <w:rStyle w:val="normaltextrun"/>
          <w:color w:val="4A4A4A"/>
          <w:sz w:val="21"/>
          <w:szCs w:val="21"/>
          <w:lang w:val="en-GB"/>
        </w:rPr>
        <w:t>.</w:t>
      </w:r>
      <w:r>
        <w:rPr>
          <w:rStyle w:val="eop"/>
          <w:color w:val="4A4A4A"/>
          <w:sz w:val="21"/>
          <w:szCs w:val="21"/>
        </w:rPr>
        <w:t> </w:t>
      </w:r>
    </w:p>
    <w:p w14:paraId="3376C317" w14:textId="77777777" w:rsidR="00956D34" w:rsidRDefault="00956D34" w:rsidP="00956D34">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73F4262E" w14:textId="346252D8" w:rsidR="00956D34" w:rsidRDefault="7A9D4E79" w:rsidP="3ECAD149">
      <w:pPr>
        <w:pStyle w:val="paragraph"/>
        <w:shd w:val="clear" w:color="auto" w:fill="FFFFFF" w:themeFill="background1"/>
        <w:spacing w:before="0" w:beforeAutospacing="0" w:after="0" w:afterAutospacing="0"/>
        <w:rPr>
          <w:rFonts w:ascii="Segoe UI" w:hAnsi="Segoe UI" w:cs="Segoe UI"/>
          <w:sz w:val="18"/>
          <w:szCs w:val="18"/>
        </w:rPr>
      </w:pPr>
      <w:r w:rsidRPr="3ECAD149">
        <w:rPr>
          <w:rStyle w:val="normaltextrun"/>
          <w:rFonts w:ascii="Calibri" w:hAnsi="Calibri" w:cs="Calibri"/>
          <w:color w:val="0000FF"/>
          <w:sz w:val="21"/>
          <w:szCs w:val="21"/>
          <w:u w:val="single"/>
          <w:lang w:val="en-GB"/>
        </w:rPr>
        <w:t xml:space="preserve"> https://www.who.int/data/gho/data/themes/neglected-tropical-diseases</w:t>
      </w:r>
    </w:p>
    <w:p w14:paraId="6F2D5EF2" w14:textId="77777777" w:rsidR="00956D34" w:rsidRDefault="00EF7EA5" w:rsidP="00956D34">
      <w:pPr>
        <w:pStyle w:val="paragraph"/>
        <w:shd w:val="clear" w:color="auto" w:fill="FFFFFF"/>
        <w:spacing w:before="0" w:beforeAutospacing="0" w:after="0" w:afterAutospacing="0"/>
        <w:textAlignment w:val="baseline"/>
        <w:rPr>
          <w:rFonts w:ascii="Segoe UI" w:hAnsi="Segoe UI" w:cs="Segoe UI"/>
          <w:sz w:val="18"/>
          <w:szCs w:val="18"/>
        </w:rPr>
      </w:pPr>
      <w:hyperlink r:id="rId11" w:tgtFrame="_blank" w:history="1">
        <w:r w:rsidR="00956D34">
          <w:rPr>
            <w:rStyle w:val="normaltextrun"/>
            <w:rFonts w:ascii="Calibri" w:hAnsi="Calibri" w:cs="Calibri"/>
            <w:color w:val="0000FF"/>
            <w:sz w:val="22"/>
            <w:szCs w:val="22"/>
            <w:u w:val="single"/>
            <w:lang w:val="en-GB"/>
          </w:rPr>
          <w:t>http://apps.who.int/gho/cabinet/pc.jsp</w:t>
        </w:r>
      </w:hyperlink>
      <w:r w:rsidR="00956D34">
        <w:rPr>
          <w:rStyle w:val="eop"/>
          <w:color w:val="4A4A4A"/>
          <w:sz w:val="21"/>
          <w:szCs w:val="21"/>
        </w:rPr>
        <w:t> </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3.b</w:t>
      </w:r>
      <w:r w:rsidR="008B0AC7" w:rsidRPr="00A96255">
        <w:t>. Data collection method</w:t>
      </w:r>
    </w:p>
    <w:p w14:paraId="54729D22" w14:textId="77777777" w:rsidR="00956D34" w:rsidRDefault="00956D34" w:rsidP="00956D34">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4F81BD"/>
          <w:sz w:val="21"/>
          <w:szCs w:val="21"/>
          <w:lang w:val="en-GB"/>
        </w:rPr>
        <w:t>NTDs requiring preventive chemotherapy (PC-NTDs)</w:t>
      </w:r>
      <w:r>
        <w:rPr>
          <w:rStyle w:val="eop"/>
          <w:rFonts w:ascii="Calibri" w:hAnsi="Calibri" w:cs="Calibri"/>
          <w:color w:val="4F81BD"/>
          <w:sz w:val="21"/>
          <w:szCs w:val="21"/>
        </w:rPr>
        <w:t> </w:t>
      </w:r>
    </w:p>
    <w:p w14:paraId="4C02F845" w14:textId="77777777" w:rsidR="00956D34" w:rsidRDefault="00956D34" w:rsidP="00956D34">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As part of global efforts to accelerate expansion of preventive chemotherapy for elimination and control of lymphatic filariasis (LF), schistosomiasis (SCH) and soil-transmitted helminthiases (STH), WHO facilitates the supply of the following medicines donated by the pharmaceutical industry: diethylcarbamazine citrate, albendazole, mebendazole, and praziquantel. WHO also collaborates to supply ivermectin for onchocerciasis (ONCHO) and lymphatic filariasis elimination programmes.</w:t>
      </w:r>
      <w:r>
        <w:rPr>
          <w:rStyle w:val="eop"/>
          <w:rFonts w:ascii="Calibri" w:hAnsi="Calibri" w:cs="Calibri"/>
          <w:color w:val="4A4A4A"/>
          <w:sz w:val="21"/>
          <w:szCs w:val="21"/>
        </w:rPr>
        <w:t> </w:t>
      </w:r>
    </w:p>
    <w:p w14:paraId="28FB3D85" w14:textId="77777777" w:rsidR="00956D34" w:rsidRDefault="00956D34" w:rsidP="00956D34">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4973D19C" w14:textId="77777777" w:rsidR="00956D34" w:rsidRDefault="00956D34" w:rsidP="00956D34">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A joint mechanism and a set of forms have been developed to facilitate the process of application, review and reporting as well as to improve coordination and integration among different programmes.</w:t>
      </w:r>
      <w:r>
        <w:rPr>
          <w:rStyle w:val="eop"/>
          <w:rFonts w:ascii="Calibri" w:hAnsi="Calibri" w:cs="Calibri"/>
          <w:color w:val="4A4A4A"/>
          <w:sz w:val="21"/>
          <w:szCs w:val="21"/>
        </w:rPr>
        <w:t> </w:t>
      </w:r>
    </w:p>
    <w:p w14:paraId="7B3D33A5" w14:textId="77777777" w:rsidR="00956D34" w:rsidRDefault="00956D34" w:rsidP="00956D34">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75F3494F" w14:textId="77777777" w:rsidR="00956D34" w:rsidRDefault="00956D34" w:rsidP="00956D34">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lastRenderedPageBreak/>
        <w:t>Joint Request for Selected PC Medicines (JRSM) – designed to assist countries in quantifying the number of tablets of the relevant medicines required to reach the planned target population and districts in a coordinated and integrated manner against multiple diseases during the year for which medicines are requested.</w:t>
      </w:r>
      <w:r>
        <w:rPr>
          <w:rStyle w:val="eop"/>
          <w:rFonts w:ascii="Calibri" w:hAnsi="Calibri" w:cs="Calibri"/>
          <w:color w:val="4A4A4A"/>
          <w:sz w:val="21"/>
          <w:szCs w:val="21"/>
        </w:rPr>
        <w:t> </w:t>
      </w:r>
    </w:p>
    <w:p w14:paraId="11504C05" w14:textId="77777777" w:rsidR="00956D34" w:rsidRDefault="00956D34" w:rsidP="00956D34">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50811A15" w14:textId="77777777" w:rsidR="00956D34" w:rsidRDefault="00956D34" w:rsidP="00956D34">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Joint Reporting Form (JRF) – designed to assist countries in reporting annual progress on integrated and coordinated distribution of medicines across PC-NTDs</w:t>
      </w:r>
      <w:r>
        <w:rPr>
          <w:rStyle w:val="normaltextrun"/>
          <w:color w:val="4A4A4A"/>
          <w:sz w:val="21"/>
          <w:szCs w:val="21"/>
          <w:lang w:val="en-GB"/>
        </w:rPr>
        <w:t> </w:t>
      </w:r>
      <w:r>
        <w:rPr>
          <w:rStyle w:val="normaltextrun"/>
          <w:rFonts w:ascii="Calibri" w:hAnsi="Calibri" w:cs="Calibri"/>
          <w:color w:val="4A4A4A"/>
          <w:sz w:val="21"/>
          <w:szCs w:val="21"/>
          <w:lang w:val="en-GB"/>
        </w:rPr>
        <w:t>in the reporting year in a standardized format.</w:t>
      </w:r>
      <w:r>
        <w:rPr>
          <w:rStyle w:val="eop"/>
          <w:rFonts w:ascii="Calibri" w:hAnsi="Calibri" w:cs="Calibri"/>
          <w:color w:val="4A4A4A"/>
          <w:sz w:val="21"/>
          <w:szCs w:val="21"/>
        </w:rPr>
        <w:t> </w:t>
      </w:r>
    </w:p>
    <w:p w14:paraId="03D26F4D" w14:textId="77777777" w:rsidR="00956D34" w:rsidRDefault="00956D34" w:rsidP="00956D34">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3B047E04" w14:textId="77777777" w:rsidR="00956D34" w:rsidRDefault="00956D34" w:rsidP="00956D34">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PC Epidemiological Data Reporting Form (EPIRF) – designed to standardize national reporting of epidemiological data on lymphatic filariasis, onchocerciasis, soil-transmitted helminthiases and schistosomiasis. National authorities are encouraged to complete this form and submit it to WHO on a yearly basis, together with the JRF.</w:t>
      </w:r>
      <w:r>
        <w:rPr>
          <w:rStyle w:val="eop"/>
          <w:rFonts w:ascii="Calibri" w:hAnsi="Calibri" w:cs="Calibri"/>
          <w:color w:val="4A4A4A"/>
          <w:sz w:val="21"/>
          <w:szCs w:val="21"/>
        </w:rPr>
        <w:t> </w:t>
      </w:r>
    </w:p>
    <w:p w14:paraId="36633D44" w14:textId="77777777" w:rsidR="00956D34" w:rsidRDefault="00956D34" w:rsidP="00956D34">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18321D11" w14:textId="77777777" w:rsidR="00956D34" w:rsidRDefault="00956D34" w:rsidP="00956D34">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The reports generated in the JRSM and in the JRF (SUMMARY worksheets) must be printed and signed by the NTD coordinator or a Ministry of Health representative to formally endorse the country’s request for these medicines and the reported annual progress of the national programme(s). The date of signature must also be included. Once signatures have been obtained, the scanned copies of the two worksheets, together with the full Excel versions of the JRSM, the JRF and the EPIRF can be jointly submitted to WHO.</w:t>
      </w:r>
      <w:r>
        <w:rPr>
          <w:rStyle w:val="eop"/>
          <w:rFonts w:ascii="Calibri" w:hAnsi="Calibri" w:cs="Calibri"/>
          <w:color w:val="4A4A4A"/>
          <w:sz w:val="21"/>
          <w:szCs w:val="21"/>
        </w:rPr>
        <w:t> </w:t>
      </w:r>
    </w:p>
    <w:p w14:paraId="5591D3F7" w14:textId="77777777" w:rsidR="00956D34" w:rsidRDefault="00956D34" w:rsidP="00956D34">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567D8CD0" w14:textId="77777777" w:rsidR="00956D34" w:rsidRDefault="00956D34" w:rsidP="00956D34">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The forms are submitted to the WHO Representative of the concerned WHO Country office with electronic copies to </w:t>
      </w:r>
      <w:r>
        <w:rPr>
          <w:rStyle w:val="normaltextrun"/>
          <w:rFonts w:ascii="Calibri" w:hAnsi="Calibri" w:cs="Calibri"/>
          <w:i/>
          <w:iCs/>
          <w:color w:val="4A4A4A"/>
          <w:sz w:val="21"/>
          <w:szCs w:val="21"/>
          <w:u w:val="single"/>
          <w:lang w:val="en-GB"/>
        </w:rPr>
        <w:t>PC_JointForms@who.int</w:t>
      </w:r>
      <w:r>
        <w:rPr>
          <w:rStyle w:val="normaltextrun"/>
          <w:rFonts w:ascii="Calibri" w:hAnsi="Calibri" w:cs="Calibri"/>
          <w:color w:val="4A4A4A"/>
          <w:sz w:val="21"/>
          <w:szCs w:val="21"/>
          <w:lang w:val="en-GB"/>
        </w:rPr>
        <w:t> and the concerned Regional focal point, no later than 15 August of the year preceding the year for which medicines are intended to be used (e.g. at the latest by 15 August 2015 for implementation of preventive chemotherapy in 2016) but at least 6-8 months before the planned PC intervention(s) to allow time for reviewing and approval of the request, placing order, manufacturing PC medicines and shipment to the country.</w:t>
      </w:r>
      <w:r>
        <w:rPr>
          <w:rStyle w:val="eop"/>
          <w:rFonts w:ascii="Calibri" w:hAnsi="Calibri" w:cs="Calibri"/>
          <w:color w:val="4A4A4A"/>
          <w:sz w:val="21"/>
          <w:szCs w:val="21"/>
        </w:rPr>
        <w:t> </w:t>
      </w:r>
    </w:p>
    <w:p w14:paraId="298FD87D" w14:textId="77777777" w:rsidR="00956D34" w:rsidRDefault="00956D34" w:rsidP="00956D34">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0E70ED7C" w14:textId="3B11077A" w:rsidR="00956D34" w:rsidRDefault="7AA6E19E" w:rsidP="3ECAD149">
      <w:pPr>
        <w:pStyle w:val="paragraph"/>
        <w:shd w:val="clear" w:color="auto" w:fill="FFFFFF" w:themeFill="background1"/>
        <w:spacing w:before="0" w:beforeAutospacing="0" w:after="0" w:afterAutospacing="0"/>
        <w:textAlignment w:val="baseline"/>
        <w:rPr>
          <w:rFonts w:ascii="Segoe UI" w:hAnsi="Segoe UI" w:cs="Segoe UI"/>
          <w:sz w:val="18"/>
          <w:szCs w:val="18"/>
        </w:rPr>
      </w:pPr>
      <w:r w:rsidRPr="3ECAD149">
        <w:rPr>
          <w:rStyle w:val="normaltextrun"/>
          <w:rFonts w:ascii="Calibri" w:hAnsi="Calibri" w:cs="Calibri"/>
          <w:color w:val="0000FF"/>
          <w:sz w:val="21"/>
          <w:szCs w:val="21"/>
          <w:u w:val="single"/>
          <w:lang w:val="en-GB"/>
        </w:rPr>
        <w:t xml:space="preserve"> https://www.who.int/teams/control-of-neglected-tropical-diseases/preventive-chemotherapy/joint-application-package </w:t>
      </w:r>
      <w:r w:rsidR="00956D34" w:rsidRPr="3ECAD149">
        <w:rPr>
          <w:rStyle w:val="eop"/>
          <w:color w:val="4A4A4A"/>
          <w:sz w:val="21"/>
          <w:szCs w:val="21"/>
        </w:rPr>
        <w:t> </w:t>
      </w:r>
    </w:p>
    <w:p w14:paraId="2180D27C" w14:textId="1758B973" w:rsidR="00956D34" w:rsidRDefault="00956D34" w:rsidP="00EE2B86">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6617A7E0" w14:textId="77777777" w:rsidR="00956D34" w:rsidRDefault="00956D34" w:rsidP="00956D34">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4A4A4A"/>
          <w:sz w:val="21"/>
          <w:szCs w:val="21"/>
          <w:lang w:val="en-GB"/>
        </w:rPr>
        <w:t>NTDs requiring individual diagnosis and treatment</w:t>
      </w:r>
      <w:r>
        <w:rPr>
          <w:rStyle w:val="eop"/>
          <w:rFonts w:ascii="Calibri" w:hAnsi="Calibri" w:cs="Calibri"/>
          <w:color w:val="4A4A4A"/>
          <w:sz w:val="21"/>
          <w:szCs w:val="21"/>
        </w:rPr>
        <w:t> </w:t>
      </w:r>
    </w:p>
    <w:p w14:paraId="34902B7F" w14:textId="77777777" w:rsidR="00956D34" w:rsidRDefault="00956D34" w:rsidP="00956D34">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Countries are invited to report on Buruli ulcer, Chagas disease, leprosy, the leishmaniases, mycetoma, rabies and yaws cases using Excel templates or directly into the WHO integrated data platform (</w:t>
      </w:r>
      <w:hyperlink r:id="rId12" w:tgtFrame="_blank" w:history="1">
        <w:r>
          <w:rPr>
            <w:rStyle w:val="normaltextrun"/>
            <w:rFonts w:ascii="Calibri" w:hAnsi="Calibri" w:cs="Calibri"/>
            <w:color w:val="0000FF"/>
            <w:sz w:val="22"/>
            <w:szCs w:val="22"/>
            <w:u w:val="single"/>
            <w:lang w:val="en-GB"/>
          </w:rPr>
          <w:t>https://extranet.who.int/dhis2</w:t>
        </w:r>
      </w:hyperlink>
      <w:r>
        <w:rPr>
          <w:rStyle w:val="normaltextrun"/>
          <w:rFonts w:ascii="Calibri" w:hAnsi="Calibri" w:cs="Calibri"/>
          <w:color w:val="4A4A4A"/>
          <w:sz w:val="21"/>
          <w:szCs w:val="21"/>
          <w:lang w:val="en-GB"/>
        </w:rPr>
        <w:t>). Modules are under development to collect information on snakebite envenoming, echinococcosis and taeniasis cases through this same platform.</w:t>
      </w:r>
      <w:r>
        <w:rPr>
          <w:rStyle w:val="eop"/>
          <w:rFonts w:ascii="Calibri" w:hAnsi="Calibri" w:cs="Calibri"/>
          <w:color w:val="4A4A4A"/>
          <w:sz w:val="21"/>
          <w:szCs w:val="21"/>
        </w:rPr>
        <w:t> </w:t>
      </w:r>
    </w:p>
    <w:p w14:paraId="19E168ED" w14:textId="77777777" w:rsidR="00956D34" w:rsidRDefault="00956D34" w:rsidP="00956D34">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77831201" w14:textId="77777777" w:rsidR="00956D34" w:rsidRDefault="00956D34" w:rsidP="00956D34">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Cases of human African trypanosomiasis (HAT) and other key HAT indicators are reported at village level by national sleeping sickness control programmes through annual reports and entered in the Atlas of HAT (</w:t>
      </w:r>
      <w:hyperlink r:id="rId13" w:tgtFrame="_blank" w:history="1">
        <w:r>
          <w:rPr>
            <w:rStyle w:val="normaltextrun"/>
            <w:rFonts w:ascii="Calibri" w:hAnsi="Calibri" w:cs="Calibri"/>
            <w:color w:val="0000FF"/>
            <w:sz w:val="22"/>
            <w:szCs w:val="22"/>
            <w:u w:val="single"/>
            <w:lang w:val="en-GB"/>
          </w:rPr>
          <w:t>https://www.who.int/trypanosomiasis_african/resources/j_healthgeographics_10.1186_1476_072X_9_57/en/</w:t>
        </w:r>
      </w:hyperlink>
      <w:r>
        <w:rPr>
          <w:rStyle w:val="normaltextrun"/>
          <w:rFonts w:ascii="Calibri" w:hAnsi="Calibri" w:cs="Calibri"/>
          <w:color w:val="4A4A4A"/>
          <w:sz w:val="21"/>
          <w:szCs w:val="21"/>
          <w:lang w:val="en-GB"/>
        </w:rPr>
        <w:t>), but annual cases aggregated at country level are also entered in the WHO integrated data platform.</w:t>
      </w:r>
      <w:r>
        <w:rPr>
          <w:rStyle w:val="eop"/>
          <w:rFonts w:ascii="Calibri" w:hAnsi="Calibri" w:cs="Calibri"/>
          <w:color w:val="4A4A4A"/>
          <w:sz w:val="21"/>
          <w:szCs w:val="21"/>
        </w:rPr>
        <w:t> </w:t>
      </w:r>
    </w:p>
    <w:p w14:paraId="7D9F065F" w14:textId="706A1A13" w:rsidR="00EC2915" w:rsidRPr="00A96255" w:rsidRDefault="00576CFA" w:rsidP="004F1F9D">
      <w:pPr>
        <w:pStyle w:val="MText"/>
      </w:pPr>
      <w:r w:rsidRPr="00A96255">
        <w:tab/>
      </w:r>
    </w:p>
    <w:p w14:paraId="170A2C05" w14:textId="34873ECA" w:rsidR="00E46D96" w:rsidRPr="00A96255" w:rsidRDefault="00E46D96" w:rsidP="00F719A8">
      <w:pPr>
        <w:pStyle w:val="MHeader2"/>
      </w:pPr>
      <w:r w:rsidRPr="00A96255">
        <w:t>3.c. Data collection calendar</w:t>
      </w:r>
    </w:p>
    <w:p w14:paraId="16958E7B" w14:textId="777F887D" w:rsidR="00956D34" w:rsidRDefault="00956D34" w:rsidP="00956D34">
      <w:pPr>
        <w:pStyle w:val="paragraph"/>
        <w:shd w:val="clear" w:color="auto" w:fill="FFFFFF"/>
        <w:spacing w:before="0" w:beforeAutospacing="0" w:after="0" w:afterAutospacing="0"/>
        <w:textAlignment w:val="baseline"/>
        <w:rPr>
          <w:rFonts w:ascii="Segoe UI" w:hAnsi="Segoe UI" w:cs="Segoe UI"/>
          <w:sz w:val="18"/>
          <w:szCs w:val="18"/>
        </w:rPr>
      </w:pPr>
    </w:p>
    <w:p w14:paraId="0287BFF5" w14:textId="53DF06A7" w:rsidR="00956D34" w:rsidRDefault="00F15D18" w:rsidP="2B56C6B7">
      <w:pPr>
        <w:pStyle w:val="paragraph"/>
        <w:shd w:val="clear" w:color="auto" w:fill="FFFFFF" w:themeFill="background1"/>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2019</w:t>
      </w:r>
      <w:r w:rsidRPr="2B56C6B7">
        <w:rPr>
          <w:rStyle w:val="normaltextrun"/>
          <w:color w:val="4A4A4A"/>
          <w:sz w:val="21"/>
          <w:szCs w:val="21"/>
          <w:lang w:val="en-GB"/>
        </w:rPr>
        <w:t> </w:t>
      </w:r>
      <w:r w:rsidR="00956D34" w:rsidRPr="2B56C6B7">
        <w:rPr>
          <w:rStyle w:val="normaltextrun"/>
          <w:rFonts w:ascii="Calibri" w:hAnsi="Calibri" w:cs="Calibri"/>
          <w:color w:val="4A4A4A"/>
          <w:sz w:val="21"/>
          <w:szCs w:val="21"/>
          <w:lang w:val="en-GB"/>
        </w:rPr>
        <w:t>data is being collected throughout Q2 and Q3 of </w:t>
      </w:r>
      <w:r>
        <w:rPr>
          <w:rStyle w:val="normaltextrun"/>
          <w:rFonts w:ascii="Calibri" w:hAnsi="Calibri" w:cs="Calibri"/>
          <w:color w:val="4A4A4A"/>
          <w:sz w:val="21"/>
          <w:szCs w:val="21"/>
          <w:lang w:val="en-GB"/>
        </w:rPr>
        <w:t>2020</w:t>
      </w:r>
      <w:r w:rsidR="00956D34" w:rsidRPr="2B56C6B7">
        <w:rPr>
          <w:rStyle w:val="normaltextrun"/>
          <w:color w:val="4A4A4A"/>
          <w:sz w:val="21"/>
          <w:szCs w:val="21"/>
          <w:lang w:val="en-GB"/>
        </w:rPr>
        <w:t>. </w:t>
      </w:r>
      <w:r w:rsidR="00956D34" w:rsidRPr="2B56C6B7">
        <w:rPr>
          <w:rStyle w:val="eop"/>
          <w:color w:val="4A4A4A"/>
          <w:sz w:val="21"/>
          <w:szCs w:val="21"/>
        </w:rPr>
        <w:t> </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3.d. Data release calendar</w:t>
      </w:r>
    </w:p>
    <w:p w14:paraId="64C749BD" w14:textId="5D30D028" w:rsidR="00EC2915" w:rsidRDefault="00956D34" w:rsidP="00576CFA">
      <w:pPr>
        <w:pStyle w:val="MText"/>
        <w:rPr>
          <w:rStyle w:val="eop"/>
          <w:rFonts w:ascii="Calibri" w:hAnsi="Calibri" w:cs="Calibri"/>
        </w:rPr>
      </w:pPr>
      <w:r w:rsidRPr="2B56C6B7">
        <w:rPr>
          <w:rStyle w:val="normaltextrun"/>
          <w:rFonts w:ascii="Calibri" w:hAnsi="Calibri" w:cs="Calibri"/>
        </w:rPr>
        <w:t>Q4</w:t>
      </w:r>
      <w:r w:rsidRPr="2B56C6B7">
        <w:rPr>
          <w:rStyle w:val="normaltextrun"/>
        </w:rPr>
        <w:t> </w:t>
      </w:r>
      <w:r w:rsidR="00F15D18">
        <w:rPr>
          <w:rStyle w:val="normaltextrun"/>
          <w:rFonts w:ascii="Calibri" w:hAnsi="Calibri" w:cs="Calibri"/>
        </w:rPr>
        <w:t>2020</w:t>
      </w:r>
      <w:r w:rsidR="00F15D18" w:rsidRPr="2B56C6B7">
        <w:rPr>
          <w:rStyle w:val="normaltextrun"/>
        </w:rPr>
        <w:t> </w:t>
      </w:r>
      <w:r w:rsidRPr="2B56C6B7">
        <w:rPr>
          <w:rStyle w:val="normaltextrun"/>
          <w:rFonts w:ascii="Calibri" w:hAnsi="Calibri" w:cs="Calibri"/>
        </w:rPr>
        <w:t>for </w:t>
      </w:r>
      <w:r w:rsidR="00F15D18">
        <w:rPr>
          <w:rStyle w:val="normaltextrun"/>
          <w:rFonts w:ascii="Calibri" w:hAnsi="Calibri" w:cs="Calibri"/>
        </w:rPr>
        <w:t>2019</w:t>
      </w:r>
      <w:r w:rsidR="00F15D18" w:rsidRPr="2B56C6B7">
        <w:rPr>
          <w:rStyle w:val="normaltextrun"/>
        </w:rPr>
        <w:t> </w:t>
      </w:r>
      <w:r w:rsidRPr="2B56C6B7">
        <w:rPr>
          <w:rStyle w:val="normaltextrun"/>
          <w:rFonts w:ascii="Calibri" w:hAnsi="Calibri" w:cs="Calibri"/>
        </w:rPr>
        <w:t>data. </w:t>
      </w:r>
      <w:r w:rsidRPr="2B56C6B7">
        <w:rPr>
          <w:rStyle w:val="eop"/>
          <w:rFonts w:ascii="Calibri" w:hAnsi="Calibri" w:cs="Calibri"/>
        </w:rPr>
        <w:t> </w:t>
      </w:r>
    </w:p>
    <w:p w14:paraId="74E9BE8D" w14:textId="77777777" w:rsidR="00956D34" w:rsidRPr="00A96255" w:rsidRDefault="00956D34" w:rsidP="00576CFA">
      <w:pPr>
        <w:pStyle w:val="MText"/>
      </w:pPr>
    </w:p>
    <w:p w14:paraId="3A4F3065" w14:textId="3AD52F9D" w:rsidR="00E46D96" w:rsidRPr="00A96255" w:rsidRDefault="00E46D96" w:rsidP="00F719A8">
      <w:pPr>
        <w:pStyle w:val="MHeader2"/>
      </w:pPr>
      <w:r w:rsidRPr="00A96255">
        <w:t>3.e. Data providers</w:t>
      </w:r>
    </w:p>
    <w:p w14:paraId="50A66E64" w14:textId="2293AD66" w:rsidR="00EC2915" w:rsidRDefault="00956D34" w:rsidP="00576CFA">
      <w:pPr>
        <w:pStyle w:val="MText"/>
        <w:rPr>
          <w:rStyle w:val="eop"/>
          <w:rFonts w:ascii="Calibri" w:hAnsi="Calibri" w:cs="Calibri"/>
        </w:rPr>
      </w:pPr>
      <w:r>
        <w:rPr>
          <w:rStyle w:val="normaltextrun"/>
          <w:rFonts w:ascii="Calibri" w:hAnsi="Calibri" w:cs="Calibri"/>
        </w:rPr>
        <w:t>National NTD programmes within Ministries of Health</w:t>
      </w:r>
      <w:r>
        <w:rPr>
          <w:rStyle w:val="eop"/>
          <w:rFonts w:ascii="Calibri" w:hAnsi="Calibri" w:cs="Calibri"/>
        </w:rPr>
        <w:t> </w:t>
      </w:r>
    </w:p>
    <w:p w14:paraId="166FDFA6" w14:textId="77777777" w:rsidR="00956D34" w:rsidRPr="00A96255" w:rsidRDefault="00956D34" w:rsidP="00576CFA">
      <w:pPr>
        <w:pStyle w:val="MText"/>
      </w:pPr>
    </w:p>
    <w:p w14:paraId="30DC8E05" w14:textId="484D6EC2" w:rsidR="00E46D96" w:rsidRPr="00A96255" w:rsidRDefault="00E46D96" w:rsidP="00F719A8">
      <w:pPr>
        <w:pStyle w:val="MHeader2"/>
      </w:pPr>
      <w:r w:rsidRPr="00A96255">
        <w:t>3.f. Data compilers</w:t>
      </w:r>
    </w:p>
    <w:p w14:paraId="5C43435B" w14:textId="534C517D" w:rsidR="00EC2915" w:rsidRDefault="00956D34" w:rsidP="00576CFA">
      <w:pPr>
        <w:pStyle w:val="MText"/>
        <w:rPr>
          <w:rStyle w:val="eop"/>
          <w:rFonts w:ascii="Calibri" w:hAnsi="Calibri" w:cs="Calibri"/>
        </w:rPr>
      </w:pPr>
      <w:r>
        <w:rPr>
          <w:rStyle w:val="normaltextrun"/>
          <w:rFonts w:ascii="Calibri" w:hAnsi="Calibri" w:cs="Calibri"/>
        </w:rPr>
        <w:t>WHO</w:t>
      </w:r>
      <w:r>
        <w:rPr>
          <w:rStyle w:val="eop"/>
          <w:rFonts w:ascii="Calibri" w:hAnsi="Calibri" w:cs="Calibri"/>
        </w:rPr>
        <w:t> </w:t>
      </w:r>
    </w:p>
    <w:p w14:paraId="31DEF9C9" w14:textId="77777777" w:rsidR="00956D34" w:rsidRPr="00A96255" w:rsidRDefault="00956D34" w:rsidP="00576CFA">
      <w:pPr>
        <w:pStyle w:val="MText"/>
      </w:pPr>
    </w:p>
    <w:p w14:paraId="5655E768" w14:textId="5429F32E" w:rsidR="00E46D96" w:rsidRPr="00A96255" w:rsidRDefault="00E46D96" w:rsidP="00F719A8">
      <w:pPr>
        <w:pStyle w:val="MHeader2"/>
      </w:pPr>
      <w:r w:rsidRPr="00A96255">
        <w:t>3.g. Institutional mandate</w:t>
      </w:r>
    </w:p>
    <w:p w14:paraId="26B863C3" w14:textId="23C66D4F" w:rsidR="00576CFA" w:rsidRPr="00CD31C9" w:rsidRDefault="4F69A453" w:rsidP="2B56C6B7">
      <w:pPr>
        <w:pStyle w:val="MText"/>
        <w:rPr>
          <w:rFonts w:eastAsiaTheme="minorEastAsia" w:cstheme="minorBidi"/>
          <w:color w:val="323232"/>
        </w:rPr>
      </w:pPr>
      <w:r w:rsidRPr="004645FA">
        <w:rPr>
          <w:rStyle w:val="normaltextrun"/>
          <w:rFonts w:ascii="Calibri" w:hAnsi="Calibri" w:cs="Calibri"/>
          <w:color w:val="333333"/>
        </w:rPr>
        <w:t>A process of d</w:t>
      </w:r>
      <w:r w:rsidR="0F91175D" w:rsidRPr="004645FA">
        <w:rPr>
          <w:rStyle w:val="normaltextrun"/>
          <w:rFonts w:ascii="Calibri" w:hAnsi="Calibri" w:cs="Calibri"/>
          <w:color w:val="333333"/>
        </w:rPr>
        <w:t>ata report</w:t>
      </w:r>
      <w:r w:rsidR="590AA276" w:rsidRPr="004645FA">
        <w:rPr>
          <w:rStyle w:val="normaltextrun"/>
          <w:rFonts w:ascii="Calibri" w:hAnsi="Calibri" w:cs="Calibri"/>
          <w:color w:val="333333"/>
        </w:rPr>
        <w:t>ing b</w:t>
      </w:r>
      <w:r w:rsidR="0F91175D" w:rsidRPr="004645FA">
        <w:rPr>
          <w:rStyle w:val="normaltextrun"/>
          <w:rFonts w:ascii="Calibri" w:hAnsi="Calibri" w:cs="Calibri"/>
          <w:color w:val="333333"/>
        </w:rPr>
        <w:t xml:space="preserve">y national NTD programmes </w:t>
      </w:r>
      <w:r w:rsidR="7F1D925B" w:rsidRPr="004645FA">
        <w:rPr>
          <w:rStyle w:val="normaltextrun"/>
          <w:rFonts w:ascii="Calibri" w:hAnsi="Calibri" w:cs="Calibri"/>
          <w:color w:val="333333"/>
        </w:rPr>
        <w:t xml:space="preserve">implemented according to </w:t>
      </w:r>
      <w:r w:rsidR="379E56E5" w:rsidRPr="004645FA">
        <w:rPr>
          <w:rStyle w:val="normaltextrun"/>
          <w:rFonts w:ascii="Calibri" w:hAnsi="Calibri" w:cs="Calibri"/>
          <w:color w:val="333333"/>
        </w:rPr>
        <w:t xml:space="preserve">the </w:t>
      </w:r>
      <w:r w:rsidR="7F1D925B" w:rsidRPr="004645FA">
        <w:rPr>
          <w:rStyle w:val="normaltextrun"/>
          <w:rFonts w:ascii="Calibri" w:hAnsi="Calibri" w:cs="Calibri"/>
          <w:color w:val="333333"/>
        </w:rPr>
        <w:t xml:space="preserve">WHO Data Sharing Policy </w:t>
      </w:r>
      <w:r w:rsidR="65FBB7C6" w:rsidRPr="004645FA">
        <w:rPr>
          <w:rStyle w:val="normaltextrun"/>
          <w:rFonts w:ascii="Calibri" w:hAnsi="Calibri" w:cs="Calibri"/>
          <w:color w:val="333333"/>
        </w:rPr>
        <w:t>on use and sharing of data collected in Member States by the World Health Organization (WHO) outside the context of public health emergencies</w:t>
      </w:r>
      <w:r w:rsidR="0C7804E1" w:rsidRPr="2B56C6B7">
        <w:rPr>
          <w:rFonts w:eastAsiaTheme="minorEastAsia" w:cstheme="minorBidi"/>
          <w:color w:val="323232"/>
        </w:rPr>
        <w:t xml:space="preserve"> (</w:t>
      </w:r>
      <w:hyperlink r:id="rId14" w:history="1">
        <w:r w:rsidR="0C7804E1" w:rsidRPr="2B56C6B7">
          <w:rPr>
            <w:rStyle w:val="Hyperlink"/>
            <w:rFonts w:eastAsiaTheme="minorEastAsia" w:cstheme="minorBidi"/>
          </w:rPr>
          <w:t>https://www.who.int/about/who-we-are/publishing-policies/data-policy</w:t>
        </w:r>
      </w:hyperlink>
      <w:r w:rsidR="0C7804E1" w:rsidRPr="2B56C6B7">
        <w:rPr>
          <w:rFonts w:eastAsiaTheme="minorEastAsia" w:cstheme="minorBidi"/>
          <w:color w:val="323232"/>
        </w:rPr>
        <w:t>)</w:t>
      </w:r>
      <w:r w:rsidR="65FBB7C6" w:rsidRPr="00CD31C9">
        <w:rPr>
          <w:rFonts w:eastAsiaTheme="minorEastAsia" w:cstheme="minorBidi"/>
          <w:color w:val="323232"/>
          <w:shd w:val="clear" w:color="auto" w:fill="E6E6E6"/>
        </w:rPr>
        <w:t>.</w:t>
      </w:r>
      <w:r w:rsidR="4492BAA0" w:rsidRPr="2B56C6B7">
        <w:rPr>
          <w:rFonts w:eastAsiaTheme="minorEastAsia" w:cstheme="minorBidi"/>
          <w:color w:val="323232"/>
        </w:rPr>
        <w:t xml:space="preserve"> The department of control of Neglected tropical diseases at WHO</w:t>
      </w:r>
      <w:r w:rsidR="1158856B" w:rsidRPr="2B56C6B7">
        <w:rPr>
          <w:rFonts w:eastAsiaTheme="minorEastAsia" w:cstheme="minorBidi"/>
          <w:color w:val="323232"/>
        </w:rPr>
        <w:t xml:space="preserve"> is then responsible for processing and disseminating the statistics for this indicator.</w:t>
      </w:r>
    </w:p>
    <w:p w14:paraId="3D063F4C" w14:textId="10BBDE6D" w:rsidR="00F719A8" w:rsidRPr="00CD31C9" w:rsidRDefault="00F719A8" w:rsidP="3ECAD149">
      <w:pPr>
        <w:pStyle w:val="MText"/>
        <w:rPr>
          <w:rFonts w:eastAsiaTheme="minorEastAsia" w:cstheme="minorBidi"/>
        </w:rPr>
      </w:pPr>
    </w:p>
    <w:p w14:paraId="6149DC94" w14:textId="05781947" w:rsidR="00B31E2C" w:rsidRPr="00A96255" w:rsidRDefault="00B31E2C" w:rsidP="00AF5ED1">
      <w:pPr>
        <w:pStyle w:val="MHeader"/>
      </w:pPr>
      <w:r w:rsidRPr="00A96255">
        <w:t>4. Other methodological considerations</w:t>
      </w:r>
    </w:p>
    <w:p w14:paraId="1AFA5517" w14:textId="54FD9B10" w:rsidR="00AF5ED1" w:rsidRPr="00A96255" w:rsidRDefault="00576CFA" w:rsidP="00F719A8">
      <w:pPr>
        <w:pStyle w:val="MHeader2"/>
      </w:pPr>
      <w:r w:rsidRPr="00A96255">
        <w:t>4.a. Rationale</w:t>
      </w:r>
    </w:p>
    <w:p w14:paraId="0844C1FC" w14:textId="77777777" w:rsidR="0072214E" w:rsidRDefault="0072214E" w:rsidP="0072214E">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50D2A1CF" w14:textId="77777777" w:rsidR="0072214E" w:rsidRDefault="0072214E" w:rsidP="0072214E">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The average annual number of people requiring treatment and care for NTDs is the number that is expected to decrease toward “the end of NTDs” by 2030 (target 3.3), as NTDs are eradicated, eliminated or controlled. The number of people requiring other interventions against NTDs (e.g. vector management, veterinary public health, water, sanitation and hygiene) are expected to need to be maintained beyond 2030 and are therefore to be addressed in the context of other targets and indicators, namely Universal Health Coverage (UHC) and universal access to water and sanitation.</w:t>
      </w:r>
      <w:r>
        <w:rPr>
          <w:rStyle w:val="eop"/>
          <w:rFonts w:ascii="Calibri" w:hAnsi="Calibri" w:cs="Calibri"/>
          <w:color w:val="4A4A4A"/>
          <w:sz w:val="21"/>
          <w:szCs w:val="21"/>
        </w:rPr>
        <w:t> </w:t>
      </w:r>
    </w:p>
    <w:p w14:paraId="3B96640E" w14:textId="77777777" w:rsidR="0072214E" w:rsidRDefault="0072214E" w:rsidP="0072214E">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13894F78" w14:textId="77777777" w:rsidR="0072214E" w:rsidRDefault="0072214E" w:rsidP="0072214E">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This number should not be interpreted as the number of people at risk for NTDs. It is in fact a subset of the larger number of people at risk. Mass treatment is limited to those living in districts above a threshold level of prevalence; it does not include all people living in districts with any risk of infection. Individual treatment and care is for those who are or have already been infected; it does not include all contacts and others at risk of infection. This number can better be interpreted as the number of people at a level of risk requiring medical intervention – that is, treatment and care for NTDs.</w:t>
      </w:r>
      <w:r>
        <w:rPr>
          <w:rStyle w:val="eop"/>
          <w:rFonts w:ascii="Calibri" w:hAnsi="Calibri" w:cs="Calibri"/>
          <w:color w:val="4A4A4A"/>
          <w:sz w:val="21"/>
          <w:szCs w:val="21"/>
        </w:rPr>
        <w:t> </w:t>
      </w:r>
    </w:p>
    <w:p w14:paraId="15BA7507" w14:textId="77777777" w:rsidR="0072214E" w:rsidRDefault="0072214E" w:rsidP="0072214E">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2529B069" w14:textId="618DCD10" w:rsidR="00E1050F" w:rsidRPr="00A96255" w:rsidRDefault="00E1050F" w:rsidP="00F719A8">
      <w:pPr>
        <w:pStyle w:val="MHeader2"/>
      </w:pPr>
      <w:r w:rsidRPr="00A96255">
        <w:t>4.b. Comment and limitations</w:t>
      </w:r>
    </w:p>
    <w:p w14:paraId="4CB98D75" w14:textId="77777777" w:rsidR="0072214E" w:rsidRDefault="0072214E" w:rsidP="0072214E">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Country reports may not be perfectly comparable over time. Improved surveillance and case-finding may lead to an apparent increase in the number of people known to require treatment and care. Some further estimation may be required to adjust for changes in surveillance and case-finding. Missing country reports may need to be imputed for some diseases in some years.</w:t>
      </w:r>
      <w:r>
        <w:rPr>
          <w:rStyle w:val="eop"/>
          <w:rFonts w:ascii="Calibri" w:hAnsi="Calibri" w:cs="Calibri"/>
          <w:color w:val="4A4A4A"/>
          <w:sz w:val="21"/>
          <w:szCs w:val="21"/>
        </w:rPr>
        <w:t> </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4.c. Method of computation</w:t>
      </w:r>
    </w:p>
    <w:p w14:paraId="3B6A687A" w14:textId="77777777" w:rsidR="0072214E" w:rsidRDefault="0072214E" w:rsidP="0072214E">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Some estimation is required to aggregate data across interventions and diseases. There is an established methodology that has been tested and an agreed international standard. [http://www.who.int/wer/2012/wer8702.pdf?ua=1]</w:t>
      </w:r>
      <w:r>
        <w:rPr>
          <w:rStyle w:val="eop"/>
          <w:rFonts w:ascii="Calibri" w:hAnsi="Calibri" w:cs="Calibri"/>
          <w:color w:val="4A4A4A"/>
          <w:sz w:val="21"/>
          <w:szCs w:val="21"/>
        </w:rPr>
        <w:t> </w:t>
      </w:r>
    </w:p>
    <w:p w14:paraId="7C36DB05" w14:textId="77777777" w:rsidR="0072214E" w:rsidRDefault="0072214E" w:rsidP="0072214E">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5F7D52B0" w14:textId="77777777" w:rsidR="0072214E" w:rsidRDefault="0072214E" w:rsidP="0072214E">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1) Average annual number of people requiring mass treatment known as PC for at least one PC-NTD (lymphatic filariasis, onchocerciasis, schistosomiasis, soil-transmitted helminthiases and trachoma). People may require PC for more than one PC-NTD. The number of people requiring PC is compared across the PC-NTDs, by age group and implementation unit (e.g. district). The largest number of people requiring PC is retained for each age group in each implementation unit. The total </w:t>
      </w:r>
      <w:proofErr w:type="gramStart"/>
      <w:r>
        <w:rPr>
          <w:rStyle w:val="normaltextrun"/>
          <w:rFonts w:ascii="Calibri" w:hAnsi="Calibri" w:cs="Calibri"/>
          <w:color w:val="4A4A4A"/>
          <w:sz w:val="21"/>
          <w:szCs w:val="21"/>
          <w:lang w:val="en-GB"/>
        </w:rPr>
        <w:t>is considered to be</w:t>
      </w:r>
      <w:proofErr w:type="gramEnd"/>
      <w:r>
        <w:rPr>
          <w:rStyle w:val="normaltextrun"/>
          <w:rFonts w:ascii="Calibri" w:hAnsi="Calibri" w:cs="Calibri"/>
          <w:color w:val="4A4A4A"/>
          <w:sz w:val="21"/>
          <w:szCs w:val="21"/>
          <w:lang w:val="en-GB"/>
        </w:rPr>
        <w:t> a conservative estimate of the number of people requiring PC for at least one PC-NTD. Prevalence surveys determine when an NTD has been eliminated or controlled and PC can be stopped or reduced in frequency, such that the average annual number of people requiring PC is reduced.</w:t>
      </w:r>
      <w:r>
        <w:rPr>
          <w:rStyle w:val="eop"/>
          <w:rFonts w:ascii="Calibri" w:hAnsi="Calibri" w:cs="Calibri"/>
          <w:color w:val="4A4A4A"/>
          <w:sz w:val="21"/>
          <w:szCs w:val="21"/>
        </w:rPr>
        <w:t> </w:t>
      </w:r>
    </w:p>
    <w:p w14:paraId="65DA1E26" w14:textId="77777777" w:rsidR="0072214E" w:rsidRDefault="0072214E" w:rsidP="0072214E">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lastRenderedPageBreak/>
        <w:t> </w:t>
      </w:r>
    </w:p>
    <w:p w14:paraId="7BC38D70" w14:textId="77777777" w:rsidR="0072214E" w:rsidRDefault="0072214E" w:rsidP="0072214E">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2) Number of new cases requiring individual treatment and care for other NTDs: The number of new cases is based on country reports, whenever available, of new and known cases of Buruli ulcer, dengue, dracunculiasis, echinococcosis, human African trypanosomiasis (HAT), leprosy, the leishmaniases, rabies and yaws. Where the number of people requiring and requesting surgery for PC-NTDs (e.g. trichiasis or hydrocele surgery) is reported, it can be added here. Similarly, new cases requiring and requesting rehabilitation (e.g. leprosy or lymphoedema) can be added whenever available.</w:t>
      </w:r>
      <w:r>
        <w:rPr>
          <w:rStyle w:val="eop"/>
          <w:rFonts w:ascii="Calibri" w:hAnsi="Calibri" w:cs="Calibri"/>
          <w:color w:val="4A4A4A"/>
          <w:sz w:val="21"/>
          <w:szCs w:val="21"/>
        </w:rPr>
        <w:t> </w:t>
      </w:r>
    </w:p>
    <w:p w14:paraId="181608A3" w14:textId="77777777" w:rsidR="0072214E" w:rsidRDefault="0072214E" w:rsidP="0072214E">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20560DF0" w14:textId="77777777" w:rsidR="0072214E" w:rsidRDefault="0072214E" w:rsidP="0072214E">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Populations referred to under 1) and 2) may overlap; the sum would overestimate the total number of people requiring treatment and care. The maximum of 1) or 2) is therefore retained at the lowest common implementation unit and summed to get conservative country, regional and global aggregates. By 2030, improved co-endemicity data and models will validate the trends obtained using this simplified approach.</w:t>
      </w:r>
      <w:r>
        <w:rPr>
          <w:rStyle w:val="eop"/>
          <w:rFonts w:ascii="Calibri" w:hAnsi="Calibri" w:cs="Calibri"/>
          <w:color w:val="4A4A4A"/>
          <w:sz w:val="21"/>
          <w:szCs w:val="21"/>
        </w:rPr>
        <w:t> </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4.d. Validation</w:t>
      </w:r>
    </w:p>
    <w:p w14:paraId="27C581BB" w14:textId="66D00530" w:rsidR="00F719A8" w:rsidRPr="004645FA" w:rsidRDefault="03657895" w:rsidP="1537F925">
      <w:pPr>
        <w:pStyle w:val="MText"/>
        <w:rPr>
          <w:rStyle w:val="normaltextrun"/>
          <w:rFonts w:ascii="Calibri" w:hAnsi="Calibri" w:cs="Calibri"/>
          <w:color w:val="333333"/>
        </w:rPr>
      </w:pPr>
      <w:r w:rsidRPr="004645FA">
        <w:rPr>
          <w:rStyle w:val="normaltextrun"/>
          <w:rFonts w:ascii="Calibri" w:hAnsi="Calibri" w:cs="Calibri"/>
          <w:color w:val="333333"/>
        </w:rPr>
        <w:t xml:space="preserve">Data is jointly validated by </w:t>
      </w:r>
      <w:r w:rsidR="00E06267" w:rsidRPr="004645FA">
        <w:rPr>
          <w:rStyle w:val="normaltextrun"/>
          <w:rFonts w:ascii="Calibri" w:hAnsi="Calibri" w:cs="Calibri"/>
          <w:color w:val="333333"/>
        </w:rPr>
        <w:t xml:space="preserve">the </w:t>
      </w:r>
      <w:r w:rsidRPr="004645FA">
        <w:rPr>
          <w:rStyle w:val="normaltextrun"/>
          <w:rFonts w:ascii="Calibri" w:hAnsi="Calibri" w:cs="Calibri"/>
          <w:color w:val="333333"/>
        </w:rPr>
        <w:t xml:space="preserve">three levels of the </w:t>
      </w:r>
      <w:r w:rsidR="00F719A8" w:rsidRPr="004645FA">
        <w:rPr>
          <w:rStyle w:val="normaltextrun"/>
          <w:rFonts w:ascii="Calibri" w:hAnsi="Calibri" w:cs="Calibri"/>
          <w:color w:val="333333"/>
        </w:rPr>
        <w:t xml:space="preserve">organization </w:t>
      </w:r>
      <w:r w:rsidRPr="004645FA">
        <w:rPr>
          <w:rStyle w:val="normaltextrun"/>
          <w:rFonts w:ascii="Calibri" w:hAnsi="Calibri" w:cs="Calibri"/>
          <w:color w:val="333333"/>
        </w:rPr>
        <w:t>– countries, regions and global.</w:t>
      </w:r>
    </w:p>
    <w:p w14:paraId="0025F830" w14:textId="1D396744" w:rsidR="00F719A8" w:rsidRPr="00A96255" w:rsidRDefault="00F719A8" w:rsidP="00576CFA">
      <w:pPr>
        <w:pStyle w:val="MText"/>
      </w:pPr>
    </w:p>
    <w:p w14:paraId="2CF2A343" w14:textId="0A7F0CBE" w:rsidR="00E1050F" w:rsidRPr="00A96255" w:rsidRDefault="00E1050F" w:rsidP="00F719A8">
      <w:pPr>
        <w:pStyle w:val="MHeader2"/>
      </w:pPr>
      <w:r w:rsidRPr="00A96255">
        <w:t>4.e. Adjustments</w:t>
      </w:r>
    </w:p>
    <w:p w14:paraId="5032CC5E" w14:textId="6E353342" w:rsidR="00576CFA" w:rsidRPr="00A96255" w:rsidRDefault="61EBFB27" w:rsidP="00576CFA">
      <w:pPr>
        <w:pStyle w:val="MText"/>
      </w:pPr>
      <w:r w:rsidRPr="004645FA">
        <w:rPr>
          <w:rStyle w:val="normaltextrun"/>
          <w:rFonts w:ascii="Calibri" w:hAnsi="Calibri" w:cs="Calibri"/>
          <w:color w:val="333333"/>
        </w:rPr>
        <w:t>Not applicable</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4.f. Treatment of missing values (</w:t>
      </w:r>
      <w:proofErr w:type="spellStart"/>
      <w:r w:rsidRPr="00A96255">
        <w:t>i</w:t>
      </w:r>
      <w:proofErr w:type="spellEnd"/>
      <w:r w:rsidRPr="00A96255">
        <w:t>) at country le</w:t>
      </w:r>
      <w:r w:rsidR="00E1050F" w:rsidRPr="00A96255">
        <w:t>vel and (ii) at regional level</w:t>
      </w:r>
    </w:p>
    <w:p w14:paraId="4FB5025A" w14:textId="77777777" w:rsidR="0072214E" w:rsidRDefault="0072214E" w:rsidP="0072214E">
      <w:pPr>
        <w:pStyle w:val="paragraph"/>
        <w:numPr>
          <w:ilvl w:val="0"/>
          <w:numId w:val="5"/>
        </w:numPr>
        <w:shd w:val="clear" w:color="auto" w:fill="FFFFFF"/>
        <w:spacing w:before="0" w:beforeAutospacing="0" w:after="0" w:afterAutospacing="0"/>
        <w:ind w:left="135" w:firstLine="0"/>
        <w:textAlignment w:val="baseline"/>
        <w:rPr>
          <w:sz w:val="21"/>
          <w:szCs w:val="21"/>
        </w:rPr>
      </w:pPr>
      <w:r>
        <w:rPr>
          <w:rStyle w:val="normaltextrun"/>
          <w:rFonts w:ascii="Calibri" w:hAnsi="Calibri" w:cs="Calibri"/>
          <w:color w:val="1C75BC"/>
          <w:sz w:val="21"/>
          <w:szCs w:val="21"/>
          <w:lang w:val="en-GB"/>
        </w:rPr>
        <w:t>At country level</w:t>
      </w:r>
      <w:r>
        <w:rPr>
          <w:rStyle w:val="eop"/>
          <w:rFonts w:ascii="Calibri" w:hAnsi="Calibri" w:cs="Calibri"/>
          <w:color w:val="1C75BC"/>
          <w:sz w:val="21"/>
          <w:szCs w:val="21"/>
        </w:rPr>
        <w:t> </w:t>
      </w:r>
    </w:p>
    <w:p w14:paraId="6E28164D" w14:textId="77777777" w:rsidR="0072214E" w:rsidRDefault="0072214E" w:rsidP="0072214E">
      <w:pPr>
        <w:pStyle w:val="paragraph"/>
        <w:shd w:val="clear" w:color="auto" w:fill="FFFFFF"/>
        <w:spacing w:before="0" w:beforeAutospacing="0" w:after="0" w:afterAutospacing="0"/>
        <w:ind w:left="495"/>
        <w:textAlignment w:val="baseline"/>
        <w:rPr>
          <w:rFonts w:ascii="Segoe UI" w:hAnsi="Segoe UI" w:cs="Segoe UI"/>
          <w:sz w:val="18"/>
          <w:szCs w:val="18"/>
        </w:rPr>
      </w:pPr>
      <w:r>
        <w:rPr>
          <w:rStyle w:val="eop"/>
          <w:color w:val="4A4A4A"/>
          <w:sz w:val="21"/>
          <w:szCs w:val="21"/>
        </w:rPr>
        <w:t> </w:t>
      </w:r>
    </w:p>
    <w:p w14:paraId="12EC7F7D" w14:textId="77777777" w:rsidR="0072214E" w:rsidRDefault="0072214E" w:rsidP="0072214E">
      <w:pPr>
        <w:pStyle w:val="paragraph"/>
        <w:shd w:val="clear" w:color="auto" w:fill="FFFFFF"/>
        <w:spacing w:before="0" w:beforeAutospacing="0" w:after="0" w:afterAutospacing="0"/>
        <w:ind w:left="495"/>
        <w:textAlignment w:val="baseline"/>
        <w:rPr>
          <w:rFonts w:ascii="Segoe UI" w:hAnsi="Segoe UI" w:cs="Segoe UI"/>
          <w:sz w:val="18"/>
          <w:szCs w:val="18"/>
        </w:rPr>
      </w:pPr>
      <w:r>
        <w:rPr>
          <w:rStyle w:val="normaltextrun"/>
          <w:rFonts w:ascii="Calibri" w:hAnsi="Calibri" w:cs="Calibri"/>
          <w:color w:val="4A4A4A"/>
          <w:sz w:val="21"/>
          <w:szCs w:val="21"/>
          <w:lang w:val="en-GB"/>
        </w:rPr>
        <w:t>We do not impute missing values for countries that have never reported data for any NTD. For countries that have reported data in the past, we impute missing values only for those NTDs that have been reported in the past but that have not been reported in the current year.</w:t>
      </w:r>
      <w:r>
        <w:rPr>
          <w:rStyle w:val="eop"/>
          <w:rFonts w:ascii="Calibri" w:hAnsi="Calibri" w:cs="Calibri"/>
          <w:color w:val="4A4A4A"/>
          <w:sz w:val="21"/>
          <w:szCs w:val="21"/>
        </w:rPr>
        <w:t> </w:t>
      </w:r>
    </w:p>
    <w:p w14:paraId="15E38719" w14:textId="77777777" w:rsidR="0072214E" w:rsidRDefault="0072214E" w:rsidP="0072214E">
      <w:pPr>
        <w:pStyle w:val="paragraph"/>
        <w:shd w:val="clear" w:color="auto" w:fill="FFFFFF"/>
        <w:spacing w:before="0" w:beforeAutospacing="0" w:after="0" w:afterAutospacing="0"/>
        <w:ind w:left="495"/>
        <w:textAlignment w:val="baseline"/>
        <w:rPr>
          <w:rFonts w:ascii="Segoe UI" w:hAnsi="Segoe UI" w:cs="Segoe UI"/>
          <w:sz w:val="18"/>
          <w:szCs w:val="18"/>
        </w:rPr>
      </w:pPr>
      <w:r>
        <w:rPr>
          <w:rStyle w:val="eop"/>
          <w:color w:val="4A4A4A"/>
          <w:sz w:val="21"/>
          <w:szCs w:val="21"/>
        </w:rPr>
        <w:t> </w:t>
      </w:r>
    </w:p>
    <w:p w14:paraId="54C295C2" w14:textId="77777777" w:rsidR="0072214E" w:rsidRDefault="0072214E" w:rsidP="0072214E">
      <w:pPr>
        <w:pStyle w:val="paragraph"/>
        <w:shd w:val="clear" w:color="auto" w:fill="FFFFFF"/>
        <w:spacing w:before="0" w:beforeAutospacing="0" w:after="0" w:afterAutospacing="0"/>
        <w:ind w:left="495"/>
        <w:textAlignment w:val="baseline"/>
        <w:rPr>
          <w:rFonts w:ascii="Segoe UI" w:hAnsi="Segoe UI" w:cs="Segoe UI"/>
          <w:sz w:val="18"/>
          <w:szCs w:val="18"/>
        </w:rPr>
      </w:pPr>
      <w:r>
        <w:rPr>
          <w:rStyle w:val="normaltextrun"/>
          <w:rFonts w:ascii="Calibri" w:hAnsi="Calibri" w:cs="Calibri"/>
          <w:color w:val="4A4A4A"/>
          <w:sz w:val="21"/>
          <w:szCs w:val="21"/>
          <w:lang w:val="en-GB"/>
        </w:rPr>
        <w:t>For reproducibility, we employ multiple imputation techniques using the freely available Amelia package in R. We impute 100 complete datasets using all available cross-sectional data (countries and years), applying a square root transformation to exclude negative values of incidence, as well as categorical variables denoting regions and income groups, and allowing for country-specific linear time effects. We aggregate across diseases and extract the mean and 2.5th and 97.5th centile values to report best estimates and uncertainty intervals for each country.</w:t>
      </w:r>
      <w:r>
        <w:rPr>
          <w:rStyle w:val="eop"/>
          <w:rFonts w:ascii="Calibri" w:hAnsi="Calibri" w:cs="Calibri"/>
          <w:color w:val="4A4A4A"/>
          <w:sz w:val="21"/>
          <w:szCs w:val="21"/>
        </w:rPr>
        <w:t> </w:t>
      </w:r>
    </w:p>
    <w:p w14:paraId="47F81ED9" w14:textId="77777777" w:rsidR="0072214E" w:rsidRDefault="0072214E" w:rsidP="0072214E">
      <w:pPr>
        <w:pStyle w:val="paragraph"/>
        <w:shd w:val="clear" w:color="auto" w:fill="FFFFFF"/>
        <w:spacing w:before="0" w:beforeAutospacing="0" w:after="0" w:afterAutospacing="0"/>
        <w:ind w:left="495"/>
        <w:textAlignment w:val="baseline"/>
        <w:rPr>
          <w:rFonts w:ascii="Segoe UI" w:hAnsi="Segoe UI" w:cs="Segoe UI"/>
          <w:sz w:val="18"/>
          <w:szCs w:val="18"/>
        </w:rPr>
      </w:pPr>
      <w:r>
        <w:rPr>
          <w:rStyle w:val="eop"/>
          <w:color w:val="4A4A4A"/>
          <w:sz w:val="21"/>
          <w:szCs w:val="21"/>
        </w:rPr>
        <w:t> </w:t>
      </w:r>
    </w:p>
    <w:p w14:paraId="14C44FD7" w14:textId="77777777" w:rsidR="0072214E" w:rsidRDefault="0072214E" w:rsidP="0072214E">
      <w:pPr>
        <w:pStyle w:val="paragraph"/>
        <w:numPr>
          <w:ilvl w:val="0"/>
          <w:numId w:val="6"/>
        </w:numPr>
        <w:shd w:val="clear" w:color="auto" w:fill="FFFFFF"/>
        <w:spacing w:before="0" w:beforeAutospacing="0" w:after="0" w:afterAutospacing="0"/>
        <w:ind w:left="135" w:firstLine="0"/>
        <w:textAlignment w:val="baseline"/>
        <w:rPr>
          <w:sz w:val="21"/>
          <w:szCs w:val="21"/>
        </w:rPr>
      </w:pPr>
      <w:r>
        <w:rPr>
          <w:rStyle w:val="normaltextrun"/>
          <w:rFonts w:ascii="Calibri" w:hAnsi="Calibri" w:cs="Calibri"/>
          <w:color w:val="1C75BC"/>
          <w:sz w:val="21"/>
          <w:szCs w:val="21"/>
          <w:lang w:val="en-GB"/>
        </w:rPr>
        <w:t>At regional and global levels</w:t>
      </w:r>
      <w:r>
        <w:rPr>
          <w:rStyle w:val="eop"/>
          <w:rFonts w:ascii="Calibri" w:hAnsi="Calibri" w:cs="Calibri"/>
          <w:color w:val="1C75BC"/>
          <w:sz w:val="21"/>
          <w:szCs w:val="21"/>
        </w:rPr>
        <w:t> </w:t>
      </w:r>
    </w:p>
    <w:p w14:paraId="4A3798E3" w14:textId="77777777" w:rsidR="0072214E" w:rsidRDefault="0072214E" w:rsidP="0072214E">
      <w:pPr>
        <w:pStyle w:val="paragraph"/>
        <w:shd w:val="clear" w:color="auto" w:fill="FFFFFF"/>
        <w:spacing w:before="0" w:beforeAutospacing="0" w:after="0" w:afterAutospacing="0"/>
        <w:ind w:left="495"/>
        <w:textAlignment w:val="baseline"/>
        <w:rPr>
          <w:rFonts w:ascii="Segoe UI" w:hAnsi="Segoe UI" w:cs="Segoe UI"/>
          <w:sz w:val="18"/>
          <w:szCs w:val="18"/>
        </w:rPr>
      </w:pPr>
      <w:r>
        <w:rPr>
          <w:rStyle w:val="eop"/>
          <w:color w:val="4A4A4A"/>
          <w:sz w:val="21"/>
          <w:szCs w:val="21"/>
        </w:rPr>
        <w:t> </w:t>
      </w:r>
    </w:p>
    <w:p w14:paraId="51F115A1" w14:textId="77777777" w:rsidR="0072214E" w:rsidRDefault="0072214E" w:rsidP="0072214E">
      <w:pPr>
        <w:pStyle w:val="paragraph"/>
        <w:shd w:val="clear" w:color="auto" w:fill="FFFFFF"/>
        <w:spacing w:before="0" w:beforeAutospacing="0" w:after="0" w:afterAutospacing="0"/>
        <w:ind w:left="495"/>
        <w:textAlignment w:val="baseline"/>
        <w:rPr>
          <w:rFonts w:ascii="Segoe UI" w:hAnsi="Segoe UI" w:cs="Segoe UI"/>
          <w:sz w:val="18"/>
          <w:szCs w:val="18"/>
        </w:rPr>
      </w:pPr>
      <w:r>
        <w:rPr>
          <w:rStyle w:val="normaltextrun"/>
          <w:rFonts w:ascii="Calibri" w:hAnsi="Calibri" w:cs="Calibri"/>
          <w:color w:val="4A4A4A"/>
          <w:sz w:val="21"/>
          <w:szCs w:val="21"/>
          <w:lang w:val="en-GB"/>
        </w:rPr>
        <w:t>Using the 100 imputed datasets, we aggregate across diseases and regions, extract the mean and 2.5th and 97.5th centile values to report best estimates and uncertainty intervals at the regional and global levels.</w:t>
      </w:r>
      <w:r>
        <w:rPr>
          <w:rStyle w:val="eop"/>
          <w:rFonts w:ascii="Calibri" w:hAnsi="Calibri" w:cs="Calibri"/>
          <w:color w:val="4A4A4A"/>
          <w:sz w:val="21"/>
          <w:szCs w:val="21"/>
        </w:rPr>
        <w:t> </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4.g. Regional aggregations</w:t>
      </w:r>
    </w:p>
    <w:p w14:paraId="2EA010B7" w14:textId="5042A32E" w:rsidR="00EC2915" w:rsidRDefault="0072214E" w:rsidP="00576CFA">
      <w:pPr>
        <w:pStyle w:val="MText"/>
        <w:rPr>
          <w:rStyle w:val="eop"/>
          <w:rFonts w:ascii="Calibri" w:hAnsi="Calibri" w:cs="Calibri"/>
        </w:rPr>
      </w:pPr>
      <w:r>
        <w:rPr>
          <w:rStyle w:val="normaltextrun"/>
          <w:rFonts w:ascii="Calibri" w:hAnsi="Calibri" w:cs="Calibri"/>
        </w:rPr>
        <w:t>Global and regional estimates are simple aggregates of the country values, with no </w:t>
      </w:r>
      <w:proofErr w:type="gramStart"/>
      <w:r>
        <w:rPr>
          <w:rStyle w:val="normaltextrun"/>
          <w:rFonts w:ascii="Calibri" w:hAnsi="Calibri" w:cs="Calibri"/>
        </w:rPr>
        <w:t>particular weighting</w:t>
      </w:r>
      <w:proofErr w:type="gramEnd"/>
      <w:r>
        <w:rPr>
          <w:rStyle w:val="normaltextrun"/>
          <w:rFonts w:ascii="Calibri" w:hAnsi="Calibri" w:cs="Calibri"/>
        </w:rPr>
        <w:t>. There is no further adjustment for global and regional estimates.</w:t>
      </w:r>
      <w:r>
        <w:rPr>
          <w:rStyle w:val="eop"/>
          <w:rFonts w:ascii="Calibri" w:hAnsi="Calibri" w:cs="Calibri"/>
        </w:rPr>
        <w:t> </w:t>
      </w:r>
    </w:p>
    <w:p w14:paraId="277AFADF" w14:textId="77777777" w:rsidR="0072214E" w:rsidRPr="00A96255" w:rsidRDefault="0072214E"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p>
    <w:p w14:paraId="6A1322DD" w14:textId="303EBCC6" w:rsidR="0072214E" w:rsidRDefault="0072214E" w:rsidP="3ECAD149">
      <w:pPr>
        <w:pStyle w:val="paragraph"/>
        <w:spacing w:before="0" w:beforeAutospacing="0" w:after="0" w:afterAutospacing="0"/>
        <w:textAlignment w:val="baseline"/>
        <w:rPr>
          <w:rFonts w:ascii="Segoe UI" w:hAnsi="Segoe UI" w:cs="Segoe UI"/>
          <w:color w:val="4A4A4A"/>
          <w:sz w:val="18"/>
          <w:szCs w:val="18"/>
        </w:rPr>
      </w:pPr>
      <w:r w:rsidRPr="3A6FFEF0">
        <w:rPr>
          <w:rStyle w:val="normaltextrun"/>
          <w:rFonts w:ascii="Calibri" w:hAnsi="Calibri" w:cs="Calibri"/>
          <w:color w:val="4A4A4A"/>
          <w:sz w:val="21"/>
          <w:szCs w:val="21"/>
          <w:lang w:val="en-GB"/>
        </w:rPr>
        <w:lastRenderedPageBreak/>
        <w:t xml:space="preserve">This indicator is based on national-level data reported to WHO by its Member States and disseminated via the WHO Global Health Observatory </w:t>
      </w:r>
      <w:proofErr w:type="gramStart"/>
      <w:r w:rsidRPr="3A6FFEF0">
        <w:rPr>
          <w:rStyle w:val="normaltextrun"/>
          <w:rFonts w:ascii="Calibri" w:hAnsi="Calibri" w:cs="Calibri"/>
          <w:color w:val="4A4A4A"/>
          <w:sz w:val="21"/>
          <w:szCs w:val="21"/>
          <w:lang w:val="en-GB"/>
        </w:rPr>
        <w:t>(</w:t>
      </w:r>
      <w:r w:rsidR="1E56336C" w:rsidRPr="3A6FFEF0">
        <w:rPr>
          <w:rStyle w:val="normaltextrun"/>
          <w:rFonts w:ascii="Calibri" w:hAnsi="Calibri" w:cs="Calibri"/>
          <w:color w:val="0000FF"/>
          <w:sz w:val="21"/>
          <w:szCs w:val="21"/>
          <w:u w:val="single"/>
          <w:lang w:val="en-GB"/>
        </w:rPr>
        <w:t xml:space="preserve"> https://www.who.int/data/gho/data/themes/neglected-tropical-diseases</w:t>
      </w:r>
      <w:proofErr w:type="gramEnd"/>
      <w:r w:rsidRPr="3A6FFEF0">
        <w:rPr>
          <w:rStyle w:val="normaltextrun"/>
          <w:rFonts w:ascii="Calibri" w:hAnsi="Calibri" w:cs="Calibri"/>
          <w:color w:val="4A4A4A"/>
          <w:sz w:val="21"/>
          <w:szCs w:val="21"/>
          <w:lang w:val="en-GB"/>
        </w:rPr>
        <w:t>) and </w:t>
      </w:r>
      <w:r w:rsidR="269F7CFF" w:rsidRPr="3A6FFEF0">
        <w:rPr>
          <w:rStyle w:val="normaltextrun"/>
          <w:rFonts w:ascii="Calibri" w:hAnsi="Calibri" w:cs="Calibri"/>
          <w:color w:val="0000FF"/>
          <w:sz w:val="21"/>
          <w:szCs w:val="21"/>
          <w:u w:val="single"/>
          <w:lang w:val="en-GB"/>
        </w:rPr>
        <w:t>PC</w:t>
      </w:r>
      <w:r w:rsidRPr="005B5DF5">
        <w:rPr>
          <w:rStyle w:val="normaltextrun"/>
          <w:rFonts w:ascii="Calibri" w:hAnsi="Calibri" w:cs="Calibri"/>
          <w:color w:val="4A4A4A"/>
          <w:sz w:val="21"/>
          <w:szCs w:val="21"/>
          <w:lang w:val="en-GB"/>
        </w:rPr>
        <w:t xml:space="preserve"> Data Portal (http://apps.who.int/gho/cabinet/pc.jsp). Some adjustment is required to aggregate country-reported data on individual neglected tropical diseases across all NTDs included in this indicator. There is </w:t>
      </w:r>
      <w:r w:rsidRPr="3A6FFEF0">
        <w:rPr>
          <w:rStyle w:val="normaltextrun"/>
          <w:rFonts w:ascii="Calibri" w:hAnsi="Calibri" w:cs="Calibri"/>
          <w:color w:val="4A4A4A"/>
          <w:sz w:val="21"/>
          <w:szCs w:val="21"/>
          <w:lang w:val="en-GB"/>
        </w:rPr>
        <w:t xml:space="preserve">an established methodology to standardize this </w:t>
      </w:r>
      <w:r w:rsidR="004E1164" w:rsidRPr="3A6FFEF0">
        <w:rPr>
          <w:rStyle w:val="normaltextrun"/>
          <w:rFonts w:ascii="Calibri" w:hAnsi="Calibri" w:cs="Calibri"/>
          <w:color w:val="4A4A4A"/>
          <w:sz w:val="21"/>
          <w:szCs w:val="21"/>
          <w:lang w:val="en-GB"/>
        </w:rPr>
        <w:t>a</w:t>
      </w:r>
      <w:r w:rsidRPr="3A6FFEF0">
        <w:rPr>
          <w:rStyle w:val="normaltextrun"/>
          <w:rFonts w:ascii="Calibri" w:hAnsi="Calibri" w:cs="Calibri"/>
          <w:color w:val="4A4A4A"/>
          <w:sz w:val="21"/>
          <w:szCs w:val="21"/>
          <w:lang w:val="en-GB"/>
        </w:rPr>
        <w:t>ggregation:</w:t>
      </w:r>
      <w:r w:rsidR="004E1164" w:rsidRPr="3A6FFEF0">
        <w:rPr>
          <w:rStyle w:val="normaltextrun"/>
          <w:rFonts w:ascii="Calibri" w:hAnsi="Calibri" w:cs="Calibri"/>
          <w:color w:val="4A4A4A"/>
          <w:sz w:val="21"/>
          <w:szCs w:val="21"/>
          <w:lang w:val="en-GB"/>
        </w:rPr>
        <w:t xml:space="preserve"> </w:t>
      </w:r>
      <w:hyperlink r:id="rId15">
        <w:r w:rsidRPr="3A6FFEF0">
          <w:rPr>
            <w:rStyle w:val="normaltextrun"/>
            <w:rFonts w:ascii="Calibri" w:hAnsi="Calibri" w:cs="Calibri"/>
            <w:color w:val="0000FF"/>
            <w:sz w:val="21"/>
            <w:szCs w:val="21"/>
            <w:u w:val="single"/>
            <w:lang w:val="en-GB"/>
          </w:rPr>
          <w:t>http://www.who.int/wer/2012/wer8702.pdf</w:t>
        </w:r>
      </w:hyperlink>
    </w:p>
    <w:p w14:paraId="7B2D6501" w14:textId="545D4CD1" w:rsidR="0072214E" w:rsidRDefault="0072214E" w:rsidP="0072214E">
      <w:pPr>
        <w:pStyle w:val="paragraph"/>
        <w:spacing w:before="0" w:beforeAutospacing="0" w:after="0" w:afterAutospacing="0"/>
        <w:textAlignment w:val="baseline"/>
        <w:rPr>
          <w:rFonts w:ascii="Segoe UI" w:hAnsi="Segoe UI" w:cs="Segoe UI"/>
          <w:color w:val="4A4A4A"/>
          <w:sz w:val="18"/>
          <w:szCs w:val="18"/>
        </w:rPr>
      </w:pPr>
    </w:p>
    <w:p w14:paraId="1788C6B6" w14:textId="71DCCB19" w:rsidR="0072214E" w:rsidRDefault="0072214E" w:rsidP="3A6FFEF0">
      <w:pPr>
        <w:pStyle w:val="paragraph"/>
        <w:spacing w:before="0" w:beforeAutospacing="0" w:after="0" w:afterAutospacing="0"/>
        <w:textAlignment w:val="baseline"/>
        <w:rPr>
          <w:rFonts w:ascii="Segoe UI" w:hAnsi="Segoe UI" w:cs="Segoe UI"/>
          <w:color w:val="4A4A4A"/>
          <w:sz w:val="18"/>
          <w:szCs w:val="18"/>
        </w:rPr>
      </w:pPr>
      <w:r w:rsidRPr="3A6FFEF0">
        <w:rPr>
          <w:rStyle w:val="normaltextrun"/>
          <w:rFonts w:ascii="Calibri" w:hAnsi="Calibri" w:cs="Calibri"/>
          <w:color w:val="4A4A4A"/>
          <w:sz w:val="21"/>
          <w:szCs w:val="21"/>
          <w:lang w:val="en-GB"/>
        </w:rPr>
        <w:t>Following a recommendation by the Working Group on Monitoring and Evaluation of the Strategic and Technical Advisory Group for NTDs, WHO has led the development of an integrated NTD database to improve evidence-based planning and management of NTD programmes at the national and sub-national levels. The Integrated NTD database is available here: </w:t>
      </w:r>
      <w:r w:rsidR="1DFFB2C2" w:rsidRPr="3A6FFEF0">
        <w:rPr>
          <w:rStyle w:val="normaltextrun"/>
          <w:rFonts w:ascii="Calibri" w:hAnsi="Calibri" w:cs="Calibri"/>
          <w:color w:val="0000FF"/>
          <w:sz w:val="21"/>
          <w:szCs w:val="21"/>
          <w:u w:val="single"/>
          <w:lang w:val="en-GB"/>
        </w:rPr>
        <w:t xml:space="preserve"> https://www.who.int/teams/control-of-neglected-tropical-diseases/preventive-chemotherapy/integrated-ntd-database</w:t>
      </w:r>
      <w:r w:rsidRPr="3A6FFEF0">
        <w:rPr>
          <w:rStyle w:val="normaltextrun"/>
          <w:rFonts w:ascii="Calibri" w:hAnsi="Calibri" w:cs="Calibri"/>
          <w:color w:val="4A4A4A"/>
          <w:sz w:val="21"/>
          <w:szCs w:val="21"/>
          <w:lang w:val="en-GB"/>
        </w:rPr>
        <w:t>. </w:t>
      </w:r>
      <w:r w:rsidRPr="3A6FFEF0">
        <w:rPr>
          <w:rStyle w:val="eop"/>
          <w:rFonts w:ascii="Calibri" w:hAnsi="Calibri" w:cs="Calibri"/>
          <w:color w:val="4A4A4A"/>
          <w:sz w:val="21"/>
          <w:szCs w:val="21"/>
        </w:rPr>
        <w:t> </w:t>
      </w:r>
    </w:p>
    <w:p w14:paraId="753BE498" w14:textId="77777777" w:rsidR="0072214E" w:rsidRDefault="0072214E" w:rsidP="0072214E">
      <w:pPr>
        <w:pStyle w:val="paragraph"/>
        <w:spacing w:before="0" w:beforeAutospacing="0" w:after="0" w:afterAutospacing="0"/>
        <w:textAlignment w:val="baseline"/>
        <w:rPr>
          <w:rFonts w:ascii="Segoe UI" w:hAnsi="Segoe UI" w:cs="Segoe UI"/>
          <w:color w:val="4A4A4A"/>
          <w:sz w:val="18"/>
          <w:szCs w:val="18"/>
        </w:rPr>
      </w:pPr>
      <w:r>
        <w:rPr>
          <w:rStyle w:val="eop"/>
          <w:rFonts w:ascii="Calibri" w:hAnsi="Calibri" w:cs="Calibri"/>
          <w:color w:val="4A4A4A"/>
          <w:sz w:val="21"/>
          <w:szCs w:val="21"/>
        </w:rPr>
        <w:t> </w:t>
      </w:r>
    </w:p>
    <w:p w14:paraId="15BD8911" w14:textId="3E686FC0" w:rsidR="0072214E" w:rsidRDefault="0072214E" w:rsidP="3ECAD149">
      <w:pPr>
        <w:pStyle w:val="paragraph"/>
        <w:spacing w:before="0" w:beforeAutospacing="0" w:after="0" w:afterAutospacing="0"/>
        <w:textAlignment w:val="baseline"/>
        <w:rPr>
          <w:rFonts w:ascii="Segoe UI" w:hAnsi="Segoe UI" w:cs="Segoe UI"/>
          <w:color w:val="4A4A4A"/>
          <w:sz w:val="18"/>
          <w:szCs w:val="18"/>
        </w:rPr>
      </w:pPr>
      <w:r w:rsidRPr="3ECAD149">
        <w:rPr>
          <w:rStyle w:val="normaltextrun"/>
          <w:rFonts w:ascii="Calibri" w:hAnsi="Calibri" w:cs="Calibri"/>
          <w:color w:val="4A4A4A"/>
          <w:sz w:val="21"/>
          <w:szCs w:val="21"/>
          <w:lang w:val="en-GB"/>
        </w:rPr>
        <w:t xml:space="preserve">For NTDs requiring preventive chemotherapy, a joint reporting mechanism and set of reporting forms have been developed to facilitate the process of requesting donated medicines and reporting progress as well as to improve coordination and integration among programmes, more information is available </w:t>
      </w:r>
      <w:proofErr w:type="gramStart"/>
      <w:r w:rsidRPr="3ECAD149">
        <w:rPr>
          <w:rStyle w:val="normaltextrun"/>
          <w:rFonts w:ascii="Calibri" w:hAnsi="Calibri" w:cs="Calibri"/>
          <w:color w:val="4A4A4A"/>
          <w:sz w:val="21"/>
          <w:szCs w:val="21"/>
          <w:lang w:val="en-GB"/>
        </w:rPr>
        <w:t>here, </w:t>
      </w:r>
      <w:r w:rsidR="05D51ED8" w:rsidRPr="3ECAD149">
        <w:rPr>
          <w:rStyle w:val="normaltextrun"/>
          <w:rFonts w:ascii="Calibri" w:hAnsi="Calibri" w:cs="Calibri"/>
          <w:color w:val="0000FF"/>
          <w:sz w:val="21"/>
          <w:szCs w:val="21"/>
          <w:u w:val="single"/>
          <w:lang w:val="en-GB"/>
        </w:rPr>
        <w:t xml:space="preserve"> https://www.who.int/teams/control-of-neglected-tropical-diseases/preventive-chemotherapy/joint-application-package</w:t>
      </w:r>
      <w:proofErr w:type="gramEnd"/>
      <w:r w:rsidR="05D51ED8" w:rsidRPr="3ECAD149">
        <w:rPr>
          <w:rStyle w:val="normaltextrun"/>
          <w:rFonts w:ascii="Calibri" w:hAnsi="Calibri" w:cs="Calibri"/>
          <w:color w:val="0000FF"/>
          <w:sz w:val="21"/>
          <w:szCs w:val="21"/>
          <w:u w:val="single"/>
          <w:lang w:val="en-GB"/>
        </w:rPr>
        <w:t xml:space="preserve"> </w:t>
      </w:r>
      <w:r w:rsidRPr="3ECAD149">
        <w:rPr>
          <w:rStyle w:val="eop"/>
          <w:rFonts w:ascii="Calibri" w:hAnsi="Calibri" w:cs="Calibri"/>
          <w:color w:val="4A4A4A"/>
          <w:sz w:val="21"/>
          <w:szCs w:val="21"/>
        </w:rPr>
        <w:t> </w:t>
      </w:r>
    </w:p>
    <w:p w14:paraId="23400FBE" w14:textId="77777777" w:rsidR="0072214E" w:rsidRDefault="0072214E" w:rsidP="0072214E">
      <w:pPr>
        <w:pStyle w:val="paragraph"/>
        <w:shd w:val="clear" w:color="auto" w:fill="FFFFFF"/>
        <w:spacing w:before="0" w:beforeAutospacing="0" w:after="0" w:afterAutospacing="0"/>
        <w:textAlignment w:val="baseline"/>
        <w:rPr>
          <w:rFonts w:ascii="Segoe UI" w:hAnsi="Segoe UI" w:cs="Segoe UI"/>
          <w:b/>
          <w:bCs/>
          <w:color w:val="4A4A4A"/>
          <w:sz w:val="18"/>
          <w:szCs w:val="18"/>
        </w:rPr>
      </w:pPr>
      <w:r>
        <w:rPr>
          <w:rStyle w:val="eop"/>
          <w:rFonts w:ascii="Calibri" w:hAnsi="Calibri" w:cs="Calibri"/>
          <w:b/>
          <w:bCs/>
          <w:color w:val="4A4A4A"/>
          <w:sz w:val="21"/>
          <w:szCs w:val="21"/>
        </w:rPr>
        <w:t> </w:t>
      </w:r>
    </w:p>
    <w:p w14:paraId="6BA8B932" w14:textId="5E99A374" w:rsidR="0072214E" w:rsidRDefault="0072214E" w:rsidP="004E1164">
      <w:pPr>
        <w:pStyle w:val="paragraph"/>
        <w:spacing w:before="0" w:beforeAutospacing="0" w:after="0" w:afterAutospacing="0"/>
        <w:textAlignment w:val="baseline"/>
        <w:rPr>
          <w:rStyle w:val="normaltextrun"/>
          <w:color w:val="4A4A4A"/>
          <w:lang w:val="en-GB"/>
        </w:rPr>
      </w:pPr>
      <w:r w:rsidRPr="004E1164">
        <w:rPr>
          <w:rStyle w:val="normaltextrun"/>
          <w:rFonts w:ascii="Calibri" w:hAnsi="Calibri" w:cs="Calibri"/>
          <w:color w:val="4A4A4A"/>
          <w:sz w:val="21"/>
          <w:szCs w:val="21"/>
          <w:lang w:val="en-GB"/>
        </w:rPr>
        <w:t>For the other NTDs, the number of new cases should be reported by the health facilities to the national level in order to compile them. If active case search activities are organized (e.g. for integrated skin NTDs, human African trypanosomiasis, etc.), the country must ensure that the number of new cases detected through these activities are also reported, either through the health facilities or directly to the national level. A strong health information system is essential for countries to be able to collect, compile and analyse good quality information on these NTDs.</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w:t>
      </w:r>
      <w:r w:rsidR="00E1050F" w:rsidRPr="00A96255">
        <w:t>Quality management</w:t>
      </w:r>
    </w:p>
    <w:p w14:paraId="5484B16D" w14:textId="217D5D95" w:rsidR="00EC2915" w:rsidRPr="00A96255" w:rsidRDefault="214426BB" w:rsidP="00576CFA">
      <w:pPr>
        <w:pStyle w:val="MText"/>
      </w:pPr>
      <w:r w:rsidRPr="004645FA">
        <w:rPr>
          <w:rStyle w:val="normaltextrun"/>
          <w:rFonts w:ascii="Calibri" w:hAnsi="Calibri" w:cs="Calibri"/>
          <w:color w:val="333333"/>
        </w:rPr>
        <w:t>A framework for monitoring and evaluating progress of the road map for neglected tropical diseases guides activities involving the development of standards, tools and methods for generating, collecting, compiling, analysing, using and disseminating high-quality data on NTDs.</w:t>
      </w:r>
      <w:r w:rsidR="2974CA20" w:rsidRPr="004645FA">
        <w:rPr>
          <w:color w:val="auto"/>
        </w:rPr>
        <w:t xml:space="preserve"> </w:t>
      </w:r>
      <w:r w:rsidR="2974CA20">
        <w:t xml:space="preserve">At WHO, the </w:t>
      </w:r>
      <w:r w:rsidR="00864D10">
        <w:t xml:space="preserve">department of </w:t>
      </w:r>
      <w:r w:rsidR="2974CA20">
        <w:t>control of neglected tropical diseases is responsible for curating and generating the statistics</w:t>
      </w:r>
      <w:r w:rsidR="00864D10">
        <w:t xml:space="preserve"> on NTDs</w:t>
      </w:r>
      <w:r w:rsidR="2974CA20">
        <w:t xml:space="preserve">, which will be </w:t>
      </w:r>
      <w:r w:rsidR="1345CC30">
        <w:t>checked</w:t>
      </w:r>
      <w:r w:rsidR="2974CA20">
        <w:t xml:space="preserve"> and validated internally by the Division of Data</w:t>
      </w:r>
      <w:r w:rsidR="00864D10">
        <w:t xml:space="preserve"> and</w:t>
      </w:r>
      <w:r w:rsidR="2974CA20">
        <w:t xml:space="preserve"> </w:t>
      </w:r>
      <w:r w:rsidR="00864D10">
        <w:t xml:space="preserve">Analytics </w:t>
      </w:r>
      <w:r w:rsidR="2974CA20">
        <w:t>before publication and dissemination.</w:t>
      </w:r>
    </w:p>
    <w:p w14:paraId="7CF3567A" w14:textId="1AAF0FE7" w:rsidR="1D7AFDF6" w:rsidRDefault="1D7AFDF6" w:rsidP="1D7AFDF6">
      <w:pPr>
        <w:pStyle w:val="MText"/>
        <w:rPr>
          <w:rFonts w:ascii="Calibri" w:hAnsi="Calibri"/>
          <w:highlight w:val="yellow"/>
        </w:rPr>
      </w:pPr>
    </w:p>
    <w:p w14:paraId="17B979CA" w14:textId="449C0153" w:rsidR="00E1050F" w:rsidRPr="00A96255" w:rsidRDefault="00E1050F" w:rsidP="00F719A8">
      <w:pPr>
        <w:pStyle w:val="MHeader2"/>
      </w:pPr>
      <w:r w:rsidRPr="00A96255">
        <w:t>4.j Quality assurance</w:t>
      </w:r>
    </w:p>
    <w:p w14:paraId="7BA171DB" w14:textId="753C5250" w:rsidR="0072214E" w:rsidRDefault="0072214E" w:rsidP="3ECAD149">
      <w:pPr>
        <w:pStyle w:val="paragraph"/>
        <w:spacing w:before="0" w:beforeAutospacing="0" w:after="0" w:afterAutospacing="0"/>
        <w:textAlignment w:val="baseline"/>
        <w:rPr>
          <w:rFonts w:ascii="Segoe UI" w:hAnsi="Segoe UI" w:cs="Segoe UI"/>
          <w:color w:val="4A4A4A"/>
          <w:sz w:val="18"/>
          <w:szCs w:val="18"/>
        </w:rPr>
      </w:pPr>
      <w:r w:rsidRPr="3A6FFEF0">
        <w:rPr>
          <w:rStyle w:val="normaltextrun"/>
          <w:rFonts w:ascii="Calibri" w:hAnsi="Calibri" w:cs="Calibri"/>
          <w:color w:val="4A4A4A"/>
          <w:sz w:val="21"/>
          <w:szCs w:val="21"/>
          <w:lang w:val="en-GB"/>
        </w:rPr>
        <w:t>Training materials for the Integrated NTD database are available here: </w:t>
      </w:r>
      <w:hyperlink w:history="1"/>
      <w:r w:rsidR="79A8F4F1" w:rsidRPr="3A6FFEF0">
        <w:rPr>
          <w:rStyle w:val="normaltextrun"/>
          <w:rFonts w:ascii="Calibri" w:hAnsi="Calibri" w:cs="Calibri"/>
          <w:color w:val="0000FF"/>
          <w:sz w:val="21"/>
          <w:szCs w:val="21"/>
          <w:u w:val="single"/>
          <w:lang w:val="en-GB"/>
        </w:rPr>
        <w:t xml:space="preserve"> https://www.who.int/teams/control-of-neglected-tropical-diseases/preventive-chemotherapy/integrated-ntd-database</w:t>
      </w:r>
      <w:r w:rsidRPr="3A6FFEF0">
        <w:rPr>
          <w:rStyle w:val="normaltextrun"/>
          <w:rFonts w:ascii="Calibri" w:hAnsi="Calibri" w:cs="Calibri"/>
          <w:color w:val="4A4A4A"/>
          <w:sz w:val="21"/>
          <w:szCs w:val="21"/>
          <w:lang w:val="en-GB"/>
        </w:rPr>
        <w:t>. A user guide and video tutorial for the joint reporting mechanism and set of reporting forms are available here: </w:t>
      </w:r>
      <w:r w:rsidR="1B758F95" w:rsidRPr="3A6FFEF0">
        <w:rPr>
          <w:rStyle w:val="normaltextrun"/>
          <w:rFonts w:ascii="Calibri" w:hAnsi="Calibri" w:cs="Calibri"/>
          <w:color w:val="0000FF"/>
          <w:sz w:val="21"/>
          <w:szCs w:val="21"/>
          <w:u w:val="single"/>
          <w:lang w:val="en-GB"/>
        </w:rPr>
        <w:t xml:space="preserve"> https://www.who.int/teams/control-of-neglected-tropical-diseases/preventive-chemotherapy/joint-application-package </w:t>
      </w:r>
      <w:r w:rsidRPr="3A6FFEF0">
        <w:rPr>
          <w:rStyle w:val="eop"/>
          <w:rFonts w:ascii="Calibri" w:hAnsi="Calibri" w:cs="Calibri"/>
          <w:color w:val="4A4A4A"/>
          <w:sz w:val="21"/>
          <w:szCs w:val="21"/>
        </w:rPr>
        <w:t> </w:t>
      </w:r>
    </w:p>
    <w:p w14:paraId="7B99CDC0" w14:textId="262EC578" w:rsidR="0072214E" w:rsidRDefault="0072214E" w:rsidP="3ECAD149">
      <w:pPr>
        <w:pStyle w:val="paragraph"/>
        <w:spacing w:before="0" w:beforeAutospacing="0" w:after="0" w:afterAutospacing="0"/>
        <w:textAlignment w:val="baseline"/>
        <w:rPr>
          <w:rFonts w:ascii="Segoe UI" w:hAnsi="Segoe UI" w:cs="Segoe UI"/>
          <w:color w:val="4A4A4A"/>
          <w:sz w:val="18"/>
          <w:szCs w:val="18"/>
        </w:rPr>
      </w:pPr>
      <w:r w:rsidRPr="3ECAD149">
        <w:rPr>
          <w:rStyle w:val="normaltextrun"/>
          <w:rFonts w:ascii="Calibri" w:hAnsi="Calibri" w:cs="Calibri"/>
          <w:color w:val="4A4A4A"/>
          <w:sz w:val="21"/>
          <w:szCs w:val="21"/>
          <w:lang w:val="en-GB"/>
        </w:rPr>
        <w:t>Details about individual NTD data are available via: </w:t>
      </w:r>
      <w:r w:rsidR="4EA7FA52" w:rsidRPr="3ECAD149">
        <w:rPr>
          <w:rStyle w:val="normaltextrun"/>
          <w:rFonts w:ascii="Calibri" w:hAnsi="Calibri" w:cs="Calibri"/>
          <w:color w:val="0000FF"/>
          <w:sz w:val="21"/>
          <w:szCs w:val="21"/>
          <w:u w:val="single"/>
          <w:lang w:val="en-GB"/>
        </w:rPr>
        <w:t xml:space="preserve"> https://www.who.int/data/gho/data/themes/neglected-tropical-diseases</w:t>
      </w:r>
      <w:r w:rsidRPr="3ECAD149">
        <w:rPr>
          <w:rStyle w:val="normaltextrun"/>
          <w:rFonts w:ascii="Calibri" w:hAnsi="Calibri" w:cs="Calibri"/>
          <w:color w:val="4A4A4A"/>
          <w:sz w:val="21"/>
          <w:szCs w:val="21"/>
          <w:lang w:val="en-GB"/>
        </w:rPr>
        <w:t>. For NTDs requiring preventive chemotherapy, reports are signed by the NTD coordinator or a Ministry of Health representative to formally endorse the country’s request for medicines (when applicable) and data. They are submitted to the WHO Representative of the concerned WHO Country office.</w:t>
      </w:r>
      <w:r w:rsidRPr="3ECAD149">
        <w:rPr>
          <w:rStyle w:val="eop"/>
          <w:rFonts w:ascii="Calibri" w:hAnsi="Calibri" w:cs="Calibri"/>
          <w:color w:val="4A4A4A"/>
          <w:sz w:val="21"/>
          <w:szCs w:val="21"/>
        </w:rPr>
        <w:t> </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4.k Qua</w:t>
      </w:r>
      <w:r w:rsidR="00E1050F" w:rsidRPr="00A96255">
        <w:t>lity assessment</w:t>
      </w:r>
    </w:p>
    <w:p w14:paraId="6AA76230" w14:textId="2CEF251B" w:rsidR="00576CFA" w:rsidRPr="00A96255" w:rsidRDefault="0044642B" w:rsidP="1D7AFDF6">
      <w:pPr>
        <w:pStyle w:val="MText"/>
        <w:rPr>
          <w:rFonts w:ascii="Calibri" w:hAnsi="Calibri"/>
          <w:lang w:val="en-US"/>
        </w:rPr>
      </w:pPr>
      <w:r w:rsidRPr="1D7AFDF6">
        <w:rPr>
          <w:rFonts w:ascii="Calibri" w:eastAsia="Calibri" w:hAnsi="Calibri" w:cs="Calibri"/>
          <w:lang w:val="en-US"/>
        </w:rPr>
        <w:t xml:space="preserve">A data quality review toolkit has been developed by WHO to </w:t>
      </w:r>
      <w:r w:rsidRPr="1D7AFDF6">
        <w:rPr>
          <w:rFonts w:ascii="Calibri" w:eastAsia="Calibri" w:hAnsi="Calibri" w:cs="Calibri"/>
          <w:color w:val="000000" w:themeColor="text1"/>
          <w:lang w:val="en-US"/>
        </w:rPr>
        <w:t xml:space="preserve">provide a multi-pronged approach that ensures a comprehensive and holistic review of the quality of health facility data. WHO has also </w:t>
      </w:r>
      <w:r w:rsidRPr="1D7AFDF6">
        <w:rPr>
          <w:rFonts w:ascii="Calibri" w:eastAsia="Calibri" w:hAnsi="Calibri" w:cs="Calibri"/>
          <w:color w:val="000000" w:themeColor="text1"/>
          <w:lang w:val="en-US"/>
        </w:rPr>
        <w:lastRenderedPageBreak/>
        <w:t xml:space="preserve">developed a field manual to guide national NTD </w:t>
      </w:r>
      <w:proofErr w:type="spellStart"/>
      <w:r w:rsidRPr="1D7AFDF6">
        <w:rPr>
          <w:rFonts w:ascii="Calibri" w:eastAsia="Calibri" w:hAnsi="Calibri" w:cs="Calibri"/>
          <w:color w:val="000000" w:themeColor="text1"/>
          <w:lang w:val="en-US"/>
        </w:rPr>
        <w:t>programmes</w:t>
      </w:r>
      <w:proofErr w:type="spellEnd"/>
      <w:r w:rsidRPr="1D7AFDF6">
        <w:rPr>
          <w:rFonts w:ascii="Calibri" w:eastAsia="Calibri" w:hAnsi="Calibri" w:cs="Calibri"/>
          <w:color w:val="000000" w:themeColor="text1"/>
          <w:lang w:val="en-US"/>
        </w:rPr>
        <w:t xml:space="preserve"> in using tools to improve data quality and information, through coverage evaluation surveys, data quality assessments and a supervisors’ coverage tool (</w:t>
      </w:r>
      <w:hyperlink r:id="rId16" w:history="1">
        <w:r w:rsidRPr="1D7AFDF6">
          <w:rPr>
            <w:rStyle w:val="Hyperlink"/>
            <w:rFonts w:ascii="Calibri" w:eastAsia="Calibri" w:hAnsi="Calibri" w:cs="Calibri"/>
            <w:sz w:val="22"/>
            <w:szCs w:val="22"/>
            <w:lang w:val="en-US"/>
          </w:rPr>
          <w:t>https://apps.who.int/iris/bitstream/handle/10665/329376/9789241516464-eng.pdf</w:t>
        </w:r>
      </w:hyperlink>
      <w:r w:rsidRPr="1D7AFDF6">
        <w:rPr>
          <w:rFonts w:ascii="Calibri" w:eastAsia="Calibri" w:hAnsi="Calibri" w:cs="Calibri"/>
          <w:lang w:val="en-US"/>
        </w:rPr>
        <w:t>)</w:t>
      </w:r>
      <w:r w:rsidRPr="1D7AFDF6">
        <w:rPr>
          <w:rFonts w:ascii="Calibri" w:eastAsia="Calibri" w:hAnsi="Calibri" w:cs="Calibri"/>
          <w:color w:val="000000" w:themeColor="text1"/>
          <w:lang w:val="en-US"/>
        </w:rPr>
        <w:t>.</w:t>
      </w:r>
    </w:p>
    <w:p w14:paraId="5B7C52CE" w14:textId="0916BAF4"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5. Data availability and disaggregation</w:t>
      </w:r>
    </w:p>
    <w:p w14:paraId="1D281B33" w14:textId="77777777" w:rsidR="00956D34" w:rsidRDefault="00D51E7C" w:rsidP="00576CFA">
      <w:pPr>
        <w:pStyle w:val="MText"/>
      </w:pPr>
      <w:r w:rsidRPr="00956D34">
        <w:t>Data availability:</w:t>
      </w:r>
      <w:r w:rsidR="00956D34" w:rsidRPr="00956D34">
        <w:t xml:space="preserve"> </w:t>
      </w:r>
    </w:p>
    <w:p w14:paraId="464A8CCF" w14:textId="6D6F384D" w:rsidR="00576CFA" w:rsidRDefault="00956D34" w:rsidP="00576CFA">
      <w:pPr>
        <w:pStyle w:val="MText"/>
        <w:rPr>
          <w:rStyle w:val="eop"/>
          <w:rFonts w:ascii="Calibri" w:hAnsi="Calibri" w:cs="Calibri"/>
        </w:rPr>
      </w:pPr>
      <w:r>
        <w:rPr>
          <w:rStyle w:val="normaltextrun"/>
          <w:rFonts w:ascii="Calibri" w:hAnsi="Calibri" w:cs="Calibri"/>
        </w:rPr>
        <w:t xml:space="preserve">Data are currently being reported by </w:t>
      </w:r>
      <w:r w:rsidR="007825D4">
        <w:rPr>
          <w:rStyle w:val="normaltextrun"/>
          <w:rFonts w:ascii="Calibri" w:hAnsi="Calibri" w:cs="Calibri"/>
        </w:rPr>
        <w:t xml:space="preserve">191 </w:t>
      </w:r>
      <w:r>
        <w:rPr>
          <w:rStyle w:val="normaltextrun"/>
          <w:rFonts w:ascii="Calibri" w:hAnsi="Calibri" w:cs="Calibri"/>
        </w:rPr>
        <w:t>countries, with good coverage of all regions.</w:t>
      </w:r>
      <w:r>
        <w:rPr>
          <w:rStyle w:val="eop"/>
          <w:rFonts w:ascii="Calibri" w:hAnsi="Calibri" w:cs="Calibri"/>
        </w:rPr>
        <w:t> </w:t>
      </w:r>
    </w:p>
    <w:p w14:paraId="2D0542F7" w14:textId="4D4EF2BA" w:rsidR="00D51E7C" w:rsidRPr="00C019E5" w:rsidRDefault="00D51E7C" w:rsidP="00576CFA">
      <w:pPr>
        <w:pStyle w:val="MText"/>
        <w:rPr>
          <w:highlight w:val="cyan"/>
        </w:rPr>
      </w:pPr>
    </w:p>
    <w:p w14:paraId="5853D6F7" w14:textId="44EE14E1" w:rsidR="00D51E7C" w:rsidRPr="004645FA" w:rsidRDefault="00D51E7C" w:rsidP="00576CFA">
      <w:pPr>
        <w:pStyle w:val="MText"/>
      </w:pPr>
      <w:r w:rsidRPr="004645FA">
        <w:t>Time series:</w:t>
      </w:r>
    </w:p>
    <w:p w14:paraId="2B1B1673" w14:textId="51F382ED" w:rsidR="4E23C830" w:rsidRPr="004645FA" w:rsidRDefault="4E23C830" w:rsidP="3ECAD149">
      <w:pPr>
        <w:pStyle w:val="MText"/>
        <w:rPr>
          <w:rStyle w:val="normaltextrun"/>
          <w:rFonts w:ascii="Calibri" w:hAnsi="Calibri" w:cs="Calibri"/>
        </w:rPr>
      </w:pPr>
      <w:r w:rsidRPr="004645FA">
        <w:rPr>
          <w:rStyle w:val="normaltextrun"/>
          <w:rFonts w:ascii="Calibri" w:hAnsi="Calibri" w:cs="Calibri"/>
        </w:rPr>
        <w:t>2010-2019</w:t>
      </w:r>
    </w:p>
    <w:p w14:paraId="760C013A" w14:textId="4597FCBD" w:rsidR="00D51E7C" w:rsidRPr="00C019E5" w:rsidRDefault="00D51E7C" w:rsidP="00576CFA">
      <w:pPr>
        <w:pStyle w:val="MText"/>
        <w:rPr>
          <w:highlight w:val="cyan"/>
        </w:rPr>
      </w:pPr>
    </w:p>
    <w:p w14:paraId="01CD59A9" w14:textId="2E584983" w:rsidR="0072214E" w:rsidRDefault="00D51E7C" w:rsidP="004F1F9D">
      <w:pPr>
        <w:pStyle w:val="MText"/>
      </w:pPr>
      <w:r w:rsidRPr="0072214E">
        <w:t>Disaggregation:</w:t>
      </w:r>
      <w:r w:rsidR="0072214E">
        <w:t xml:space="preserve"> </w:t>
      </w:r>
    </w:p>
    <w:p w14:paraId="27DB2AFF" w14:textId="0AC1FAB7" w:rsidR="0072214E" w:rsidRDefault="0072214E" w:rsidP="2B56C6B7">
      <w:pPr>
        <w:pStyle w:val="MText"/>
        <w:rPr>
          <w:rStyle w:val="eop"/>
          <w:rFonts w:ascii="Calibri" w:hAnsi="Calibri" w:cs="Calibri"/>
        </w:rPr>
      </w:pPr>
      <w:r w:rsidRPr="2B56C6B7">
        <w:rPr>
          <w:rStyle w:val="normaltextrun"/>
          <w:rFonts w:ascii="Calibri" w:hAnsi="Calibri" w:cs="Calibri"/>
        </w:rPr>
        <w:t>Disaggregation by disease is required; ending the epidemic of NTDs requires a reduction in the number of people requiring interventions for each NTD.</w:t>
      </w:r>
    </w:p>
    <w:p w14:paraId="1E0D3ED9" w14:textId="77777777" w:rsidR="0072214E" w:rsidRDefault="0072214E" w:rsidP="004F1F9D">
      <w:pPr>
        <w:pStyle w:val="MText"/>
        <w:rPr>
          <w:rFonts w:ascii="Segoe UI" w:hAnsi="Segoe UI" w:cs="Segoe UI"/>
          <w:sz w:val="18"/>
          <w:szCs w:val="18"/>
        </w:rPr>
      </w:pPr>
      <w:r>
        <w:rPr>
          <w:rStyle w:val="normaltextrun"/>
          <w:rFonts w:ascii="Calibri" w:hAnsi="Calibri" w:cs="Calibri"/>
        </w:rPr>
        <w:t>Disaggregation by age is required for PC: preschool-aged children (1-4 years), school-aged (5-14 years) and adults (= 15 years).</w:t>
      </w:r>
      <w:r>
        <w:rPr>
          <w:rStyle w:val="eop"/>
          <w:rFonts w:ascii="Calibri" w:hAnsi="Calibri" w:cs="Calibri"/>
        </w:rPr>
        <w:t> </w:t>
      </w:r>
    </w:p>
    <w:p w14:paraId="42E8CA56" w14:textId="47570B82"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6. Comparability / d</w:t>
      </w:r>
      <w:r w:rsidR="00576CFA" w:rsidRPr="00A96255">
        <w:t>eviatio</w:t>
      </w:r>
      <w:r w:rsidR="00382CF3" w:rsidRPr="00A96255">
        <w:t>n from international standards</w:t>
      </w:r>
    </w:p>
    <w:p w14:paraId="3595E072" w14:textId="33F70AB7" w:rsidR="00D51E7C" w:rsidRDefault="00D51E7C" w:rsidP="00576CFA">
      <w:pPr>
        <w:pStyle w:val="MText"/>
      </w:pPr>
      <w:r w:rsidRPr="0072214E">
        <w:t>Sources of discrepancies:</w:t>
      </w:r>
    </w:p>
    <w:p w14:paraId="2AC030FE" w14:textId="77777777" w:rsidR="0072214E" w:rsidRDefault="0072214E" w:rsidP="0072214E">
      <w:pPr>
        <w:pStyle w:val="paragraph"/>
        <w:shd w:val="clear" w:color="auto" w:fill="FFFFFF"/>
        <w:spacing w:before="0" w:beforeAutospacing="0" w:after="0" w:afterAutospacing="0"/>
        <w:textAlignment w:val="baseline"/>
        <w:rPr>
          <w:rStyle w:val="normaltextrun"/>
          <w:rFonts w:ascii="Calibri" w:hAnsi="Calibri" w:cs="Calibri"/>
          <w:color w:val="4A4A4A"/>
          <w:sz w:val="21"/>
          <w:szCs w:val="21"/>
          <w:lang w:val="en-GB"/>
        </w:rPr>
      </w:pPr>
    </w:p>
    <w:p w14:paraId="4306A075" w14:textId="50D23175" w:rsidR="0072214E" w:rsidRDefault="0072214E" w:rsidP="0072214E">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Countries do not typically aggregate their data across NTDs, but if they applied the aggregation method as described above, they would obtain the same number. The only exceptions would be countries with one or more missing values for individual NTDs. In these exceptional cases, internationally estimated aggregates will be higher than country produced aggregates that assume missing values are nil. We present best estimates with uncertainty intervals to highlight those missing values that have a significant impact on country aggregates, until such time that missing values are reported.</w:t>
      </w:r>
      <w:r>
        <w:rPr>
          <w:rStyle w:val="eop"/>
          <w:rFonts w:ascii="Calibri" w:hAnsi="Calibri" w:cs="Calibri"/>
          <w:color w:val="4A4A4A"/>
          <w:sz w:val="21"/>
          <w:szCs w:val="21"/>
        </w:rPr>
        <w:t> </w:t>
      </w:r>
    </w:p>
    <w:p w14:paraId="5AB6DD91" w14:textId="5B5263D4"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7</w:t>
      </w:r>
      <w:r w:rsidR="00382CF3" w:rsidRPr="00A96255">
        <w:t>. References and Documentation</w:t>
      </w:r>
    </w:p>
    <w:p w14:paraId="4294EF7C" w14:textId="77777777" w:rsidR="00956D34" w:rsidRDefault="00956D34" w:rsidP="00956D34">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4A4A4A"/>
          <w:sz w:val="21"/>
          <w:szCs w:val="21"/>
          <w:lang w:val="en-GB"/>
        </w:rPr>
        <w:t>URL:</w:t>
      </w:r>
      <w:r>
        <w:rPr>
          <w:rStyle w:val="eop"/>
          <w:rFonts w:ascii="Calibri" w:hAnsi="Calibri" w:cs="Calibri"/>
          <w:color w:val="4A4A4A"/>
          <w:sz w:val="21"/>
          <w:szCs w:val="21"/>
        </w:rPr>
        <w:t> </w:t>
      </w:r>
    </w:p>
    <w:p w14:paraId="66B43B84" w14:textId="77777777" w:rsidR="00956D34" w:rsidRDefault="00956D34" w:rsidP="00956D34">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2B5C1E22" w14:textId="5ECFDB5B" w:rsidR="00956D34" w:rsidRDefault="4E6827FC" w:rsidP="3ECAD149">
      <w:pPr>
        <w:pStyle w:val="paragraph"/>
        <w:shd w:val="clear" w:color="auto" w:fill="FFFFFF" w:themeFill="background1"/>
        <w:spacing w:before="0" w:beforeAutospacing="0" w:after="0" w:afterAutospacing="0"/>
        <w:textAlignment w:val="baseline"/>
        <w:rPr>
          <w:rFonts w:ascii="Segoe UI" w:hAnsi="Segoe UI" w:cs="Segoe UI"/>
          <w:sz w:val="18"/>
          <w:szCs w:val="18"/>
        </w:rPr>
      </w:pPr>
      <w:r w:rsidRPr="3ECAD149">
        <w:rPr>
          <w:rStyle w:val="normaltextrun"/>
          <w:rFonts w:ascii="Calibri" w:hAnsi="Calibri" w:cs="Calibri"/>
          <w:color w:val="0000FF"/>
          <w:sz w:val="21"/>
          <w:szCs w:val="21"/>
          <w:u w:val="single"/>
          <w:lang w:val="en-GB"/>
        </w:rPr>
        <w:t xml:space="preserve"> https://www.who.int/teams/control-of-neglected-tropical-diseases </w:t>
      </w:r>
      <w:r w:rsidR="00956D34" w:rsidRPr="3ECAD149">
        <w:rPr>
          <w:rStyle w:val="eop"/>
          <w:color w:val="4A4A4A"/>
          <w:sz w:val="21"/>
          <w:szCs w:val="21"/>
        </w:rPr>
        <w:t> </w:t>
      </w:r>
    </w:p>
    <w:p w14:paraId="07FCB667" w14:textId="77777777" w:rsidR="00956D34" w:rsidRDefault="00956D34" w:rsidP="00956D34">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04EE3BCD" w14:textId="77777777" w:rsidR="00956D34" w:rsidRDefault="00956D34" w:rsidP="00956D34">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4A4A4A"/>
          <w:sz w:val="21"/>
          <w:szCs w:val="21"/>
          <w:lang w:val="en-GB"/>
        </w:rPr>
        <w:t>References:</w:t>
      </w:r>
      <w:r>
        <w:rPr>
          <w:rStyle w:val="eop"/>
          <w:rFonts w:ascii="Calibri" w:hAnsi="Calibri" w:cs="Calibri"/>
          <w:color w:val="4A4A4A"/>
          <w:sz w:val="21"/>
          <w:szCs w:val="21"/>
        </w:rPr>
        <w:t> </w:t>
      </w:r>
    </w:p>
    <w:p w14:paraId="33F5711C" w14:textId="72E56095" w:rsidR="00956D34" w:rsidRDefault="00956D34" w:rsidP="004645FA">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7A1E729D" w14:textId="5E893746" w:rsidR="7A396900" w:rsidRPr="004645FA" w:rsidRDefault="7A396900" w:rsidP="3ECAD149">
      <w:pPr>
        <w:pStyle w:val="paragraph"/>
        <w:shd w:val="clear" w:color="auto" w:fill="FFFFFF" w:themeFill="background1"/>
        <w:spacing w:before="0" w:beforeAutospacing="0" w:after="0" w:afterAutospacing="0"/>
        <w:rPr>
          <w:rStyle w:val="normaltextrun"/>
          <w:color w:val="4A4A4A"/>
          <w:lang w:val="en-GB"/>
        </w:rPr>
      </w:pPr>
      <w:r w:rsidRPr="004645FA">
        <w:rPr>
          <w:rStyle w:val="normaltextrun"/>
          <w:rFonts w:ascii="Calibri" w:hAnsi="Calibri" w:cs="Calibri"/>
          <w:color w:val="4A4A4A"/>
          <w:sz w:val="21"/>
          <w:szCs w:val="21"/>
          <w:lang w:val="en-GB"/>
        </w:rPr>
        <w:t>Ending the neglect to attain the Sustainable Development Goals: A road map for neglected tropical diseases 2021–2030. Geneva: World Health Organization; 2021 (</w:t>
      </w:r>
      <w:r w:rsidRPr="3ECAD149">
        <w:rPr>
          <w:rStyle w:val="eop"/>
          <w:rFonts w:ascii="Calibri" w:hAnsi="Calibri" w:cs="Calibri"/>
          <w:sz w:val="21"/>
          <w:szCs w:val="21"/>
        </w:rPr>
        <w:t xml:space="preserve"> </w:t>
      </w:r>
      <w:hyperlink r:id="rId17" w:history="1">
        <w:r w:rsidRPr="3ECAD149">
          <w:rPr>
            <w:rStyle w:val="Hyperlink"/>
            <w:rFonts w:ascii="Calibri" w:hAnsi="Calibri" w:cs="Calibri"/>
            <w:sz w:val="21"/>
            <w:szCs w:val="21"/>
          </w:rPr>
          <w:t>https://www.who.int/publications/i/item/9789240010352</w:t>
        </w:r>
      </w:hyperlink>
      <w:r w:rsidRPr="3ECAD149">
        <w:rPr>
          <w:rStyle w:val="eop"/>
          <w:rFonts w:ascii="Calibri" w:hAnsi="Calibri" w:cs="Calibri"/>
          <w:sz w:val="21"/>
          <w:szCs w:val="21"/>
        </w:rPr>
        <w:t xml:space="preserve">, </w:t>
      </w:r>
      <w:r w:rsidRPr="004645FA">
        <w:rPr>
          <w:rStyle w:val="normaltextrun"/>
          <w:color w:val="4A4A4A"/>
          <w:lang w:val="en-GB"/>
        </w:rPr>
        <w:t>accessed 4 February 2021).</w:t>
      </w:r>
    </w:p>
    <w:p w14:paraId="475A3790" w14:textId="613D4B32" w:rsidR="00956D34" w:rsidRDefault="00956D34" w:rsidP="3ECAD149">
      <w:pPr>
        <w:pStyle w:val="paragraph"/>
        <w:shd w:val="clear" w:color="auto" w:fill="FFFFFF" w:themeFill="background1"/>
        <w:spacing w:before="0" w:beforeAutospacing="0" w:after="0" w:afterAutospacing="0"/>
        <w:textAlignment w:val="baseline"/>
        <w:rPr>
          <w:rFonts w:ascii="Segoe UI" w:hAnsi="Segoe UI" w:cs="Segoe UI"/>
          <w:sz w:val="18"/>
          <w:szCs w:val="18"/>
        </w:rPr>
      </w:pPr>
      <w:r w:rsidRPr="3ECAD149">
        <w:rPr>
          <w:rStyle w:val="normaltextrun"/>
          <w:rFonts w:ascii="Calibri" w:hAnsi="Calibri" w:cs="Calibri"/>
          <w:color w:val="4A4A4A"/>
          <w:sz w:val="21"/>
          <w:szCs w:val="21"/>
          <w:lang w:val="en-GB"/>
        </w:rPr>
        <w:t>Accelerating work to overcome the global impact of neglected tropical diseases: A Roadmap for Implementation. Geneva: World Health Organization; 2012 </w:t>
      </w:r>
      <w:r w:rsidRPr="3ECAD149">
        <w:rPr>
          <w:rStyle w:val="normaltextrun"/>
          <w:color w:val="4A4A4A"/>
          <w:sz w:val="21"/>
          <w:szCs w:val="21"/>
          <w:lang w:val="en-GB"/>
        </w:rPr>
        <w:t>(</w:t>
      </w:r>
      <w:r w:rsidRPr="3ECAD149">
        <w:rPr>
          <w:rStyle w:val="normaltextrun"/>
          <w:rFonts w:ascii="Calibri" w:hAnsi="Calibri" w:cs="Calibri"/>
          <w:color w:val="4A4A4A"/>
          <w:sz w:val="21"/>
          <w:szCs w:val="21"/>
          <w:lang w:val="en-GB"/>
        </w:rPr>
        <w:t>accessed 29 March 2015).</w:t>
      </w:r>
      <w:r w:rsidRPr="3ECAD149">
        <w:rPr>
          <w:rStyle w:val="eop"/>
          <w:rFonts w:ascii="Calibri" w:hAnsi="Calibri" w:cs="Calibri"/>
          <w:color w:val="4A4A4A"/>
          <w:sz w:val="21"/>
          <w:szCs w:val="21"/>
        </w:rPr>
        <w:t> </w:t>
      </w:r>
    </w:p>
    <w:p w14:paraId="6B126F5E" w14:textId="77777777" w:rsidR="00956D34" w:rsidRDefault="00956D34" w:rsidP="3ECAD149">
      <w:pPr>
        <w:pStyle w:val="paragraph"/>
        <w:shd w:val="clear" w:color="auto" w:fill="FFFFFF" w:themeFill="background1"/>
        <w:spacing w:before="0" w:beforeAutospacing="0" w:after="0" w:afterAutospacing="0"/>
        <w:textAlignment w:val="baseline"/>
        <w:rPr>
          <w:rFonts w:ascii="Segoe UI" w:hAnsi="Segoe UI" w:cs="Segoe UI"/>
          <w:sz w:val="18"/>
          <w:szCs w:val="18"/>
        </w:rPr>
      </w:pPr>
      <w:r w:rsidRPr="3ECAD149">
        <w:rPr>
          <w:rStyle w:val="eop"/>
          <w:color w:val="4A4A4A"/>
          <w:sz w:val="21"/>
          <w:szCs w:val="21"/>
        </w:rPr>
        <w:t> </w:t>
      </w:r>
    </w:p>
    <w:p w14:paraId="384B0992" w14:textId="08558CA1" w:rsidR="00186795" w:rsidRDefault="00956D34" w:rsidP="00F15D18">
      <w:pPr>
        <w:pStyle w:val="paragraph"/>
        <w:shd w:val="clear" w:color="auto" w:fill="FFFFFF" w:themeFill="background1"/>
        <w:spacing w:before="0" w:beforeAutospacing="0" w:after="0" w:afterAutospacing="0"/>
      </w:pPr>
      <w:r w:rsidRPr="3ECAD149">
        <w:rPr>
          <w:rStyle w:val="normaltextrun"/>
          <w:rFonts w:ascii="Calibri" w:hAnsi="Calibri" w:cs="Calibri"/>
          <w:color w:val="4A4A4A"/>
          <w:sz w:val="21"/>
          <w:szCs w:val="21"/>
          <w:lang w:val="en-GB"/>
        </w:rPr>
        <w:t>Investing to overcome the global impact of neglected tropical diseases. Geneva: World Health Organization; 2015 (accessed 29 March 2015).</w:t>
      </w:r>
    </w:p>
    <w:sectPr w:rsidR="00186795">
      <w:headerReference w:type="default" r:id="rId18"/>
      <w:footerReference w:type="default" r:id="rId19"/>
      <w:pgSz w:w="11906" w:h="16838"/>
      <w:pgMar w:top="1440" w:right="1440" w:bottom="1440" w:left="1440" w:header="720" w:footer="720" w:gutter="0"/>
      <w:cols w:space="720"/>
      <w:docGrid w:linePitch="36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DC5388D" w16cex:dateUtc="2021-02-03T08:37:41Z"/>
  <w16cex:commentExtensible w16cex:durableId="4952E024" w16cex:dateUtc="2021-02-08T08:31:10.061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CB34A0" w14:textId="77777777" w:rsidR="00140A47" w:rsidRDefault="00140A47" w:rsidP="00573C0B">
      <w:pPr>
        <w:spacing w:after="0" w:line="240" w:lineRule="auto"/>
      </w:pPr>
      <w:r>
        <w:separator/>
      </w:r>
    </w:p>
  </w:endnote>
  <w:endnote w:type="continuationSeparator" w:id="0">
    <w:p w14:paraId="6583FF88" w14:textId="77777777" w:rsidR="00140A47" w:rsidRDefault="00140A47" w:rsidP="00573C0B">
      <w:pPr>
        <w:spacing w:after="0" w:line="240" w:lineRule="auto"/>
      </w:pPr>
      <w:r>
        <w:continuationSeparator/>
      </w:r>
    </w:p>
  </w:endnote>
  <w:endnote w:type="continuationNotice" w:id="1">
    <w:p w14:paraId="510423B3" w14:textId="77777777" w:rsidR="00140A47" w:rsidRDefault="00140A4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5"/>
      <w:gridCol w:w="3005"/>
      <w:gridCol w:w="3005"/>
    </w:tblGrid>
    <w:tr w:rsidR="3ECAD149" w14:paraId="26DC8119" w14:textId="77777777" w:rsidTr="00CD31C9">
      <w:tc>
        <w:tcPr>
          <w:tcW w:w="3005" w:type="dxa"/>
        </w:tcPr>
        <w:p w14:paraId="2DB3E9B2" w14:textId="4BFC0D81" w:rsidR="3ECAD149" w:rsidRDefault="3ECAD149" w:rsidP="00CD31C9">
          <w:pPr>
            <w:pStyle w:val="Header"/>
            <w:ind w:left="-115"/>
          </w:pPr>
        </w:p>
      </w:tc>
      <w:tc>
        <w:tcPr>
          <w:tcW w:w="3005" w:type="dxa"/>
        </w:tcPr>
        <w:p w14:paraId="21C5E083" w14:textId="6DE70BCF" w:rsidR="3ECAD149" w:rsidRDefault="3ECAD149" w:rsidP="00CD31C9">
          <w:pPr>
            <w:pStyle w:val="Header"/>
            <w:jc w:val="center"/>
          </w:pPr>
        </w:p>
      </w:tc>
      <w:tc>
        <w:tcPr>
          <w:tcW w:w="3005" w:type="dxa"/>
        </w:tcPr>
        <w:p w14:paraId="63232060" w14:textId="3996F2C9" w:rsidR="3ECAD149" w:rsidRDefault="3ECAD149" w:rsidP="00CD31C9">
          <w:pPr>
            <w:pStyle w:val="Header"/>
            <w:ind w:right="-115"/>
            <w:jc w:val="right"/>
          </w:pPr>
        </w:p>
      </w:tc>
    </w:tr>
  </w:tbl>
  <w:p w14:paraId="518D5AAD" w14:textId="1D94D0E5" w:rsidR="3ECAD149" w:rsidRDefault="3ECAD149" w:rsidP="00CD31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AC2E01" w14:textId="77777777" w:rsidR="00140A47" w:rsidRDefault="00140A47" w:rsidP="00573C0B">
      <w:pPr>
        <w:spacing w:after="0" w:line="240" w:lineRule="auto"/>
      </w:pPr>
      <w:r>
        <w:separator/>
      </w:r>
    </w:p>
  </w:footnote>
  <w:footnote w:type="continuationSeparator" w:id="0">
    <w:p w14:paraId="256B7026" w14:textId="77777777" w:rsidR="00140A47" w:rsidRDefault="00140A47" w:rsidP="00573C0B">
      <w:pPr>
        <w:spacing w:after="0" w:line="240" w:lineRule="auto"/>
      </w:pPr>
      <w:r>
        <w:continuationSeparator/>
      </w:r>
    </w:p>
  </w:footnote>
  <w:footnote w:type="continuationNotice" w:id="1">
    <w:p w14:paraId="7081494C" w14:textId="77777777" w:rsidR="00140A47" w:rsidRDefault="00140A4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D5D76" w14:textId="05C7EB9B" w:rsidR="00077F46" w:rsidRPr="00757E8A" w:rsidRDefault="00077F46" w:rsidP="00077F46">
    <w:pPr>
      <w:pStyle w:val="Header"/>
      <w:jc w:val="right"/>
      <w:rPr>
        <w:color w:val="404040" w:themeColor="text1" w:themeTint="BF"/>
        <w:sz w:val="18"/>
        <w:szCs w:val="18"/>
      </w:rPr>
    </w:pPr>
    <w:bookmarkStart w:id="6" w:name="_Hlk506197003"/>
    <w:bookmarkStart w:id="7" w:name="_Hlk506197004"/>
    <w:bookmarkStart w:id="8" w:name="_Hlk506197005"/>
    <w:bookmarkStart w:id="9" w:name="_Hlk516233502"/>
    <w:bookmarkStart w:id="10" w:name="_Hlk516233503"/>
    <w:bookmarkStart w:id="11" w:name="_Hlk516233504"/>
    <w:r w:rsidRPr="00757E8A">
      <w:rPr>
        <w:color w:val="404040" w:themeColor="text1" w:themeTint="BF"/>
        <w:sz w:val="18"/>
        <w:szCs w:val="18"/>
      </w:rPr>
      <w:t>Last updated:</w:t>
    </w:r>
    <w:bookmarkEnd w:id="6"/>
    <w:bookmarkEnd w:id="7"/>
    <w:bookmarkEnd w:id="8"/>
    <w:bookmarkEnd w:id="9"/>
    <w:bookmarkEnd w:id="10"/>
    <w:bookmarkEnd w:id="11"/>
    <w:r w:rsidR="00AF5552">
      <w:rPr>
        <w:color w:val="404040" w:themeColor="text1" w:themeTint="BF"/>
        <w:sz w:val="18"/>
        <w:szCs w:val="18"/>
      </w:rPr>
      <w:t xml:space="preserve"> </w:t>
    </w:r>
    <w:r w:rsidR="00EF7EA5">
      <w:rPr>
        <w:color w:val="404040" w:themeColor="text1" w:themeTint="BF"/>
        <w:sz w:val="18"/>
        <w:szCs w:val="18"/>
      </w:rPr>
      <w:t>7</w:t>
    </w:r>
    <w:r w:rsidR="00952341">
      <w:rPr>
        <w:color w:val="404040" w:themeColor="text1" w:themeTint="BF"/>
        <w:sz w:val="18"/>
        <w:szCs w:val="18"/>
      </w:rPr>
      <w:t xml:space="preserve"> February </w:t>
    </w:r>
    <w:r w:rsidR="00B329B0">
      <w:rPr>
        <w:color w:val="404040" w:themeColor="text1" w:themeTint="BF"/>
        <w:sz w:val="18"/>
        <w:szCs w:val="18"/>
      </w:rPr>
      <w:t>202</w:t>
    </w:r>
    <w:r w:rsidR="00EF7EA5">
      <w:rPr>
        <w:color w:val="404040" w:themeColor="text1" w:themeTint="BF"/>
        <w:sz w:val="18"/>
        <w:szCs w:val="18"/>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BE93280"/>
    <w:multiLevelType w:val="hybridMultilevel"/>
    <w:tmpl w:val="1F3EDB34"/>
    <w:lvl w:ilvl="0" w:tplc="37A2B3C6">
      <w:start w:val="1"/>
      <w:numFmt w:val="bullet"/>
      <w:lvlText w:val=""/>
      <w:lvlJc w:val="left"/>
      <w:pPr>
        <w:tabs>
          <w:tab w:val="num" w:pos="720"/>
        </w:tabs>
        <w:ind w:left="720" w:hanging="360"/>
      </w:pPr>
      <w:rPr>
        <w:rFonts w:ascii="Symbol" w:hAnsi="Symbol" w:hint="default"/>
        <w:sz w:val="20"/>
      </w:rPr>
    </w:lvl>
    <w:lvl w:ilvl="1" w:tplc="586EE656" w:tentative="1">
      <w:start w:val="1"/>
      <w:numFmt w:val="bullet"/>
      <w:lvlText w:val=""/>
      <w:lvlJc w:val="left"/>
      <w:pPr>
        <w:tabs>
          <w:tab w:val="num" w:pos="1440"/>
        </w:tabs>
        <w:ind w:left="1440" w:hanging="360"/>
      </w:pPr>
      <w:rPr>
        <w:rFonts w:ascii="Symbol" w:hAnsi="Symbol" w:hint="default"/>
        <w:sz w:val="20"/>
      </w:rPr>
    </w:lvl>
    <w:lvl w:ilvl="2" w:tplc="F71A2DFC" w:tentative="1">
      <w:start w:val="1"/>
      <w:numFmt w:val="bullet"/>
      <w:lvlText w:val=""/>
      <w:lvlJc w:val="left"/>
      <w:pPr>
        <w:tabs>
          <w:tab w:val="num" w:pos="2160"/>
        </w:tabs>
        <w:ind w:left="2160" w:hanging="360"/>
      </w:pPr>
      <w:rPr>
        <w:rFonts w:ascii="Symbol" w:hAnsi="Symbol" w:hint="default"/>
        <w:sz w:val="20"/>
      </w:rPr>
    </w:lvl>
    <w:lvl w:ilvl="3" w:tplc="75F0D316" w:tentative="1">
      <w:start w:val="1"/>
      <w:numFmt w:val="bullet"/>
      <w:lvlText w:val=""/>
      <w:lvlJc w:val="left"/>
      <w:pPr>
        <w:tabs>
          <w:tab w:val="num" w:pos="2880"/>
        </w:tabs>
        <w:ind w:left="2880" w:hanging="360"/>
      </w:pPr>
      <w:rPr>
        <w:rFonts w:ascii="Symbol" w:hAnsi="Symbol" w:hint="default"/>
        <w:sz w:val="20"/>
      </w:rPr>
    </w:lvl>
    <w:lvl w:ilvl="4" w:tplc="731093B2" w:tentative="1">
      <w:start w:val="1"/>
      <w:numFmt w:val="bullet"/>
      <w:lvlText w:val=""/>
      <w:lvlJc w:val="left"/>
      <w:pPr>
        <w:tabs>
          <w:tab w:val="num" w:pos="3600"/>
        </w:tabs>
        <w:ind w:left="3600" w:hanging="360"/>
      </w:pPr>
      <w:rPr>
        <w:rFonts w:ascii="Symbol" w:hAnsi="Symbol" w:hint="default"/>
        <w:sz w:val="20"/>
      </w:rPr>
    </w:lvl>
    <w:lvl w:ilvl="5" w:tplc="99AE572A" w:tentative="1">
      <w:start w:val="1"/>
      <w:numFmt w:val="bullet"/>
      <w:lvlText w:val=""/>
      <w:lvlJc w:val="left"/>
      <w:pPr>
        <w:tabs>
          <w:tab w:val="num" w:pos="4320"/>
        </w:tabs>
        <w:ind w:left="4320" w:hanging="360"/>
      </w:pPr>
      <w:rPr>
        <w:rFonts w:ascii="Symbol" w:hAnsi="Symbol" w:hint="default"/>
        <w:sz w:val="20"/>
      </w:rPr>
    </w:lvl>
    <w:lvl w:ilvl="6" w:tplc="51268524" w:tentative="1">
      <w:start w:val="1"/>
      <w:numFmt w:val="bullet"/>
      <w:lvlText w:val=""/>
      <w:lvlJc w:val="left"/>
      <w:pPr>
        <w:tabs>
          <w:tab w:val="num" w:pos="5040"/>
        </w:tabs>
        <w:ind w:left="5040" w:hanging="360"/>
      </w:pPr>
      <w:rPr>
        <w:rFonts w:ascii="Symbol" w:hAnsi="Symbol" w:hint="default"/>
        <w:sz w:val="20"/>
      </w:rPr>
    </w:lvl>
    <w:lvl w:ilvl="7" w:tplc="23FCD232" w:tentative="1">
      <w:start w:val="1"/>
      <w:numFmt w:val="bullet"/>
      <w:lvlText w:val=""/>
      <w:lvlJc w:val="left"/>
      <w:pPr>
        <w:tabs>
          <w:tab w:val="num" w:pos="5760"/>
        </w:tabs>
        <w:ind w:left="5760" w:hanging="360"/>
      </w:pPr>
      <w:rPr>
        <w:rFonts w:ascii="Symbol" w:hAnsi="Symbol" w:hint="default"/>
        <w:sz w:val="20"/>
      </w:rPr>
    </w:lvl>
    <w:lvl w:ilvl="8" w:tplc="76FC058C"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3160644"/>
    <w:multiLevelType w:val="hybridMultilevel"/>
    <w:tmpl w:val="13A89648"/>
    <w:lvl w:ilvl="0" w:tplc="05B8A03E">
      <w:start w:val="1"/>
      <w:numFmt w:val="bullet"/>
      <w:lvlText w:val=""/>
      <w:lvlJc w:val="left"/>
      <w:pPr>
        <w:tabs>
          <w:tab w:val="num" w:pos="720"/>
        </w:tabs>
        <w:ind w:left="720" w:hanging="360"/>
      </w:pPr>
      <w:rPr>
        <w:rFonts w:ascii="Symbol" w:hAnsi="Symbol" w:hint="default"/>
        <w:sz w:val="20"/>
      </w:rPr>
    </w:lvl>
    <w:lvl w:ilvl="1" w:tplc="0C6E4A52" w:tentative="1">
      <w:start w:val="1"/>
      <w:numFmt w:val="bullet"/>
      <w:lvlText w:val=""/>
      <w:lvlJc w:val="left"/>
      <w:pPr>
        <w:tabs>
          <w:tab w:val="num" w:pos="1440"/>
        </w:tabs>
        <w:ind w:left="1440" w:hanging="360"/>
      </w:pPr>
      <w:rPr>
        <w:rFonts w:ascii="Symbol" w:hAnsi="Symbol" w:hint="default"/>
        <w:sz w:val="20"/>
      </w:rPr>
    </w:lvl>
    <w:lvl w:ilvl="2" w:tplc="989294A2" w:tentative="1">
      <w:start w:val="1"/>
      <w:numFmt w:val="bullet"/>
      <w:lvlText w:val=""/>
      <w:lvlJc w:val="left"/>
      <w:pPr>
        <w:tabs>
          <w:tab w:val="num" w:pos="2160"/>
        </w:tabs>
        <w:ind w:left="2160" w:hanging="360"/>
      </w:pPr>
      <w:rPr>
        <w:rFonts w:ascii="Symbol" w:hAnsi="Symbol" w:hint="default"/>
        <w:sz w:val="20"/>
      </w:rPr>
    </w:lvl>
    <w:lvl w:ilvl="3" w:tplc="9224ECC2" w:tentative="1">
      <w:start w:val="1"/>
      <w:numFmt w:val="bullet"/>
      <w:lvlText w:val=""/>
      <w:lvlJc w:val="left"/>
      <w:pPr>
        <w:tabs>
          <w:tab w:val="num" w:pos="2880"/>
        </w:tabs>
        <w:ind w:left="2880" w:hanging="360"/>
      </w:pPr>
      <w:rPr>
        <w:rFonts w:ascii="Symbol" w:hAnsi="Symbol" w:hint="default"/>
        <w:sz w:val="20"/>
      </w:rPr>
    </w:lvl>
    <w:lvl w:ilvl="4" w:tplc="7486C708" w:tentative="1">
      <w:start w:val="1"/>
      <w:numFmt w:val="bullet"/>
      <w:lvlText w:val=""/>
      <w:lvlJc w:val="left"/>
      <w:pPr>
        <w:tabs>
          <w:tab w:val="num" w:pos="3600"/>
        </w:tabs>
        <w:ind w:left="3600" w:hanging="360"/>
      </w:pPr>
      <w:rPr>
        <w:rFonts w:ascii="Symbol" w:hAnsi="Symbol" w:hint="default"/>
        <w:sz w:val="20"/>
      </w:rPr>
    </w:lvl>
    <w:lvl w:ilvl="5" w:tplc="2E1066F0" w:tentative="1">
      <w:start w:val="1"/>
      <w:numFmt w:val="bullet"/>
      <w:lvlText w:val=""/>
      <w:lvlJc w:val="left"/>
      <w:pPr>
        <w:tabs>
          <w:tab w:val="num" w:pos="4320"/>
        </w:tabs>
        <w:ind w:left="4320" w:hanging="360"/>
      </w:pPr>
      <w:rPr>
        <w:rFonts w:ascii="Symbol" w:hAnsi="Symbol" w:hint="default"/>
        <w:sz w:val="20"/>
      </w:rPr>
    </w:lvl>
    <w:lvl w:ilvl="6" w:tplc="77E61660" w:tentative="1">
      <w:start w:val="1"/>
      <w:numFmt w:val="bullet"/>
      <w:lvlText w:val=""/>
      <w:lvlJc w:val="left"/>
      <w:pPr>
        <w:tabs>
          <w:tab w:val="num" w:pos="5040"/>
        </w:tabs>
        <w:ind w:left="5040" w:hanging="360"/>
      </w:pPr>
      <w:rPr>
        <w:rFonts w:ascii="Symbol" w:hAnsi="Symbol" w:hint="default"/>
        <w:sz w:val="20"/>
      </w:rPr>
    </w:lvl>
    <w:lvl w:ilvl="7" w:tplc="DEE8FDFA" w:tentative="1">
      <w:start w:val="1"/>
      <w:numFmt w:val="bullet"/>
      <w:lvlText w:val=""/>
      <w:lvlJc w:val="left"/>
      <w:pPr>
        <w:tabs>
          <w:tab w:val="num" w:pos="5760"/>
        </w:tabs>
        <w:ind w:left="5760" w:hanging="360"/>
      </w:pPr>
      <w:rPr>
        <w:rFonts w:ascii="Symbol" w:hAnsi="Symbol" w:hint="default"/>
        <w:sz w:val="20"/>
      </w:rPr>
    </w:lvl>
    <w:lvl w:ilvl="8" w:tplc="1400BB8A"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45344F4"/>
    <w:multiLevelType w:val="hybridMultilevel"/>
    <w:tmpl w:val="2AF8BEBC"/>
    <w:lvl w:ilvl="0" w:tplc="7E004A6E">
      <w:start w:val="1"/>
      <w:numFmt w:val="bullet"/>
      <w:lvlText w:val=""/>
      <w:lvlJc w:val="left"/>
      <w:pPr>
        <w:tabs>
          <w:tab w:val="num" w:pos="720"/>
        </w:tabs>
        <w:ind w:left="720" w:hanging="360"/>
      </w:pPr>
      <w:rPr>
        <w:rFonts w:ascii="Symbol" w:hAnsi="Symbol" w:hint="default"/>
        <w:sz w:val="20"/>
      </w:rPr>
    </w:lvl>
    <w:lvl w:ilvl="1" w:tplc="AEFED6BC" w:tentative="1">
      <w:start w:val="1"/>
      <w:numFmt w:val="bullet"/>
      <w:lvlText w:val="o"/>
      <w:lvlJc w:val="left"/>
      <w:pPr>
        <w:tabs>
          <w:tab w:val="num" w:pos="1440"/>
        </w:tabs>
        <w:ind w:left="1440" w:hanging="360"/>
      </w:pPr>
      <w:rPr>
        <w:rFonts w:ascii="Courier New" w:hAnsi="Courier New" w:hint="default"/>
        <w:sz w:val="20"/>
      </w:rPr>
    </w:lvl>
    <w:lvl w:ilvl="2" w:tplc="A2C04E30" w:tentative="1">
      <w:start w:val="1"/>
      <w:numFmt w:val="bullet"/>
      <w:lvlText w:val=""/>
      <w:lvlJc w:val="left"/>
      <w:pPr>
        <w:tabs>
          <w:tab w:val="num" w:pos="2160"/>
        </w:tabs>
        <w:ind w:left="2160" w:hanging="360"/>
      </w:pPr>
      <w:rPr>
        <w:rFonts w:ascii="Wingdings" w:hAnsi="Wingdings" w:hint="default"/>
        <w:sz w:val="20"/>
      </w:rPr>
    </w:lvl>
    <w:lvl w:ilvl="3" w:tplc="0E02D5F2" w:tentative="1">
      <w:start w:val="1"/>
      <w:numFmt w:val="bullet"/>
      <w:lvlText w:val=""/>
      <w:lvlJc w:val="left"/>
      <w:pPr>
        <w:tabs>
          <w:tab w:val="num" w:pos="2880"/>
        </w:tabs>
        <w:ind w:left="2880" w:hanging="360"/>
      </w:pPr>
      <w:rPr>
        <w:rFonts w:ascii="Wingdings" w:hAnsi="Wingdings" w:hint="default"/>
        <w:sz w:val="20"/>
      </w:rPr>
    </w:lvl>
    <w:lvl w:ilvl="4" w:tplc="569E5124" w:tentative="1">
      <w:start w:val="1"/>
      <w:numFmt w:val="bullet"/>
      <w:lvlText w:val=""/>
      <w:lvlJc w:val="left"/>
      <w:pPr>
        <w:tabs>
          <w:tab w:val="num" w:pos="3600"/>
        </w:tabs>
        <w:ind w:left="3600" w:hanging="360"/>
      </w:pPr>
      <w:rPr>
        <w:rFonts w:ascii="Wingdings" w:hAnsi="Wingdings" w:hint="default"/>
        <w:sz w:val="20"/>
      </w:rPr>
    </w:lvl>
    <w:lvl w:ilvl="5" w:tplc="2A4293D4" w:tentative="1">
      <w:start w:val="1"/>
      <w:numFmt w:val="bullet"/>
      <w:lvlText w:val=""/>
      <w:lvlJc w:val="left"/>
      <w:pPr>
        <w:tabs>
          <w:tab w:val="num" w:pos="4320"/>
        </w:tabs>
        <w:ind w:left="4320" w:hanging="360"/>
      </w:pPr>
      <w:rPr>
        <w:rFonts w:ascii="Wingdings" w:hAnsi="Wingdings" w:hint="default"/>
        <w:sz w:val="20"/>
      </w:rPr>
    </w:lvl>
    <w:lvl w:ilvl="6" w:tplc="BD90EE64" w:tentative="1">
      <w:start w:val="1"/>
      <w:numFmt w:val="bullet"/>
      <w:lvlText w:val=""/>
      <w:lvlJc w:val="left"/>
      <w:pPr>
        <w:tabs>
          <w:tab w:val="num" w:pos="5040"/>
        </w:tabs>
        <w:ind w:left="5040" w:hanging="360"/>
      </w:pPr>
      <w:rPr>
        <w:rFonts w:ascii="Wingdings" w:hAnsi="Wingdings" w:hint="default"/>
        <w:sz w:val="20"/>
      </w:rPr>
    </w:lvl>
    <w:lvl w:ilvl="7" w:tplc="17602B94" w:tentative="1">
      <w:start w:val="1"/>
      <w:numFmt w:val="bullet"/>
      <w:lvlText w:val=""/>
      <w:lvlJc w:val="left"/>
      <w:pPr>
        <w:tabs>
          <w:tab w:val="num" w:pos="5760"/>
        </w:tabs>
        <w:ind w:left="5760" w:hanging="360"/>
      </w:pPr>
      <w:rPr>
        <w:rFonts w:ascii="Wingdings" w:hAnsi="Wingdings" w:hint="default"/>
        <w:sz w:val="20"/>
      </w:rPr>
    </w:lvl>
    <w:lvl w:ilvl="8" w:tplc="330E05C4"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trackRevisions/>
  <w:documentProtection w:edit="forms" w:enforcement="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56D"/>
    <w:rsid w:val="000070BA"/>
    <w:rsid w:val="00012D6D"/>
    <w:rsid w:val="000173F9"/>
    <w:rsid w:val="000412A0"/>
    <w:rsid w:val="00047DDA"/>
    <w:rsid w:val="00052E54"/>
    <w:rsid w:val="0005455A"/>
    <w:rsid w:val="00071F07"/>
    <w:rsid w:val="0007759D"/>
    <w:rsid w:val="000777AB"/>
    <w:rsid w:val="00077F46"/>
    <w:rsid w:val="00090FB1"/>
    <w:rsid w:val="00096186"/>
    <w:rsid w:val="000A72E4"/>
    <w:rsid w:val="000B0E2F"/>
    <w:rsid w:val="000B2430"/>
    <w:rsid w:val="000D0B30"/>
    <w:rsid w:val="000E21F1"/>
    <w:rsid w:val="000F703E"/>
    <w:rsid w:val="00120E86"/>
    <w:rsid w:val="00125DE9"/>
    <w:rsid w:val="001332E0"/>
    <w:rsid w:val="00134DE7"/>
    <w:rsid w:val="00140A47"/>
    <w:rsid w:val="00185354"/>
    <w:rsid w:val="001854DC"/>
    <w:rsid w:val="00186795"/>
    <w:rsid w:val="00190290"/>
    <w:rsid w:val="00194D09"/>
    <w:rsid w:val="001960CA"/>
    <w:rsid w:val="001A7D5C"/>
    <w:rsid w:val="001B60AA"/>
    <w:rsid w:val="001B63C8"/>
    <w:rsid w:val="001C1972"/>
    <w:rsid w:val="001C421F"/>
    <w:rsid w:val="001D360D"/>
    <w:rsid w:val="001D658D"/>
    <w:rsid w:val="00251985"/>
    <w:rsid w:val="00261A8D"/>
    <w:rsid w:val="002826CA"/>
    <w:rsid w:val="00283C1C"/>
    <w:rsid w:val="00291A00"/>
    <w:rsid w:val="00291A11"/>
    <w:rsid w:val="002A0729"/>
    <w:rsid w:val="002A315C"/>
    <w:rsid w:val="002A3342"/>
    <w:rsid w:val="002A64BA"/>
    <w:rsid w:val="002B4989"/>
    <w:rsid w:val="002C2510"/>
    <w:rsid w:val="002D714E"/>
    <w:rsid w:val="002E53C3"/>
    <w:rsid w:val="002F1468"/>
    <w:rsid w:val="002F5F0C"/>
    <w:rsid w:val="002F6FC9"/>
    <w:rsid w:val="00302058"/>
    <w:rsid w:val="003265EB"/>
    <w:rsid w:val="0034329E"/>
    <w:rsid w:val="00343FAA"/>
    <w:rsid w:val="00347F5E"/>
    <w:rsid w:val="00353C98"/>
    <w:rsid w:val="00371A20"/>
    <w:rsid w:val="003821B4"/>
    <w:rsid w:val="00382CF3"/>
    <w:rsid w:val="00387D52"/>
    <w:rsid w:val="003A7CEA"/>
    <w:rsid w:val="003F0BD3"/>
    <w:rsid w:val="003F278A"/>
    <w:rsid w:val="003F7A02"/>
    <w:rsid w:val="00422EA5"/>
    <w:rsid w:val="00422EFA"/>
    <w:rsid w:val="0042791F"/>
    <w:rsid w:val="004456ED"/>
    <w:rsid w:val="0044642B"/>
    <w:rsid w:val="00462956"/>
    <w:rsid w:val="004645FA"/>
    <w:rsid w:val="0048045A"/>
    <w:rsid w:val="004841B8"/>
    <w:rsid w:val="004930F2"/>
    <w:rsid w:val="004A798E"/>
    <w:rsid w:val="004B0F1C"/>
    <w:rsid w:val="004E1164"/>
    <w:rsid w:val="004F1F9D"/>
    <w:rsid w:val="004F2EE6"/>
    <w:rsid w:val="00502DBA"/>
    <w:rsid w:val="005040C4"/>
    <w:rsid w:val="00507637"/>
    <w:rsid w:val="00507852"/>
    <w:rsid w:val="00514DBF"/>
    <w:rsid w:val="00550921"/>
    <w:rsid w:val="00563712"/>
    <w:rsid w:val="00573631"/>
    <w:rsid w:val="00573C0B"/>
    <w:rsid w:val="005768D7"/>
    <w:rsid w:val="00576CFA"/>
    <w:rsid w:val="0058556D"/>
    <w:rsid w:val="00592AF2"/>
    <w:rsid w:val="005947AD"/>
    <w:rsid w:val="00597748"/>
    <w:rsid w:val="005979E8"/>
    <w:rsid w:val="005B5DF5"/>
    <w:rsid w:val="005D0AF4"/>
    <w:rsid w:val="005E54BD"/>
    <w:rsid w:val="005F6CCA"/>
    <w:rsid w:val="006104AF"/>
    <w:rsid w:val="00621893"/>
    <w:rsid w:val="006351E1"/>
    <w:rsid w:val="006447B1"/>
    <w:rsid w:val="00662775"/>
    <w:rsid w:val="006852FC"/>
    <w:rsid w:val="00695220"/>
    <w:rsid w:val="006B40AB"/>
    <w:rsid w:val="006B5DC5"/>
    <w:rsid w:val="006C4BFD"/>
    <w:rsid w:val="006C7D30"/>
    <w:rsid w:val="006E3C08"/>
    <w:rsid w:val="00700ACF"/>
    <w:rsid w:val="00712487"/>
    <w:rsid w:val="00720428"/>
    <w:rsid w:val="0072214E"/>
    <w:rsid w:val="007530CA"/>
    <w:rsid w:val="00756D68"/>
    <w:rsid w:val="007578D9"/>
    <w:rsid w:val="00757E8A"/>
    <w:rsid w:val="00763E43"/>
    <w:rsid w:val="00764EB5"/>
    <w:rsid w:val="00777A95"/>
    <w:rsid w:val="00782416"/>
    <w:rsid w:val="007825D4"/>
    <w:rsid w:val="007B0364"/>
    <w:rsid w:val="007D0981"/>
    <w:rsid w:val="007D1929"/>
    <w:rsid w:val="00803CF1"/>
    <w:rsid w:val="008104BB"/>
    <w:rsid w:val="008249C5"/>
    <w:rsid w:val="008526F9"/>
    <w:rsid w:val="0085285E"/>
    <w:rsid w:val="00853023"/>
    <w:rsid w:val="008534D4"/>
    <w:rsid w:val="00864D10"/>
    <w:rsid w:val="008736A3"/>
    <w:rsid w:val="00881E28"/>
    <w:rsid w:val="00894C4B"/>
    <w:rsid w:val="008A12E3"/>
    <w:rsid w:val="008A42FA"/>
    <w:rsid w:val="008B0AC7"/>
    <w:rsid w:val="008C2335"/>
    <w:rsid w:val="008C67C1"/>
    <w:rsid w:val="008D0EAF"/>
    <w:rsid w:val="008D1D39"/>
    <w:rsid w:val="008F07D2"/>
    <w:rsid w:val="00917851"/>
    <w:rsid w:val="00917F65"/>
    <w:rsid w:val="00922FF6"/>
    <w:rsid w:val="009311E7"/>
    <w:rsid w:val="00942694"/>
    <w:rsid w:val="00952341"/>
    <w:rsid w:val="00956D34"/>
    <w:rsid w:val="009A7E3A"/>
    <w:rsid w:val="009B1265"/>
    <w:rsid w:val="009B4A15"/>
    <w:rsid w:val="009B5693"/>
    <w:rsid w:val="009C61A2"/>
    <w:rsid w:val="009C78E4"/>
    <w:rsid w:val="009D687E"/>
    <w:rsid w:val="009F6DE7"/>
    <w:rsid w:val="00A10583"/>
    <w:rsid w:val="00A37FCB"/>
    <w:rsid w:val="00A54863"/>
    <w:rsid w:val="00A61D74"/>
    <w:rsid w:val="00A8688B"/>
    <w:rsid w:val="00A91163"/>
    <w:rsid w:val="00A9286F"/>
    <w:rsid w:val="00A95D46"/>
    <w:rsid w:val="00A96255"/>
    <w:rsid w:val="00A96C20"/>
    <w:rsid w:val="00AB285B"/>
    <w:rsid w:val="00AF5552"/>
    <w:rsid w:val="00AF5CB4"/>
    <w:rsid w:val="00AF5ED1"/>
    <w:rsid w:val="00AF71D6"/>
    <w:rsid w:val="00B216EE"/>
    <w:rsid w:val="00B3175F"/>
    <w:rsid w:val="00B31E2C"/>
    <w:rsid w:val="00B329B0"/>
    <w:rsid w:val="00B402D8"/>
    <w:rsid w:val="00B4237C"/>
    <w:rsid w:val="00B42FE8"/>
    <w:rsid w:val="00B52AFD"/>
    <w:rsid w:val="00B54077"/>
    <w:rsid w:val="00B8087E"/>
    <w:rsid w:val="00BB646E"/>
    <w:rsid w:val="00BD1BA1"/>
    <w:rsid w:val="00C019E5"/>
    <w:rsid w:val="00C123CC"/>
    <w:rsid w:val="00C35BC4"/>
    <w:rsid w:val="00C43F5B"/>
    <w:rsid w:val="00CB4371"/>
    <w:rsid w:val="00CC516D"/>
    <w:rsid w:val="00CD31C9"/>
    <w:rsid w:val="00CD443D"/>
    <w:rsid w:val="00D24330"/>
    <w:rsid w:val="00D40056"/>
    <w:rsid w:val="00D51E7C"/>
    <w:rsid w:val="00D54F29"/>
    <w:rsid w:val="00D7020C"/>
    <w:rsid w:val="00D70AD9"/>
    <w:rsid w:val="00D72152"/>
    <w:rsid w:val="00D94BA5"/>
    <w:rsid w:val="00D9510F"/>
    <w:rsid w:val="00DA615C"/>
    <w:rsid w:val="00DD1BC6"/>
    <w:rsid w:val="00DD54FA"/>
    <w:rsid w:val="00DE5DC3"/>
    <w:rsid w:val="00DF7DD1"/>
    <w:rsid w:val="00E00D8A"/>
    <w:rsid w:val="00E06267"/>
    <w:rsid w:val="00E1050F"/>
    <w:rsid w:val="00E11604"/>
    <w:rsid w:val="00E11D92"/>
    <w:rsid w:val="00E130A0"/>
    <w:rsid w:val="00E210C4"/>
    <w:rsid w:val="00E23DB7"/>
    <w:rsid w:val="00E46D96"/>
    <w:rsid w:val="00E52CCA"/>
    <w:rsid w:val="00E66409"/>
    <w:rsid w:val="00E81D5B"/>
    <w:rsid w:val="00E976B9"/>
    <w:rsid w:val="00EA05D3"/>
    <w:rsid w:val="00EB19AD"/>
    <w:rsid w:val="00EB2F31"/>
    <w:rsid w:val="00EB6493"/>
    <w:rsid w:val="00EC2915"/>
    <w:rsid w:val="00ED05A9"/>
    <w:rsid w:val="00ED1BA0"/>
    <w:rsid w:val="00EE2B86"/>
    <w:rsid w:val="00EF7EA5"/>
    <w:rsid w:val="00F15D18"/>
    <w:rsid w:val="00F17257"/>
    <w:rsid w:val="00F34D24"/>
    <w:rsid w:val="00F4130B"/>
    <w:rsid w:val="00F556A2"/>
    <w:rsid w:val="00F719A8"/>
    <w:rsid w:val="00F878B9"/>
    <w:rsid w:val="00FB24E8"/>
    <w:rsid w:val="00FB3B2B"/>
    <w:rsid w:val="00FC18DA"/>
    <w:rsid w:val="00FC3917"/>
    <w:rsid w:val="00FD60DA"/>
    <w:rsid w:val="00FE6D4D"/>
    <w:rsid w:val="00FF07B4"/>
    <w:rsid w:val="01B48BD6"/>
    <w:rsid w:val="03657895"/>
    <w:rsid w:val="0425659A"/>
    <w:rsid w:val="05D51ED8"/>
    <w:rsid w:val="096BD46D"/>
    <w:rsid w:val="0A2FAAA5"/>
    <w:rsid w:val="0B2BDC95"/>
    <w:rsid w:val="0C7804E1"/>
    <w:rsid w:val="0F91175D"/>
    <w:rsid w:val="0FB316BC"/>
    <w:rsid w:val="1070A692"/>
    <w:rsid w:val="10E89DDD"/>
    <w:rsid w:val="1158856B"/>
    <w:rsid w:val="11E408BA"/>
    <w:rsid w:val="1345CC30"/>
    <w:rsid w:val="1537F925"/>
    <w:rsid w:val="1AAA7980"/>
    <w:rsid w:val="1B758F95"/>
    <w:rsid w:val="1D7AFDF6"/>
    <w:rsid w:val="1D8D407F"/>
    <w:rsid w:val="1DFFB2C2"/>
    <w:rsid w:val="1E56336C"/>
    <w:rsid w:val="1E6C5C9D"/>
    <w:rsid w:val="214426BB"/>
    <w:rsid w:val="22989E71"/>
    <w:rsid w:val="2424957D"/>
    <w:rsid w:val="268E805A"/>
    <w:rsid w:val="269F7CFF"/>
    <w:rsid w:val="2812FFF2"/>
    <w:rsid w:val="283EDA17"/>
    <w:rsid w:val="2974CA20"/>
    <w:rsid w:val="2A9E80B0"/>
    <w:rsid w:val="2B56C6B7"/>
    <w:rsid w:val="2C225381"/>
    <w:rsid w:val="2C4AAA2E"/>
    <w:rsid w:val="2F6EBA71"/>
    <w:rsid w:val="30D32BDB"/>
    <w:rsid w:val="32A3C6AB"/>
    <w:rsid w:val="3352B362"/>
    <w:rsid w:val="379E56E5"/>
    <w:rsid w:val="38065B22"/>
    <w:rsid w:val="395BDD62"/>
    <w:rsid w:val="3A6FFEF0"/>
    <w:rsid w:val="3AF6AB85"/>
    <w:rsid w:val="3B37EF83"/>
    <w:rsid w:val="3CB32B2C"/>
    <w:rsid w:val="3D70769A"/>
    <w:rsid w:val="3ECAD149"/>
    <w:rsid w:val="3F7695EC"/>
    <w:rsid w:val="413D9421"/>
    <w:rsid w:val="41723A4A"/>
    <w:rsid w:val="4200DE74"/>
    <w:rsid w:val="426A47C8"/>
    <w:rsid w:val="42C94214"/>
    <w:rsid w:val="43F6829B"/>
    <w:rsid w:val="4492BAA0"/>
    <w:rsid w:val="4493492D"/>
    <w:rsid w:val="4514B35A"/>
    <w:rsid w:val="46975B5E"/>
    <w:rsid w:val="472DB79C"/>
    <w:rsid w:val="4790C383"/>
    <w:rsid w:val="47B80EFE"/>
    <w:rsid w:val="47E923AE"/>
    <w:rsid w:val="4B0649A9"/>
    <w:rsid w:val="4B1E387E"/>
    <w:rsid w:val="4B6ACC81"/>
    <w:rsid w:val="4C214188"/>
    <w:rsid w:val="4CDE8CF6"/>
    <w:rsid w:val="4E23C830"/>
    <w:rsid w:val="4E65ED4C"/>
    <w:rsid w:val="4E6827FC"/>
    <w:rsid w:val="4E985E12"/>
    <w:rsid w:val="4EA7FA52"/>
    <w:rsid w:val="4EFE197F"/>
    <w:rsid w:val="4EFFB7AE"/>
    <w:rsid w:val="4F526837"/>
    <w:rsid w:val="4F69A453"/>
    <w:rsid w:val="51CFFED4"/>
    <w:rsid w:val="52329DAB"/>
    <w:rsid w:val="524CF3DA"/>
    <w:rsid w:val="538C0F07"/>
    <w:rsid w:val="5425D95A"/>
    <w:rsid w:val="5463D61F"/>
    <w:rsid w:val="55E7200B"/>
    <w:rsid w:val="579E26A0"/>
    <w:rsid w:val="590AA276"/>
    <w:rsid w:val="5A9D7AA4"/>
    <w:rsid w:val="5B0DAD4C"/>
    <w:rsid w:val="5D60E2BA"/>
    <w:rsid w:val="5F455473"/>
    <w:rsid w:val="6031D76A"/>
    <w:rsid w:val="61EBFB27"/>
    <w:rsid w:val="65FBB7C6"/>
    <w:rsid w:val="67FA97CD"/>
    <w:rsid w:val="688FCEF7"/>
    <w:rsid w:val="6E4EDAEE"/>
    <w:rsid w:val="6FFAAA24"/>
    <w:rsid w:val="72460C83"/>
    <w:rsid w:val="73B2F005"/>
    <w:rsid w:val="73EE358E"/>
    <w:rsid w:val="76126496"/>
    <w:rsid w:val="770244B3"/>
    <w:rsid w:val="77943EEC"/>
    <w:rsid w:val="77C355CB"/>
    <w:rsid w:val="77DD5952"/>
    <w:rsid w:val="780C9E89"/>
    <w:rsid w:val="785AFA9F"/>
    <w:rsid w:val="78B5B6FD"/>
    <w:rsid w:val="79297514"/>
    <w:rsid w:val="79A8F4F1"/>
    <w:rsid w:val="7A396900"/>
    <w:rsid w:val="7A9D4E79"/>
    <w:rsid w:val="7AA6E19E"/>
    <w:rsid w:val="7BDE80E7"/>
    <w:rsid w:val="7C6F37F3"/>
    <w:rsid w:val="7C8FBFFB"/>
    <w:rsid w:val="7CC48A6A"/>
    <w:rsid w:val="7D9C67A7"/>
    <w:rsid w:val="7DCA9A31"/>
    <w:rsid w:val="7F1D925B"/>
    <w:rsid w:val="7F1FC2EA"/>
    <w:rsid w:val="7F77B88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normaltextrun">
    <w:name w:val="normaltextrun"/>
    <w:basedOn w:val="DefaultParagraphFont"/>
    <w:rsid w:val="0072214E"/>
  </w:style>
  <w:style w:type="character" w:customStyle="1" w:styleId="eop">
    <w:name w:val="eop"/>
    <w:basedOn w:val="DefaultParagraphFont"/>
    <w:rsid w:val="0072214E"/>
  </w:style>
  <w:style w:type="paragraph" w:customStyle="1" w:styleId="paragraph">
    <w:name w:val="paragraph"/>
    <w:basedOn w:val="Normal"/>
    <w:rsid w:val="0072214E"/>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Mention">
    <w:name w:val="Mention"/>
    <w:basedOn w:val="DefaultParagraphFont"/>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335273">
      <w:bodyDiv w:val="1"/>
      <w:marLeft w:val="0"/>
      <w:marRight w:val="0"/>
      <w:marTop w:val="0"/>
      <w:marBottom w:val="0"/>
      <w:divBdr>
        <w:top w:val="none" w:sz="0" w:space="0" w:color="auto"/>
        <w:left w:val="none" w:sz="0" w:space="0" w:color="auto"/>
        <w:bottom w:val="none" w:sz="0" w:space="0" w:color="auto"/>
        <w:right w:val="none" w:sz="0" w:space="0" w:color="auto"/>
      </w:divBdr>
      <w:divsChild>
        <w:div w:id="1256750544">
          <w:marLeft w:val="0"/>
          <w:marRight w:val="0"/>
          <w:marTop w:val="0"/>
          <w:marBottom w:val="0"/>
          <w:divBdr>
            <w:top w:val="none" w:sz="0" w:space="0" w:color="auto"/>
            <w:left w:val="none" w:sz="0" w:space="0" w:color="auto"/>
            <w:bottom w:val="none" w:sz="0" w:space="0" w:color="auto"/>
            <w:right w:val="none" w:sz="0" w:space="0" w:color="auto"/>
          </w:divBdr>
        </w:div>
        <w:div w:id="1382317239">
          <w:marLeft w:val="0"/>
          <w:marRight w:val="0"/>
          <w:marTop w:val="0"/>
          <w:marBottom w:val="0"/>
          <w:divBdr>
            <w:top w:val="none" w:sz="0" w:space="0" w:color="auto"/>
            <w:left w:val="none" w:sz="0" w:space="0" w:color="auto"/>
            <w:bottom w:val="none" w:sz="0" w:space="0" w:color="auto"/>
            <w:right w:val="none" w:sz="0" w:space="0" w:color="auto"/>
          </w:divBdr>
        </w:div>
        <w:div w:id="792094300">
          <w:marLeft w:val="0"/>
          <w:marRight w:val="0"/>
          <w:marTop w:val="0"/>
          <w:marBottom w:val="0"/>
          <w:divBdr>
            <w:top w:val="none" w:sz="0" w:space="0" w:color="auto"/>
            <w:left w:val="none" w:sz="0" w:space="0" w:color="auto"/>
            <w:bottom w:val="none" w:sz="0" w:space="0" w:color="auto"/>
            <w:right w:val="none" w:sz="0" w:space="0" w:color="auto"/>
          </w:divBdr>
        </w:div>
        <w:div w:id="7800933">
          <w:marLeft w:val="0"/>
          <w:marRight w:val="0"/>
          <w:marTop w:val="0"/>
          <w:marBottom w:val="0"/>
          <w:divBdr>
            <w:top w:val="none" w:sz="0" w:space="0" w:color="auto"/>
            <w:left w:val="none" w:sz="0" w:space="0" w:color="auto"/>
            <w:bottom w:val="none" w:sz="0" w:space="0" w:color="auto"/>
            <w:right w:val="none" w:sz="0" w:space="0" w:color="auto"/>
          </w:divBdr>
        </w:div>
      </w:divsChild>
    </w:div>
    <w:div w:id="349071332">
      <w:bodyDiv w:val="1"/>
      <w:marLeft w:val="0"/>
      <w:marRight w:val="0"/>
      <w:marTop w:val="0"/>
      <w:marBottom w:val="0"/>
      <w:divBdr>
        <w:top w:val="none" w:sz="0" w:space="0" w:color="auto"/>
        <w:left w:val="none" w:sz="0" w:space="0" w:color="auto"/>
        <w:bottom w:val="none" w:sz="0" w:space="0" w:color="auto"/>
        <w:right w:val="none" w:sz="0" w:space="0" w:color="auto"/>
      </w:divBdr>
      <w:divsChild>
        <w:div w:id="1330719348">
          <w:marLeft w:val="0"/>
          <w:marRight w:val="0"/>
          <w:marTop w:val="0"/>
          <w:marBottom w:val="0"/>
          <w:divBdr>
            <w:top w:val="none" w:sz="0" w:space="0" w:color="auto"/>
            <w:left w:val="none" w:sz="0" w:space="0" w:color="auto"/>
            <w:bottom w:val="none" w:sz="0" w:space="0" w:color="auto"/>
            <w:right w:val="none" w:sz="0" w:space="0" w:color="auto"/>
          </w:divBdr>
        </w:div>
        <w:div w:id="1273050123">
          <w:marLeft w:val="0"/>
          <w:marRight w:val="0"/>
          <w:marTop w:val="0"/>
          <w:marBottom w:val="0"/>
          <w:divBdr>
            <w:top w:val="none" w:sz="0" w:space="0" w:color="auto"/>
            <w:left w:val="none" w:sz="0" w:space="0" w:color="auto"/>
            <w:bottom w:val="none" w:sz="0" w:space="0" w:color="auto"/>
            <w:right w:val="none" w:sz="0" w:space="0" w:color="auto"/>
          </w:divBdr>
        </w:div>
        <w:div w:id="807475529">
          <w:marLeft w:val="0"/>
          <w:marRight w:val="0"/>
          <w:marTop w:val="0"/>
          <w:marBottom w:val="0"/>
          <w:divBdr>
            <w:top w:val="none" w:sz="0" w:space="0" w:color="auto"/>
            <w:left w:val="none" w:sz="0" w:space="0" w:color="auto"/>
            <w:bottom w:val="none" w:sz="0" w:space="0" w:color="auto"/>
            <w:right w:val="none" w:sz="0" w:space="0" w:color="auto"/>
          </w:divBdr>
        </w:div>
      </w:divsChild>
    </w:div>
    <w:div w:id="422335517">
      <w:bodyDiv w:val="1"/>
      <w:marLeft w:val="0"/>
      <w:marRight w:val="0"/>
      <w:marTop w:val="0"/>
      <w:marBottom w:val="0"/>
      <w:divBdr>
        <w:top w:val="none" w:sz="0" w:space="0" w:color="auto"/>
        <w:left w:val="none" w:sz="0" w:space="0" w:color="auto"/>
        <w:bottom w:val="none" w:sz="0" w:space="0" w:color="auto"/>
        <w:right w:val="none" w:sz="0" w:space="0" w:color="auto"/>
      </w:divBdr>
      <w:divsChild>
        <w:div w:id="1594700310">
          <w:marLeft w:val="0"/>
          <w:marRight w:val="0"/>
          <w:marTop w:val="0"/>
          <w:marBottom w:val="0"/>
          <w:divBdr>
            <w:top w:val="none" w:sz="0" w:space="0" w:color="auto"/>
            <w:left w:val="none" w:sz="0" w:space="0" w:color="auto"/>
            <w:bottom w:val="none" w:sz="0" w:space="0" w:color="auto"/>
            <w:right w:val="none" w:sz="0" w:space="0" w:color="auto"/>
          </w:divBdr>
        </w:div>
        <w:div w:id="82262836">
          <w:marLeft w:val="0"/>
          <w:marRight w:val="0"/>
          <w:marTop w:val="0"/>
          <w:marBottom w:val="0"/>
          <w:divBdr>
            <w:top w:val="none" w:sz="0" w:space="0" w:color="auto"/>
            <w:left w:val="none" w:sz="0" w:space="0" w:color="auto"/>
            <w:bottom w:val="none" w:sz="0" w:space="0" w:color="auto"/>
            <w:right w:val="none" w:sz="0" w:space="0" w:color="auto"/>
          </w:divBdr>
        </w:div>
        <w:div w:id="1097409226">
          <w:marLeft w:val="0"/>
          <w:marRight w:val="0"/>
          <w:marTop w:val="0"/>
          <w:marBottom w:val="0"/>
          <w:divBdr>
            <w:top w:val="none" w:sz="0" w:space="0" w:color="auto"/>
            <w:left w:val="none" w:sz="0" w:space="0" w:color="auto"/>
            <w:bottom w:val="none" w:sz="0" w:space="0" w:color="auto"/>
            <w:right w:val="none" w:sz="0" w:space="0" w:color="auto"/>
          </w:divBdr>
        </w:div>
        <w:div w:id="573708998">
          <w:marLeft w:val="0"/>
          <w:marRight w:val="0"/>
          <w:marTop w:val="0"/>
          <w:marBottom w:val="0"/>
          <w:divBdr>
            <w:top w:val="none" w:sz="0" w:space="0" w:color="auto"/>
            <w:left w:val="none" w:sz="0" w:space="0" w:color="auto"/>
            <w:bottom w:val="none" w:sz="0" w:space="0" w:color="auto"/>
            <w:right w:val="none" w:sz="0" w:space="0" w:color="auto"/>
          </w:divBdr>
        </w:div>
        <w:div w:id="479152046">
          <w:marLeft w:val="0"/>
          <w:marRight w:val="0"/>
          <w:marTop w:val="0"/>
          <w:marBottom w:val="0"/>
          <w:divBdr>
            <w:top w:val="none" w:sz="0" w:space="0" w:color="auto"/>
            <w:left w:val="none" w:sz="0" w:space="0" w:color="auto"/>
            <w:bottom w:val="none" w:sz="0" w:space="0" w:color="auto"/>
            <w:right w:val="none" w:sz="0" w:space="0" w:color="auto"/>
          </w:divBdr>
        </w:div>
        <w:div w:id="201867108">
          <w:marLeft w:val="0"/>
          <w:marRight w:val="0"/>
          <w:marTop w:val="0"/>
          <w:marBottom w:val="0"/>
          <w:divBdr>
            <w:top w:val="none" w:sz="0" w:space="0" w:color="auto"/>
            <w:left w:val="none" w:sz="0" w:space="0" w:color="auto"/>
            <w:bottom w:val="none" w:sz="0" w:space="0" w:color="auto"/>
            <w:right w:val="none" w:sz="0" w:space="0" w:color="auto"/>
          </w:divBdr>
        </w:div>
        <w:div w:id="141239956">
          <w:marLeft w:val="0"/>
          <w:marRight w:val="0"/>
          <w:marTop w:val="0"/>
          <w:marBottom w:val="0"/>
          <w:divBdr>
            <w:top w:val="none" w:sz="0" w:space="0" w:color="auto"/>
            <w:left w:val="none" w:sz="0" w:space="0" w:color="auto"/>
            <w:bottom w:val="none" w:sz="0" w:space="0" w:color="auto"/>
            <w:right w:val="none" w:sz="0" w:space="0" w:color="auto"/>
          </w:divBdr>
        </w:div>
      </w:divsChild>
    </w:div>
    <w:div w:id="695546243">
      <w:bodyDiv w:val="1"/>
      <w:marLeft w:val="0"/>
      <w:marRight w:val="0"/>
      <w:marTop w:val="0"/>
      <w:marBottom w:val="0"/>
      <w:divBdr>
        <w:top w:val="none" w:sz="0" w:space="0" w:color="auto"/>
        <w:left w:val="none" w:sz="0" w:space="0" w:color="auto"/>
        <w:bottom w:val="none" w:sz="0" w:space="0" w:color="auto"/>
        <w:right w:val="none" w:sz="0" w:space="0" w:color="auto"/>
      </w:divBdr>
      <w:divsChild>
        <w:div w:id="832834859">
          <w:marLeft w:val="0"/>
          <w:marRight w:val="0"/>
          <w:marTop w:val="0"/>
          <w:marBottom w:val="0"/>
          <w:divBdr>
            <w:top w:val="none" w:sz="0" w:space="0" w:color="auto"/>
            <w:left w:val="none" w:sz="0" w:space="0" w:color="auto"/>
            <w:bottom w:val="none" w:sz="0" w:space="0" w:color="auto"/>
            <w:right w:val="none" w:sz="0" w:space="0" w:color="auto"/>
          </w:divBdr>
        </w:div>
        <w:div w:id="1233084580">
          <w:marLeft w:val="0"/>
          <w:marRight w:val="0"/>
          <w:marTop w:val="0"/>
          <w:marBottom w:val="0"/>
          <w:divBdr>
            <w:top w:val="none" w:sz="0" w:space="0" w:color="auto"/>
            <w:left w:val="none" w:sz="0" w:space="0" w:color="auto"/>
            <w:bottom w:val="none" w:sz="0" w:space="0" w:color="auto"/>
            <w:right w:val="none" w:sz="0" w:space="0" w:color="auto"/>
          </w:divBdr>
        </w:div>
        <w:div w:id="694963932">
          <w:marLeft w:val="0"/>
          <w:marRight w:val="0"/>
          <w:marTop w:val="0"/>
          <w:marBottom w:val="0"/>
          <w:divBdr>
            <w:top w:val="none" w:sz="0" w:space="0" w:color="auto"/>
            <w:left w:val="none" w:sz="0" w:space="0" w:color="auto"/>
            <w:bottom w:val="none" w:sz="0" w:space="0" w:color="auto"/>
            <w:right w:val="none" w:sz="0" w:space="0" w:color="auto"/>
          </w:divBdr>
        </w:div>
        <w:div w:id="1577977250">
          <w:marLeft w:val="0"/>
          <w:marRight w:val="0"/>
          <w:marTop w:val="0"/>
          <w:marBottom w:val="0"/>
          <w:divBdr>
            <w:top w:val="none" w:sz="0" w:space="0" w:color="auto"/>
            <w:left w:val="none" w:sz="0" w:space="0" w:color="auto"/>
            <w:bottom w:val="none" w:sz="0" w:space="0" w:color="auto"/>
            <w:right w:val="none" w:sz="0" w:space="0" w:color="auto"/>
          </w:divBdr>
        </w:div>
        <w:div w:id="653073137">
          <w:marLeft w:val="0"/>
          <w:marRight w:val="0"/>
          <w:marTop w:val="0"/>
          <w:marBottom w:val="0"/>
          <w:divBdr>
            <w:top w:val="none" w:sz="0" w:space="0" w:color="auto"/>
            <w:left w:val="none" w:sz="0" w:space="0" w:color="auto"/>
            <w:bottom w:val="none" w:sz="0" w:space="0" w:color="auto"/>
            <w:right w:val="none" w:sz="0" w:space="0" w:color="auto"/>
          </w:divBdr>
        </w:div>
        <w:div w:id="765728339">
          <w:marLeft w:val="0"/>
          <w:marRight w:val="0"/>
          <w:marTop w:val="0"/>
          <w:marBottom w:val="0"/>
          <w:divBdr>
            <w:top w:val="none" w:sz="0" w:space="0" w:color="auto"/>
            <w:left w:val="none" w:sz="0" w:space="0" w:color="auto"/>
            <w:bottom w:val="none" w:sz="0" w:space="0" w:color="auto"/>
            <w:right w:val="none" w:sz="0" w:space="0" w:color="auto"/>
          </w:divBdr>
        </w:div>
        <w:div w:id="1981575015">
          <w:marLeft w:val="0"/>
          <w:marRight w:val="0"/>
          <w:marTop w:val="0"/>
          <w:marBottom w:val="0"/>
          <w:divBdr>
            <w:top w:val="none" w:sz="0" w:space="0" w:color="auto"/>
            <w:left w:val="none" w:sz="0" w:space="0" w:color="auto"/>
            <w:bottom w:val="none" w:sz="0" w:space="0" w:color="auto"/>
            <w:right w:val="none" w:sz="0" w:space="0" w:color="auto"/>
          </w:divBdr>
        </w:div>
        <w:div w:id="1783963014">
          <w:marLeft w:val="0"/>
          <w:marRight w:val="0"/>
          <w:marTop w:val="0"/>
          <w:marBottom w:val="0"/>
          <w:divBdr>
            <w:top w:val="none" w:sz="0" w:space="0" w:color="auto"/>
            <w:left w:val="none" w:sz="0" w:space="0" w:color="auto"/>
            <w:bottom w:val="none" w:sz="0" w:space="0" w:color="auto"/>
            <w:right w:val="none" w:sz="0" w:space="0" w:color="auto"/>
          </w:divBdr>
        </w:div>
        <w:div w:id="706877388">
          <w:marLeft w:val="0"/>
          <w:marRight w:val="0"/>
          <w:marTop w:val="0"/>
          <w:marBottom w:val="0"/>
          <w:divBdr>
            <w:top w:val="none" w:sz="0" w:space="0" w:color="auto"/>
            <w:left w:val="none" w:sz="0" w:space="0" w:color="auto"/>
            <w:bottom w:val="none" w:sz="0" w:space="0" w:color="auto"/>
            <w:right w:val="none" w:sz="0" w:space="0" w:color="auto"/>
          </w:divBdr>
        </w:div>
        <w:div w:id="127206343">
          <w:marLeft w:val="0"/>
          <w:marRight w:val="0"/>
          <w:marTop w:val="0"/>
          <w:marBottom w:val="0"/>
          <w:divBdr>
            <w:top w:val="none" w:sz="0" w:space="0" w:color="auto"/>
            <w:left w:val="none" w:sz="0" w:space="0" w:color="auto"/>
            <w:bottom w:val="none" w:sz="0" w:space="0" w:color="auto"/>
            <w:right w:val="none" w:sz="0" w:space="0" w:color="auto"/>
          </w:divBdr>
        </w:div>
        <w:div w:id="1739858236">
          <w:marLeft w:val="0"/>
          <w:marRight w:val="0"/>
          <w:marTop w:val="0"/>
          <w:marBottom w:val="0"/>
          <w:divBdr>
            <w:top w:val="none" w:sz="0" w:space="0" w:color="auto"/>
            <w:left w:val="none" w:sz="0" w:space="0" w:color="auto"/>
            <w:bottom w:val="none" w:sz="0" w:space="0" w:color="auto"/>
            <w:right w:val="none" w:sz="0" w:space="0" w:color="auto"/>
          </w:divBdr>
        </w:div>
        <w:div w:id="22365749">
          <w:marLeft w:val="0"/>
          <w:marRight w:val="0"/>
          <w:marTop w:val="0"/>
          <w:marBottom w:val="0"/>
          <w:divBdr>
            <w:top w:val="none" w:sz="0" w:space="0" w:color="auto"/>
            <w:left w:val="none" w:sz="0" w:space="0" w:color="auto"/>
            <w:bottom w:val="none" w:sz="0" w:space="0" w:color="auto"/>
            <w:right w:val="none" w:sz="0" w:space="0" w:color="auto"/>
          </w:divBdr>
        </w:div>
        <w:div w:id="1979794680">
          <w:marLeft w:val="0"/>
          <w:marRight w:val="0"/>
          <w:marTop w:val="0"/>
          <w:marBottom w:val="0"/>
          <w:divBdr>
            <w:top w:val="none" w:sz="0" w:space="0" w:color="auto"/>
            <w:left w:val="none" w:sz="0" w:space="0" w:color="auto"/>
            <w:bottom w:val="none" w:sz="0" w:space="0" w:color="auto"/>
            <w:right w:val="none" w:sz="0" w:space="0" w:color="auto"/>
          </w:divBdr>
        </w:div>
        <w:div w:id="2137869481">
          <w:marLeft w:val="0"/>
          <w:marRight w:val="0"/>
          <w:marTop w:val="0"/>
          <w:marBottom w:val="0"/>
          <w:divBdr>
            <w:top w:val="none" w:sz="0" w:space="0" w:color="auto"/>
            <w:left w:val="none" w:sz="0" w:space="0" w:color="auto"/>
            <w:bottom w:val="none" w:sz="0" w:space="0" w:color="auto"/>
            <w:right w:val="none" w:sz="0" w:space="0" w:color="auto"/>
          </w:divBdr>
        </w:div>
        <w:div w:id="2095710896">
          <w:marLeft w:val="0"/>
          <w:marRight w:val="0"/>
          <w:marTop w:val="0"/>
          <w:marBottom w:val="0"/>
          <w:divBdr>
            <w:top w:val="none" w:sz="0" w:space="0" w:color="auto"/>
            <w:left w:val="none" w:sz="0" w:space="0" w:color="auto"/>
            <w:bottom w:val="none" w:sz="0" w:space="0" w:color="auto"/>
            <w:right w:val="none" w:sz="0" w:space="0" w:color="auto"/>
          </w:divBdr>
        </w:div>
        <w:div w:id="633491391">
          <w:marLeft w:val="0"/>
          <w:marRight w:val="0"/>
          <w:marTop w:val="0"/>
          <w:marBottom w:val="0"/>
          <w:divBdr>
            <w:top w:val="none" w:sz="0" w:space="0" w:color="auto"/>
            <w:left w:val="none" w:sz="0" w:space="0" w:color="auto"/>
            <w:bottom w:val="none" w:sz="0" w:space="0" w:color="auto"/>
            <w:right w:val="none" w:sz="0" w:space="0" w:color="auto"/>
          </w:divBdr>
        </w:div>
        <w:div w:id="1870876824">
          <w:marLeft w:val="0"/>
          <w:marRight w:val="0"/>
          <w:marTop w:val="0"/>
          <w:marBottom w:val="0"/>
          <w:divBdr>
            <w:top w:val="none" w:sz="0" w:space="0" w:color="auto"/>
            <w:left w:val="none" w:sz="0" w:space="0" w:color="auto"/>
            <w:bottom w:val="none" w:sz="0" w:space="0" w:color="auto"/>
            <w:right w:val="none" w:sz="0" w:space="0" w:color="auto"/>
          </w:divBdr>
        </w:div>
        <w:div w:id="131364431">
          <w:marLeft w:val="0"/>
          <w:marRight w:val="0"/>
          <w:marTop w:val="0"/>
          <w:marBottom w:val="0"/>
          <w:divBdr>
            <w:top w:val="none" w:sz="0" w:space="0" w:color="auto"/>
            <w:left w:val="none" w:sz="0" w:space="0" w:color="auto"/>
            <w:bottom w:val="none" w:sz="0" w:space="0" w:color="auto"/>
            <w:right w:val="none" w:sz="0" w:space="0" w:color="auto"/>
          </w:divBdr>
        </w:div>
        <w:div w:id="1556043251">
          <w:marLeft w:val="0"/>
          <w:marRight w:val="0"/>
          <w:marTop w:val="0"/>
          <w:marBottom w:val="0"/>
          <w:divBdr>
            <w:top w:val="none" w:sz="0" w:space="0" w:color="auto"/>
            <w:left w:val="none" w:sz="0" w:space="0" w:color="auto"/>
            <w:bottom w:val="none" w:sz="0" w:space="0" w:color="auto"/>
            <w:right w:val="none" w:sz="0" w:space="0" w:color="auto"/>
          </w:divBdr>
        </w:div>
        <w:div w:id="1613240973">
          <w:marLeft w:val="0"/>
          <w:marRight w:val="0"/>
          <w:marTop w:val="0"/>
          <w:marBottom w:val="0"/>
          <w:divBdr>
            <w:top w:val="none" w:sz="0" w:space="0" w:color="auto"/>
            <w:left w:val="none" w:sz="0" w:space="0" w:color="auto"/>
            <w:bottom w:val="none" w:sz="0" w:space="0" w:color="auto"/>
            <w:right w:val="none" w:sz="0" w:space="0" w:color="auto"/>
          </w:divBdr>
        </w:div>
        <w:div w:id="825977058">
          <w:marLeft w:val="0"/>
          <w:marRight w:val="0"/>
          <w:marTop w:val="0"/>
          <w:marBottom w:val="0"/>
          <w:divBdr>
            <w:top w:val="none" w:sz="0" w:space="0" w:color="auto"/>
            <w:left w:val="none" w:sz="0" w:space="0" w:color="auto"/>
            <w:bottom w:val="none" w:sz="0" w:space="0" w:color="auto"/>
            <w:right w:val="none" w:sz="0" w:space="0" w:color="auto"/>
          </w:divBdr>
        </w:div>
        <w:div w:id="1605840038">
          <w:marLeft w:val="0"/>
          <w:marRight w:val="0"/>
          <w:marTop w:val="0"/>
          <w:marBottom w:val="0"/>
          <w:divBdr>
            <w:top w:val="none" w:sz="0" w:space="0" w:color="auto"/>
            <w:left w:val="none" w:sz="0" w:space="0" w:color="auto"/>
            <w:bottom w:val="none" w:sz="0" w:space="0" w:color="auto"/>
            <w:right w:val="none" w:sz="0" w:space="0" w:color="auto"/>
          </w:divBdr>
        </w:div>
        <w:div w:id="25838929">
          <w:marLeft w:val="0"/>
          <w:marRight w:val="0"/>
          <w:marTop w:val="0"/>
          <w:marBottom w:val="0"/>
          <w:divBdr>
            <w:top w:val="none" w:sz="0" w:space="0" w:color="auto"/>
            <w:left w:val="none" w:sz="0" w:space="0" w:color="auto"/>
            <w:bottom w:val="none" w:sz="0" w:space="0" w:color="auto"/>
            <w:right w:val="none" w:sz="0" w:space="0" w:color="auto"/>
          </w:divBdr>
        </w:div>
        <w:div w:id="1119302053">
          <w:marLeft w:val="0"/>
          <w:marRight w:val="0"/>
          <w:marTop w:val="0"/>
          <w:marBottom w:val="0"/>
          <w:divBdr>
            <w:top w:val="none" w:sz="0" w:space="0" w:color="auto"/>
            <w:left w:val="none" w:sz="0" w:space="0" w:color="auto"/>
            <w:bottom w:val="none" w:sz="0" w:space="0" w:color="auto"/>
            <w:right w:val="none" w:sz="0" w:space="0" w:color="auto"/>
          </w:divBdr>
        </w:div>
      </w:divsChild>
    </w:div>
    <w:div w:id="713190696">
      <w:bodyDiv w:val="1"/>
      <w:marLeft w:val="0"/>
      <w:marRight w:val="0"/>
      <w:marTop w:val="0"/>
      <w:marBottom w:val="0"/>
      <w:divBdr>
        <w:top w:val="none" w:sz="0" w:space="0" w:color="auto"/>
        <w:left w:val="none" w:sz="0" w:space="0" w:color="auto"/>
        <w:bottom w:val="none" w:sz="0" w:space="0" w:color="auto"/>
        <w:right w:val="none" w:sz="0" w:space="0" w:color="auto"/>
      </w:divBdr>
      <w:divsChild>
        <w:div w:id="1137181857">
          <w:marLeft w:val="0"/>
          <w:marRight w:val="0"/>
          <w:marTop w:val="0"/>
          <w:marBottom w:val="0"/>
          <w:divBdr>
            <w:top w:val="none" w:sz="0" w:space="0" w:color="auto"/>
            <w:left w:val="none" w:sz="0" w:space="0" w:color="auto"/>
            <w:bottom w:val="none" w:sz="0" w:space="0" w:color="auto"/>
            <w:right w:val="none" w:sz="0" w:space="0" w:color="auto"/>
          </w:divBdr>
        </w:div>
        <w:div w:id="328603155">
          <w:marLeft w:val="0"/>
          <w:marRight w:val="0"/>
          <w:marTop w:val="0"/>
          <w:marBottom w:val="0"/>
          <w:divBdr>
            <w:top w:val="none" w:sz="0" w:space="0" w:color="auto"/>
            <w:left w:val="none" w:sz="0" w:space="0" w:color="auto"/>
            <w:bottom w:val="none" w:sz="0" w:space="0" w:color="auto"/>
            <w:right w:val="none" w:sz="0" w:space="0" w:color="auto"/>
          </w:divBdr>
        </w:div>
        <w:div w:id="1790584358">
          <w:marLeft w:val="0"/>
          <w:marRight w:val="0"/>
          <w:marTop w:val="0"/>
          <w:marBottom w:val="0"/>
          <w:divBdr>
            <w:top w:val="none" w:sz="0" w:space="0" w:color="auto"/>
            <w:left w:val="none" w:sz="0" w:space="0" w:color="auto"/>
            <w:bottom w:val="none" w:sz="0" w:space="0" w:color="auto"/>
            <w:right w:val="none" w:sz="0" w:space="0" w:color="auto"/>
          </w:divBdr>
        </w:div>
        <w:div w:id="264466275">
          <w:marLeft w:val="0"/>
          <w:marRight w:val="0"/>
          <w:marTop w:val="0"/>
          <w:marBottom w:val="0"/>
          <w:divBdr>
            <w:top w:val="none" w:sz="0" w:space="0" w:color="auto"/>
            <w:left w:val="none" w:sz="0" w:space="0" w:color="auto"/>
            <w:bottom w:val="none" w:sz="0" w:space="0" w:color="auto"/>
            <w:right w:val="none" w:sz="0" w:space="0" w:color="auto"/>
          </w:divBdr>
        </w:div>
        <w:div w:id="1297183479">
          <w:marLeft w:val="0"/>
          <w:marRight w:val="0"/>
          <w:marTop w:val="0"/>
          <w:marBottom w:val="0"/>
          <w:divBdr>
            <w:top w:val="none" w:sz="0" w:space="0" w:color="auto"/>
            <w:left w:val="none" w:sz="0" w:space="0" w:color="auto"/>
            <w:bottom w:val="none" w:sz="0" w:space="0" w:color="auto"/>
            <w:right w:val="none" w:sz="0" w:space="0" w:color="auto"/>
          </w:divBdr>
        </w:div>
        <w:div w:id="608467548">
          <w:marLeft w:val="0"/>
          <w:marRight w:val="0"/>
          <w:marTop w:val="0"/>
          <w:marBottom w:val="0"/>
          <w:divBdr>
            <w:top w:val="none" w:sz="0" w:space="0" w:color="auto"/>
            <w:left w:val="none" w:sz="0" w:space="0" w:color="auto"/>
            <w:bottom w:val="none" w:sz="0" w:space="0" w:color="auto"/>
            <w:right w:val="none" w:sz="0" w:space="0" w:color="auto"/>
          </w:divBdr>
        </w:div>
        <w:div w:id="1195966683">
          <w:marLeft w:val="0"/>
          <w:marRight w:val="0"/>
          <w:marTop w:val="0"/>
          <w:marBottom w:val="0"/>
          <w:divBdr>
            <w:top w:val="none" w:sz="0" w:space="0" w:color="auto"/>
            <w:left w:val="none" w:sz="0" w:space="0" w:color="auto"/>
            <w:bottom w:val="none" w:sz="0" w:space="0" w:color="auto"/>
            <w:right w:val="none" w:sz="0" w:space="0" w:color="auto"/>
          </w:divBdr>
        </w:div>
        <w:div w:id="1598320121">
          <w:marLeft w:val="0"/>
          <w:marRight w:val="0"/>
          <w:marTop w:val="0"/>
          <w:marBottom w:val="0"/>
          <w:divBdr>
            <w:top w:val="none" w:sz="0" w:space="0" w:color="auto"/>
            <w:left w:val="none" w:sz="0" w:space="0" w:color="auto"/>
            <w:bottom w:val="none" w:sz="0" w:space="0" w:color="auto"/>
            <w:right w:val="none" w:sz="0" w:space="0" w:color="auto"/>
          </w:divBdr>
        </w:div>
        <w:div w:id="290130975">
          <w:marLeft w:val="0"/>
          <w:marRight w:val="0"/>
          <w:marTop w:val="0"/>
          <w:marBottom w:val="0"/>
          <w:divBdr>
            <w:top w:val="none" w:sz="0" w:space="0" w:color="auto"/>
            <w:left w:val="none" w:sz="0" w:space="0" w:color="auto"/>
            <w:bottom w:val="none" w:sz="0" w:space="0" w:color="auto"/>
            <w:right w:val="none" w:sz="0" w:space="0" w:color="auto"/>
          </w:divBdr>
        </w:div>
        <w:div w:id="393550847">
          <w:marLeft w:val="0"/>
          <w:marRight w:val="0"/>
          <w:marTop w:val="0"/>
          <w:marBottom w:val="0"/>
          <w:divBdr>
            <w:top w:val="none" w:sz="0" w:space="0" w:color="auto"/>
            <w:left w:val="none" w:sz="0" w:space="0" w:color="auto"/>
            <w:bottom w:val="none" w:sz="0" w:space="0" w:color="auto"/>
            <w:right w:val="none" w:sz="0" w:space="0" w:color="auto"/>
          </w:divBdr>
        </w:div>
        <w:div w:id="275213919">
          <w:marLeft w:val="0"/>
          <w:marRight w:val="0"/>
          <w:marTop w:val="0"/>
          <w:marBottom w:val="0"/>
          <w:divBdr>
            <w:top w:val="none" w:sz="0" w:space="0" w:color="auto"/>
            <w:left w:val="none" w:sz="0" w:space="0" w:color="auto"/>
            <w:bottom w:val="none" w:sz="0" w:space="0" w:color="auto"/>
            <w:right w:val="none" w:sz="0" w:space="0" w:color="auto"/>
          </w:divBdr>
        </w:div>
        <w:div w:id="1312102281">
          <w:marLeft w:val="0"/>
          <w:marRight w:val="0"/>
          <w:marTop w:val="0"/>
          <w:marBottom w:val="0"/>
          <w:divBdr>
            <w:top w:val="none" w:sz="0" w:space="0" w:color="auto"/>
            <w:left w:val="none" w:sz="0" w:space="0" w:color="auto"/>
            <w:bottom w:val="none" w:sz="0" w:space="0" w:color="auto"/>
            <w:right w:val="none" w:sz="0" w:space="0" w:color="auto"/>
          </w:divBdr>
        </w:div>
        <w:div w:id="1984578129">
          <w:marLeft w:val="0"/>
          <w:marRight w:val="0"/>
          <w:marTop w:val="0"/>
          <w:marBottom w:val="0"/>
          <w:divBdr>
            <w:top w:val="none" w:sz="0" w:space="0" w:color="auto"/>
            <w:left w:val="none" w:sz="0" w:space="0" w:color="auto"/>
            <w:bottom w:val="none" w:sz="0" w:space="0" w:color="auto"/>
            <w:right w:val="none" w:sz="0" w:space="0" w:color="auto"/>
          </w:divBdr>
        </w:div>
        <w:div w:id="1069839896">
          <w:marLeft w:val="0"/>
          <w:marRight w:val="0"/>
          <w:marTop w:val="0"/>
          <w:marBottom w:val="0"/>
          <w:divBdr>
            <w:top w:val="none" w:sz="0" w:space="0" w:color="auto"/>
            <w:left w:val="none" w:sz="0" w:space="0" w:color="auto"/>
            <w:bottom w:val="none" w:sz="0" w:space="0" w:color="auto"/>
            <w:right w:val="none" w:sz="0" w:space="0" w:color="auto"/>
          </w:divBdr>
        </w:div>
        <w:div w:id="644354123">
          <w:marLeft w:val="0"/>
          <w:marRight w:val="0"/>
          <w:marTop w:val="0"/>
          <w:marBottom w:val="0"/>
          <w:divBdr>
            <w:top w:val="none" w:sz="0" w:space="0" w:color="auto"/>
            <w:left w:val="none" w:sz="0" w:space="0" w:color="auto"/>
            <w:bottom w:val="none" w:sz="0" w:space="0" w:color="auto"/>
            <w:right w:val="none" w:sz="0" w:space="0" w:color="auto"/>
          </w:divBdr>
        </w:div>
        <w:div w:id="608047218">
          <w:marLeft w:val="0"/>
          <w:marRight w:val="0"/>
          <w:marTop w:val="0"/>
          <w:marBottom w:val="0"/>
          <w:divBdr>
            <w:top w:val="none" w:sz="0" w:space="0" w:color="auto"/>
            <w:left w:val="none" w:sz="0" w:space="0" w:color="auto"/>
            <w:bottom w:val="none" w:sz="0" w:space="0" w:color="auto"/>
            <w:right w:val="none" w:sz="0" w:space="0" w:color="auto"/>
          </w:divBdr>
        </w:div>
        <w:div w:id="2021420850">
          <w:marLeft w:val="0"/>
          <w:marRight w:val="0"/>
          <w:marTop w:val="0"/>
          <w:marBottom w:val="0"/>
          <w:divBdr>
            <w:top w:val="none" w:sz="0" w:space="0" w:color="auto"/>
            <w:left w:val="none" w:sz="0" w:space="0" w:color="auto"/>
            <w:bottom w:val="none" w:sz="0" w:space="0" w:color="auto"/>
            <w:right w:val="none" w:sz="0" w:space="0" w:color="auto"/>
          </w:divBdr>
        </w:div>
        <w:div w:id="2096827400">
          <w:marLeft w:val="0"/>
          <w:marRight w:val="0"/>
          <w:marTop w:val="0"/>
          <w:marBottom w:val="0"/>
          <w:divBdr>
            <w:top w:val="none" w:sz="0" w:space="0" w:color="auto"/>
            <w:left w:val="none" w:sz="0" w:space="0" w:color="auto"/>
            <w:bottom w:val="none" w:sz="0" w:space="0" w:color="auto"/>
            <w:right w:val="none" w:sz="0" w:space="0" w:color="auto"/>
          </w:divBdr>
        </w:div>
        <w:div w:id="324936979">
          <w:marLeft w:val="0"/>
          <w:marRight w:val="0"/>
          <w:marTop w:val="0"/>
          <w:marBottom w:val="0"/>
          <w:divBdr>
            <w:top w:val="none" w:sz="0" w:space="0" w:color="auto"/>
            <w:left w:val="none" w:sz="0" w:space="0" w:color="auto"/>
            <w:bottom w:val="none" w:sz="0" w:space="0" w:color="auto"/>
            <w:right w:val="none" w:sz="0" w:space="0" w:color="auto"/>
          </w:divBdr>
        </w:div>
        <w:div w:id="1349064794">
          <w:marLeft w:val="0"/>
          <w:marRight w:val="0"/>
          <w:marTop w:val="0"/>
          <w:marBottom w:val="0"/>
          <w:divBdr>
            <w:top w:val="none" w:sz="0" w:space="0" w:color="auto"/>
            <w:left w:val="none" w:sz="0" w:space="0" w:color="auto"/>
            <w:bottom w:val="none" w:sz="0" w:space="0" w:color="auto"/>
            <w:right w:val="none" w:sz="0" w:space="0" w:color="auto"/>
          </w:divBdr>
        </w:div>
        <w:div w:id="1441291896">
          <w:marLeft w:val="0"/>
          <w:marRight w:val="0"/>
          <w:marTop w:val="0"/>
          <w:marBottom w:val="0"/>
          <w:divBdr>
            <w:top w:val="none" w:sz="0" w:space="0" w:color="auto"/>
            <w:left w:val="none" w:sz="0" w:space="0" w:color="auto"/>
            <w:bottom w:val="none" w:sz="0" w:space="0" w:color="auto"/>
            <w:right w:val="none" w:sz="0" w:space="0" w:color="auto"/>
          </w:divBdr>
        </w:div>
        <w:div w:id="928852272">
          <w:marLeft w:val="0"/>
          <w:marRight w:val="0"/>
          <w:marTop w:val="0"/>
          <w:marBottom w:val="0"/>
          <w:divBdr>
            <w:top w:val="none" w:sz="0" w:space="0" w:color="auto"/>
            <w:left w:val="none" w:sz="0" w:space="0" w:color="auto"/>
            <w:bottom w:val="none" w:sz="0" w:space="0" w:color="auto"/>
            <w:right w:val="none" w:sz="0" w:space="0" w:color="auto"/>
          </w:divBdr>
        </w:div>
      </w:divsChild>
    </w:div>
    <w:div w:id="1011641439">
      <w:bodyDiv w:val="1"/>
      <w:marLeft w:val="0"/>
      <w:marRight w:val="0"/>
      <w:marTop w:val="0"/>
      <w:marBottom w:val="0"/>
      <w:divBdr>
        <w:top w:val="none" w:sz="0" w:space="0" w:color="auto"/>
        <w:left w:val="none" w:sz="0" w:space="0" w:color="auto"/>
        <w:bottom w:val="none" w:sz="0" w:space="0" w:color="auto"/>
        <w:right w:val="none" w:sz="0" w:space="0" w:color="auto"/>
      </w:divBdr>
      <w:divsChild>
        <w:div w:id="68819886">
          <w:marLeft w:val="0"/>
          <w:marRight w:val="0"/>
          <w:marTop w:val="0"/>
          <w:marBottom w:val="0"/>
          <w:divBdr>
            <w:top w:val="none" w:sz="0" w:space="0" w:color="auto"/>
            <w:left w:val="none" w:sz="0" w:space="0" w:color="auto"/>
            <w:bottom w:val="none" w:sz="0" w:space="0" w:color="auto"/>
            <w:right w:val="none" w:sz="0" w:space="0" w:color="auto"/>
          </w:divBdr>
          <w:divsChild>
            <w:div w:id="238102173">
              <w:marLeft w:val="0"/>
              <w:marRight w:val="0"/>
              <w:marTop w:val="0"/>
              <w:marBottom w:val="0"/>
              <w:divBdr>
                <w:top w:val="none" w:sz="0" w:space="0" w:color="auto"/>
                <w:left w:val="none" w:sz="0" w:space="0" w:color="auto"/>
                <w:bottom w:val="none" w:sz="0" w:space="0" w:color="auto"/>
                <w:right w:val="none" w:sz="0" w:space="0" w:color="auto"/>
              </w:divBdr>
            </w:div>
            <w:div w:id="1647734368">
              <w:marLeft w:val="0"/>
              <w:marRight w:val="0"/>
              <w:marTop w:val="0"/>
              <w:marBottom w:val="0"/>
              <w:divBdr>
                <w:top w:val="none" w:sz="0" w:space="0" w:color="auto"/>
                <w:left w:val="none" w:sz="0" w:space="0" w:color="auto"/>
                <w:bottom w:val="none" w:sz="0" w:space="0" w:color="auto"/>
                <w:right w:val="none" w:sz="0" w:space="0" w:color="auto"/>
              </w:divBdr>
            </w:div>
            <w:div w:id="91324408">
              <w:marLeft w:val="0"/>
              <w:marRight w:val="0"/>
              <w:marTop w:val="0"/>
              <w:marBottom w:val="0"/>
              <w:divBdr>
                <w:top w:val="none" w:sz="0" w:space="0" w:color="auto"/>
                <w:left w:val="none" w:sz="0" w:space="0" w:color="auto"/>
                <w:bottom w:val="none" w:sz="0" w:space="0" w:color="auto"/>
                <w:right w:val="none" w:sz="0" w:space="0" w:color="auto"/>
              </w:divBdr>
            </w:div>
            <w:div w:id="221524528">
              <w:marLeft w:val="0"/>
              <w:marRight w:val="0"/>
              <w:marTop w:val="0"/>
              <w:marBottom w:val="0"/>
              <w:divBdr>
                <w:top w:val="none" w:sz="0" w:space="0" w:color="auto"/>
                <w:left w:val="none" w:sz="0" w:space="0" w:color="auto"/>
                <w:bottom w:val="none" w:sz="0" w:space="0" w:color="auto"/>
                <w:right w:val="none" w:sz="0" w:space="0" w:color="auto"/>
              </w:divBdr>
            </w:div>
          </w:divsChild>
        </w:div>
        <w:div w:id="559899933">
          <w:marLeft w:val="0"/>
          <w:marRight w:val="0"/>
          <w:marTop w:val="0"/>
          <w:marBottom w:val="0"/>
          <w:divBdr>
            <w:top w:val="none" w:sz="0" w:space="0" w:color="auto"/>
            <w:left w:val="none" w:sz="0" w:space="0" w:color="auto"/>
            <w:bottom w:val="none" w:sz="0" w:space="0" w:color="auto"/>
            <w:right w:val="none" w:sz="0" w:space="0" w:color="auto"/>
          </w:divBdr>
          <w:divsChild>
            <w:div w:id="1703357534">
              <w:marLeft w:val="0"/>
              <w:marRight w:val="0"/>
              <w:marTop w:val="0"/>
              <w:marBottom w:val="0"/>
              <w:divBdr>
                <w:top w:val="none" w:sz="0" w:space="0" w:color="auto"/>
                <w:left w:val="none" w:sz="0" w:space="0" w:color="auto"/>
                <w:bottom w:val="none" w:sz="0" w:space="0" w:color="auto"/>
                <w:right w:val="none" w:sz="0" w:space="0" w:color="auto"/>
              </w:divBdr>
            </w:div>
            <w:div w:id="409812908">
              <w:marLeft w:val="0"/>
              <w:marRight w:val="0"/>
              <w:marTop w:val="0"/>
              <w:marBottom w:val="0"/>
              <w:divBdr>
                <w:top w:val="none" w:sz="0" w:space="0" w:color="auto"/>
                <w:left w:val="none" w:sz="0" w:space="0" w:color="auto"/>
                <w:bottom w:val="none" w:sz="0" w:space="0" w:color="auto"/>
                <w:right w:val="none" w:sz="0" w:space="0" w:color="auto"/>
              </w:divBdr>
            </w:div>
            <w:div w:id="1737434271">
              <w:marLeft w:val="0"/>
              <w:marRight w:val="0"/>
              <w:marTop w:val="0"/>
              <w:marBottom w:val="0"/>
              <w:divBdr>
                <w:top w:val="none" w:sz="0" w:space="0" w:color="auto"/>
                <w:left w:val="none" w:sz="0" w:space="0" w:color="auto"/>
                <w:bottom w:val="none" w:sz="0" w:space="0" w:color="auto"/>
                <w:right w:val="none" w:sz="0" w:space="0" w:color="auto"/>
              </w:divBdr>
            </w:div>
            <w:div w:id="2033022957">
              <w:marLeft w:val="0"/>
              <w:marRight w:val="0"/>
              <w:marTop w:val="0"/>
              <w:marBottom w:val="0"/>
              <w:divBdr>
                <w:top w:val="none" w:sz="0" w:space="0" w:color="auto"/>
                <w:left w:val="none" w:sz="0" w:space="0" w:color="auto"/>
                <w:bottom w:val="none" w:sz="0" w:space="0" w:color="auto"/>
                <w:right w:val="none" w:sz="0" w:space="0" w:color="auto"/>
              </w:divBdr>
            </w:div>
            <w:div w:id="209153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085344549">
      <w:bodyDiv w:val="1"/>
      <w:marLeft w:val="0"/>
      <w:marRight w:val="0"/>
      <w:marTop w:val="0"/>
      <w:marBottom w:val="0"/>
      <w:divBdr>
        <w:top w:val="none" w:sz="0" w:space="0" w:color="auto"/>
        <w:left w:val="none" w:sz="0" w:space="0" w:color="auto"/>
        <w:bottom w:val="none" w:sz="0" w:space="0" w:color="auto"/>
        <w:right w:val="none" w:sz="0" w:space="0" w:color="auto"/>
      </w:divBdr>
      <w:divsChild>
        <w:div w:id="1419330755">
          <w:marLeft w:val="0"/>
          <w:marRight w:val="0"/>
          <w:marTop w:val="0"/>
          <w:marBottom w:val="0"/>
          <w:divBdr>
            <w:top w:val="none" w:sz="0" w:space="0" w:color="auto"/>
            <w:left w:val="none" w:sz="0" w:space="0" w:color="auto"/>
            <w:bottom w:val="none" w:sz="0" w:space="0" w:color="auto"/>
            <w:right w:val="none" w:sz="0" w:space="0" w:color="auto"/>
          </w:divBdr>
        </w:div>
        <w:div w:id="205876814">
          <w:marLeft w:val="0"/>
          <w:marRight w:val="0"/>
          <w:marTop w:val="0"/>
          <w:marBottom w:val="0"/>
          <w:divBdr>
            <w:top w:val="none" w:sz="0" w:space="0" w:color="auto"/>
            <w:left w:val="none" w:sz="0" w:space="0" w:color="auto"/>
            <w:bottom w:val="none" w:sz="0" w:space="0" w:color="auto"/>
            <w:right w:val="none" w:sz="0" w:space="0" w:color="auto"/>
          </w:divBdr>
        </w:div>
        <w:div w:id="1225024122">
          <w:marLeft w:val="0"/>
          <w:marRight w:val="0"/>
          <w:marTop w:val="0"/>
          <w:marBottom w:val="0"/>
          <w:divBdr>
            <w:top w:val="none" w:sz="0" w:space="0" w:color="auto"/>
            <w:left w:val="none" w:sz="0" w:space="0" w:color="auto"/>
            <w:bottom w:val="none" w:sz="0" w:space="0" w:color="auto"/>
            <w:right w:val="none" w:sz="0" w:space="0" w:color="auto"/>
          </w:divBdr>
        </w:div>
        <w:div w:id="294525143">
          <w:marLeft w:val="0"/>
          <w:marRight w:val="0"/>
          <w:marTop w:val="0"/>
          <w:marBottom w:val="0"/>
          <w:divBdr>
            <w:top w:val="none" w:sz="0" w:space="0" w:color="auto"/>
            <w:left w:val="none" w:sz="0" w:space="0" w:color="auto"/>
            <w:bottom w:val="none" w:sz="0" w:space="0" w:color="auto"/>
            <w:right w:val="none" w:sz="0" w:space="0" w:color="auto"/>
          </w:divBdr>
        </w:div>
        <w:div w:id="255402438">
          <w:marLeft w:val="0"/>
          <w:marRight w:val="0"/>
          <w:marTop w:val="0"/>
          <w:marBottom w:val="0"/>
          <w:divBdr>
            <w:top w:val="none" w:sz="0" w:space="0" w:color="auto"/>
            <w:left w:val="none" w:sz="0" w:space="0" w:color="auto"/>
            <w:bottom w:val="none" w:sz="0" w:space="0" w:color="auto"/>
            <w:right w:val="none" w:sz="0" w:space="0" w:color="auto"/>
          </w:divBdr>
        </w:div>
        <w:div w:id="703603913">
          <w:marLeft w:val="0"/>
          <w:marRight w:val="0"/>
          <w:marTop w:val="0"/>
          <w:marBottom w:val="0"/>
          <w:divBdr>
            <w:top w:val="none" w:sz="0" w:space="0" w:color="auto"/>
            <w:left w:val="none" w:sz="0" w:space="0" w:color="auto"/>
            <w:bottom w:val="none" w:sz="0" w:space="0" w:color="auto"/>
            <w:right w:val="none" w:sz="0" w:space="0" w:color="auto"/>
          </w:divBdr>
        </w:div>
        <w:div w:id="923302551">
          <w:marLeft w:val="0"/>
          <w:marRight w:val="0"/>
          <w:marTop w:val="0"/>
          <w:marBottom w:val="0"/>
          <w:divBdr>
            <w:top w:val="none" w:sz="0" w:space="0" w:color="auto"/>
            <w:left w:val="none" w:sz="0" w:space="0" w:color="auto"/>
            <w:bottom w:val="none" w:sz="0" w:space="0" w:color="auto"/>
            <w:right w:val="none" w:sz="0" w:space="0" w:color="auto"/>
          </w:divBdr>
        </w:div>
        <w:div w:id="667825714">
          <w:marLeft w:val="0"/>
          <w:marRight w:val="0"/>
          <w:marTop w:val="0"/>
          <w:marBottom w:val="0"/>
          <w:divBdr>
            <w:top w:val="none" w:sz="0" w:space="0" w:color="auto"/>
            <w:left w:val="none" w:sz="0" w:space="0" w:color="auto"/>
            <w:bottom w:val="none" w:sz="0" w:space="0" w:color="auto"/>
            <w:right w:val="none" w:sz="0" w:space="0" w:color="auto"/>
          </w:divBdr>
        </w:div>
        <w:div w:id="675881700">
          <w:marLeft w:val="0"/>
          <w:marRight w:val="0"/>
          <w:marTop w:val="0"/>
          <w:marBottom w:val="0"/>
          <w:divBdr>
            <w:top w:val="none" w:sz="0" w:space="0" w:color="auto"/>
            <w:left w:val="none" w:sz="0" w:space="0" w:color="auto"/>
            <w:bottom w:val="none" w:sz="0" w:space="0" w:color="auto"/>
            <w:right w:val="none" w:sz="0" w:space="0" w:color="auto"/>
          </w:divBdr>
        </w:div>
        <w:div w:id="86117519">
          <w:marLeft w:val="0"/>
          <w:marRight w:val="0"/>
          <w:marTop w:val="0"/>
          <w:marBottom w:val="0"/>
          <w:divBdr>
            <w:top w:val="none" w:sz="0" w:space="0" w:color="auto"/>
            <w:left w:val="none" w:sz="0" w:space="0" w:color="auto"/>
            <w:bottom w:val="none" w:sz="0" w:space="0" w:color="auto"/>
            <w:right w:val="none" w:sz="0" w:space="0" w:color="auto"/>
          </w:divBdr>
        </w:div>
        <w:div w:id="1379667004">
          <w:marLeft w:val="0"/>
          <w:marRight w:val="0"/>
          <w:marTop w:val="0"/>
          <w:marBottom w:val="0"/>
          <w:divBdr>
            <w:top w:val="none" w:sz="0" w:space="0" w:color="auto"/>
            <w:left w:val="none" w:sz="0" w:space="0" w:color="auto"/>
            <w:bottom w:val="none" w:sz="0" w:space="0" w:color="auto"/>
            <w:right w:val="none" w:sz="0" w:space="0" w:color="auto"/>
          </w:divBdr>
        </w:div>
        <w:div w:id="1675456972">
          <w:marLeft w:val="0"/>
          <w:marRight w:val="0"/>
          <w:marTop w:val="0"/>
          <w:marBottom w:val="0"/>
          <w:divBdr>
            <w:top w:val="none" w:sz="0" w:space="0" w:color="auto"/>
            <w:left w:val="none" w:sz="0" w:space="0" w:color="auto"/>
            <w:bottom w:val="none" w:sz="0" w:space="0" w:color="auto"/>
            <w:right w:val="none" w:sz="0" w:space="0" w:color="auto"/>
          </w:divBdr>
        </w:div>
      </w:divsChild>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340350528">
      <w:bodyDiv w:val="1"/>
      <w:marLeft w:val="0"/>
      <w:marRight w:val="0"/>
      <w:marTop w:val="0"/>
      <w:marBottom w:val="0"/>
      <w:divBdr>
        <w:top w:val="none" w:sz="0" w:space="0" w:color="auto"/>
        <w:left w:val="none" w:sz="0" w:space="0" w:color="auto"/>
        <w:bottom w:val="none" w:sz="0" w:space="0" w:color="auto"/>
        <w:right w:val="none" w:sz="0" w:space="0" w:color="auto"/>
      </w:divBdr>
      <w:divsChild>
        <w:div w:id="1868172366">
          <w:marLeft w:val="0"/>
          <w:marRight w:val="0"/>
          <w:marTop w:val="0"/>
          <w:marBottom w:val="0"/>
          <w:divBdr>
            <w:top w:val="none" w:sz="0" w:space="0" w:color="auto"/>
            <w:left w:val="none" w:sz="0" w:space="0" w:color="auto"/>
            <w:bottom w:val="none" w:sz="0" w:space="0" w:color="auto"/>
            <w:right w:val="none" w:sz="0" w:space="0" w:color="auto"/>
          </w:divBdr>
        </w:div>
        <w:div w:id="550769548">
          <w:marLeft w:val="0"/>
          <w:marRight w:val="0"/>
          <w:marTop w:val="0"/>
          <w:marBottom w:val="0"/>
          <w:divBdr>
            <w:top w:val="none" w:sz="0" w:space="0" w:color="auto"/>
            <w:left w:val="none" w:sz="0" w:space="0" w:color="auto"/>
            <w:bottom w:val="none" w:sz="0" w:space="0" w:color="auto"/>
            <w:right w:val="none" w:sz="0" w:space="0" w:color="auto"/>
          </w:divBdr>
        </w:div>
        <w:div w:id="1569538824">
          <w:marLeft w:val="0"/>
          <w:marRight w:val="0"/>
          <w:marTop w:val="0"/>
          <w:marBottom w:val="0"/>
          <w:divBdr>
            <w:top w:val="none" w:sz="0" w:space="0" w:color="auto"/>
            <w:left w:val="none" w:sz="0" w:space="0" w:color="auto"/>
            <w:bottom w:val="none" w:sz="0" w:space="0" w:color="auto"/>
            <w:right w:val="none" w:sz="0" w:space="0" w:color="auto"/>
          </w:divBdr>
        </w:div>
        <w:div w:id="861165920">
          <w:marLeft w:val="0"/>
          <w:marRight w:val="0"/>
          <w:marTop w:val="0"/>
          <w:marBottom w:val="0"/>
          <w:divBdr>
            <w:top w:val="none" w:sz="0" w:space="0" w:color="auto"/>
            <w:left w:val="none" w:sz="0" w:space="0" w:color="auto"/>
            <w:bottom w:val="none" w:sz="0" w:space="0" w:color="auto"/>
            <w:right w:val="none" w:sz="0" w:space="0" w:color="auto"/>
          </w:divBdr>
        </w:div>
        <w:div w:id="1519928456">
          <w:marLeft w:val="0"/>
          <w:marRight w:val="0"/>
          <w:marTop w:val="0"/>
          <w:marBottom w:val="0"/>
          <w:divBdr>
            <w:top w:val="none" w:sz="0" w:space="0" w:color="auto"/>
            <w:left w:val="none" w:sz="0" w:space="0" w:color="auto"/>
            <w:bottom w:val="none" w:sz="0" w:space="0" w:color="auto"/>
            <w:right w:val="none" w:sz="0" w:space="0" w:color="auto"/>
          </w:divBdr>
        </w:div>
        <w:div w:id="853306187">
          <w:marLeft w:val="0"/>
          <w:marRight w:val="0"/>
          <w:marTop w:val="0"/>
          <w:marBottom w:val="0"/>
          <w:divBdr>
            <w:top w:val="none" w:sz="0" w:space="0" w:color="auto"/>
            <w:left w:val="none" w:sz="0" w:space="0" w:color="auto"/>
            <w:bottom w:val="none" w:sz="0" w:space="0" w:color="auto"/>
            <w:right w:val="none" w:sz="0" w:space="0" w:color="auto"/>
          </w:divBdr>
        </w:div>
        <w:div w:id="1276327019">
          <w:marLeft w:val="0"/>
          <w:marRight w:val="0"/>
          <w:marTop w:val="0"/>
          <w:marBottom w:val="0"/>
          <w:divBdr>
            <w:top w:val="none" w:sz="0" w:space="0" w:color="auto"/>
            <w:left w:val="none" w:sz="0" w:space="0" w:color="auto"/>
            <w:bottom w:val="none" w:sz="0" w:space="0" w:color="auto"/>
            <w:right w:val="none" w:sz="0" w:space="0" w:color="auto"/>
          </w:divBdr>
        </w:div>
        <w:div w:id="2057317381">
          <w:marLeft w:val="0"/>
          <w:marRight w:val="0"/>
          <w:marTop w:val="0"/>
          <w:marBottom w:val="0"/>
          <w:divBdr>
            <w:top w:val="none" w:sz="0" w:space="0" w:color="auto"/>
            <w:left w:val="none" w:sz="0" w:space="0" w:color="auto"/>
            <w:bottom w:val="none" w:sz="0" w:space="0" w:color="auto"/>
            <w:right w:val="none" w:sz="0" w:space="0" w:color="auto"/>
          </w:divBdr>
        </w:div>
        <w:div w:id="1572303272">
          <w:marLeft w:val="0"/>
          <w:marRight w:val="0"/>
          <w:marTop w:val="0"/>
          <w:marBottom w:val="0"/>
          <w:divBdr>
            <w:top w:val="none" w:sz="0" w:space="0" w:color="auto"/>
            <w:left w:val="none" w:sz="0" w:space="0" w:color="auto"/>
            <w:bottom w:val="none" w:sz="0" w:space="0" w:color="auto"/>
            <w:right w:val="none" w:sz="0" w:space="0" w:color="auto"/>
          </w:divBdr>
        </w:div>
        <w:div w:id="1718773107">
          <w:marLeft w:val="0"/>
          <w:marRight w:val="0"/>
          <w:marTop w:val="0"/>
          <w:marBottom w:val="0"/>
          <w:divBdr>
            <w:top w:val="none" w:sz="0" w:space="0" w:color="auto"/>
            <w:left w:val="none" w:sz="0" w:space="0" w:color="auto"/>
            <w:bottom w:val="none" w:sz="0" w:space="0" w:color="auto"/>
            <w:right w:val="none" w:sz="0" w:space="0" w:color="auto"/>
          </w:divBdr>
        </w:div>
        <w:div w:id="491719813">
          <w:marLeft w:val="0"/>
          <w:marRight w:val="0"/>
          <w:marTop w:val="0"/>
          <w:marBottom w:val="0"/>
          <w:divBdr>
            <w:top w:val="none" w:sz="0" w:space="0" w:color="auto"/>
            <w:left w:val="none" w:sz="0" w:space="0" w:color="auto"/>
            <w:bottom w:val="none" w:sz="0" w:space="0" w:color="auto"/>
            <w:right w:val="none" w:sz="0" w:space="0" w:color="auto"/>
          </w:divBdr>
        </w:div>
      </w:divsChild>
    </w:div>
    <w:div w:id="1405496035">
      <w:bodyDiv w:val="1"/>
      <w:marLeft w:val="0"/>
      <w:marRight w:val="0"/>
      <w:marTop w:val="0"/>
      <w:marBottom w:val="0"/>
      <w:divBdr>
        <w:top w:val="none" w:sz="0" w:space="0" w:color="auto"/>
        <w:left w:val="none" w:sz="0" w:space="0" w:color="auto"/>
        <w:bottom w:val="none" w:sz="0" w:space="0" w:color="auto"/>
        <w:right w:val="none" w:sz="0" w:space="0" w:color="auto"/>
      </w:divBdr>
      <w:divsChild>
        <w:div w:id="1030839961">
          <w:marLeft w:val="0"/>
          <w:marRight w:val="0"/>
          <w:marTop w:val="0"/>
          <w:marBottom w:val="0"/>
          <w:divBdr>
            <w:top w:val="none" w:sz="0" w:space="0" w:color="auto"/>
            <w:left w:val="none" w:sz="0" w:space="0" w:color="auto"/>
            <w:bottom w:val="none" w:sz="0" w:space="0" w:color="auto"/>
            <w:right w:val="none" w:sz="0" w:space="0" w:color="auto"/>
          </w:divBdr>
        </w:div>
        <w:div w:id="930897945">
          <w:marLeft w:val="0"/>
          <w:marRight w:val="0"/>
          <w:marTop w:val="0"/>
          <w:marBottom w:val="0"/>
          <w:divBdr>
            <w:top w:val="none" w:sz="0" w:space="0" w:color="auto"/>
            <w:left w:val="none" w:sz="0" w:space="0" w:color="auto"/>
            <w:bottom w:val="none" w:sz="0" w:space="0" w:color="auto"/>
            <w:right w:val="none" w:sz="0" w:space="0" w:color="auto"/>
          </w:divBdr>
        </w:div>
        <w:div w:id="1215242354">
          <w:marLeft w:val="0"/>
          <w:marRight w:val="0"/>
          <w:marTop w:val="0"/>
          <w:marBottom w:val="0"/>
          <w:divBdr>
            <w:top w:val="none" w:sz="0" w:space="0" w:color="auto"/>
            <w:left w:val="none" w:sz="0" w:space="0" w:color="auto"/>
            <w:bottom w:val="none" w:sz="0" w:space="0" w:color="auto"/>
            <w:right w:val="none" w:sz="0" w:space="0" w:color="auto"/>
          </w:divBdr>
        </w:div>
      </w:divsChild>
    </w:div>
    <w:div w:id="1510027542">
      <w:bodyDiv w:val="1"/>
      <w:marLeft w:val="0"/>
      <w:marRight w:val="0"/>
      <w:marTop w:val="0"/>
      <w:marBottom w:val="0"/>
      <w:divBdr>
        <w:top w:val="none" w:sz="0" w:space="0" w:color="auto"/>
        <w:left w:val="none" w:sz="0" w:space="0" w:color="auto"/>
        <w:bottom w:val="none" w:sz="0" w:space="0" w:color="auto"/>
        <w:right w:val="none" w:sz="0" w:space="0" w:color="auto"/>
      </w:divBdr>
      <w:divsChild>
        <w:div w:id="159590608">
          <w:marLeft w:val="0"/>
          <w:marRight w:val="0"/>
          <w:marTop w:val="0"/>
          <w:marBottom w:val="0"/>
          <w:divBdr>
            <w:top w:val="none" w:sz="0" w:space="0" w:color="auto"/>
            <w:left w:val="none" w:sz="0" w:space="0" w:color="auto"/>
            <w:bottom w:val="none" w:sz="0" w:space="0" w:color="auto"/>
            <w:right w:val="none" w:sz="0" w:space="0" w:color="auto"/>
          </w:divBdr>
        </w:div>
        <w:div w:id="1436638077">
          <w:marLeft w:val="0"/>
          <w:marRight w:val="0"/>
          <w:marTop w:val="0"/>
          <w:marBottom w:val="0"/>
          <w:divBdr>
            <w:top w:val="none" w:sz="0" w:space="0" w:color="auto"/>
            <w:left w:val="none" w:sz="0" w:space="0" w:color="auto"/>
            <w:bottom w:val="none" w:sz="0" w:space="0" w:color="auto"/>
            <w:right w:val="none" w:sz="0" w:space="0" w:color="auto"/>
          </w:divBdr>
        </w:div>
        <w:div w:id="2116052177">
          <w:marLeft w:val="0"/>
          <w:marRight w:val="0"/>
          <w:marTop w:val="0"/>
          <w:marBottom w:val="0"/>
          <w:divBdr>
            <w:top w:val="none" w:sz="0" w:space="0" w:color="auto"/>
            <w:left w:val="none" w:sz="0" w:space="0" w:color="auto"/>
            <w:bottom w:val="none" w:sz="0" w:space="0" w:color="auto"/>
            <w:right w:val="none" w:sz="0" w:space="0" w:color="auto"/>
          </w:divBdr>
        </w:div>
      </w:divsChild>
    </w:div>
    <w:div w:id="1716809509">
      <w:bodyDiv w:val="1"/>
      <w:marLeft w:val="0"/>
      <w:marRight w:val="0"/>
      <w:marTop w:val="0"/>
      <w:marBottom w:val="0"/>
      <w:divBdr>
        <w:top w:val="none" w:sz="0" w:space="0" w:color="auto"/>
        <w:left w:val="none" w:sz="0" w:space="0" w:color="auto"/>
        <w:bottom w:val="none" w:sz="0" w:space="0" w:color="auto"/>
        <w:right w:val="none" w:sz="0" w:space="0" w:color="auto"/>
      </w:divBdr>
      <w:divsChild>
        <w:div w:id="1484392315">
          <w:marLeft w:val="0"/>
          <w:marRight w:val="0"/>
          <w:marTop w:val="0"/>
          <w:marBottom w:val="0"/>
          <w:divBdr>
            <w:top w:val="none" w:sz="0" w:space="0" w:color="auto"/>
            <w:left w:val="none" w:sz="0" w:space="0" w:color="auto"/>
            <w:bottom w:val="none" w:sz="0" w:space="0" w:color="auto"/>
            <w:right w:val="none" w:sz="0" w:space="0" w:color="auto"/>
          </w:divBdr>
        </w:div>
        <w:div w:id="8681826">
          <w:marLeft w:val="0"/>
          <w:marRight w:val="0"/>
          <w:marTop w:val="0"/>
          <w:marBottom w:val="0"/>
          <w:divBdr>
            <w:top w:val="none" w:sz="0" w:space="0" w:color="auto"/>
            <w:left w:val="none" w:sz="0" w:space="0" w:color="auto"/>
            <w:bottom w:val="none" w:sz="0" w:space="0" w:color="auto"/>
            <w:right w:val="none" w:sz="0" w:space="0" w:color="auto"/>
          </w:divBdr>
        </w:div>
        <w:div w:id="1056782252">
          <w:marLeft w:val="0"/>
          <w:marRight w:val="0"/>
          <w:marTop w:val="0"/>
          <w:marBottom w:val="0"/>
          <w:divBdr>
            <w:top w:val="none" w:sz="0" w:space="0" w:color="auto"/>
            <w:left w:val="none" w:sz="0" w:space="0" w:color="auto"/>
            <w:bottom w:val="none" w:sz="0" w:space="0" w:color="auto"/>
            <w:right w:val="none" w:sz="0" w:space="0" w:color="auto"/>
          </w:divBdr>
        </w:div>
        <w:div w:id="1192454300">
          <w:marLeft w:val="0"/>
          <w:marRight w:val="0"/>
          <w:marTop w:val="0"/>
          <w:marBottom w:val="0"/>
          <w:divBdr>
            <w:top w:val="none" w:sz="0" w:space="0" w:color="auto"/>
            <w:left w:val="none" w:sz="0" w:space="0" w:color="auto"/>
            <w:bottom w:val="none" w:sz="0" w:space="0" w:color="auto"/>
            <w:right w:val="none" w:sz="0" w:space="0" w:color="auto"/>
          </w:divBdr>
        </w:div>
        <w:div w:id="1285427821">
          <w:marLeft w:val="0"/>
          <w:marRight w:val="0"/>
          <w:marTop w:val="0"/>
          <w:marBottom w:val="0"/>
          <w:divBdr>
            <w:top w:val="none" w:sz="0" w:space="0" w:color="auto"/>
            <w:left w:val="none" w:sz="0" w:space="0" w:color="auto"/>
            <w:bottom w:val="none" w:sz="0" w:space="0" w:color="auto"/>
            <w:right w:val="none" w:sz="0" w:space="0" w:color="auto"/>
          </w:divBdr>
        </w:div>
        <w:div w:id="2107843004">
          <w:marLeft w:val="0"/>
          <w:marRight w:val="0"/>
          <w:marTop w:val="0"/>
          <w:marBottom w:val="0"/>
          <w:divBdr>
            <w:top w:val="none" w:sz="0" w:space="0" w:color="auto"/>
            <w:left w:val="none" w:sz="0" w:space="0" w:color="auto"/>
            <w:bottom w:val="none" w:sz="0" w:space="0" w:color="auto"/>
            <w:right w:val="none" w:sz="0" w:space="0" w:color="auto"/>
          </w:divBdr>
        </w:div>
        <w:div w:id="7739412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who.int/trypanosomiasis_african/resources/j_healthgeographics_10.1186_1476_072X_9_57/en/"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extranet.who.int/dhis2" TargetMode="External"/><Relationship Id="rId17" Type="http://schemas.openxmlformats.org/officeDocument/2006/relationships/hyperlink" Target="https://www.who.int/publications/i/item/9789240010352" TargetMode="External"/><Relationship Id="rId2" Type="http://schemas.openxmlformats.org/officeDocument/2006/relationships/customXml" Target="../customXml/item2.xml"/><Relationship Id="rId16" Type="http://schemas.openxmlformats.org/officeDocument/2006/relationships/hyperlink" Target="https://apps.who.int/iris/bitstream/handle/10665/329376/9789241516464-eng.pdf" TargetMode="External"/><Relationship Id="rId20" Type="http://schemas.openxmlformats.org/officeDocument/2006/relationships/fontTable" Target="fontTable.xml"/><Relationship Id="R57e371d1b70c4eb5"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apps.who.int/gho/cabinet/pc.jsp" TargetMode="External"/><Relationship Id="rId5" Type="http://schemas.openxmlformats.org/officeDocument/2006/relationships/numbering" Target="numbering.xml"/><Relationship Id="rId15" Type="http://schemas.openxmlformats.org/officeDocument/2006/relationships/hyperlink" Target="http://www.who.int/wer/2012/wer8702.pdf?ua=1"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who.int/about/who-we-are/publishing-policies/data-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2455B7D1C74A84590B9AEEC4749A4EE" ma:contentTypeVersion="11" ma:contentTypeDescription="Create a new document." ma:contentTypeScope="" ma:versionID="39e5f8de963928939168c7ba2f5fa216">
  <xsd:schema xmlns:xsd="http://www.w3.org/2001/XMLSchema" xmlns:xs="http://www.w3.org/2001/XMLSchema" xmlns:p="http://schemas.microsoft.com/office/2006/metadata/properties" xmlns:ns2="f78c84e0-b3b8-489c-bce2-5533f6d122eb" xmlns:ns3="18d7e1cc-278b-4f2a-8d1f-a06cba17f991" targetNamespace="http://schemas.microsoft.com/office/2006/metadata/properties" ma:root="true" ma:fieldsID="8d8f3cb84445fa87f10c1790346b6ff2" ns2:_="" ns3:_="">
    <xsd:import namespace="f78c84e0-b3b8-489c-bce2-5533f6d122eb"/>
    <xsd:import namespace="18d7e1cc-278b-4f2a-8d1f-a06cba17f99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8c84e0-b3b8-489c-bce2-5533f6d122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8d7e1cc-278b-4f2a-8d1f-a06cba17f99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97A22-7BCB-4E17-AD05-698BA4F6D47D}">
  <ds:schemaRef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f78c84e0-b3b8-489c-bce2-5533f6d122eb"/>
    <ds:schemaRef ds:uri="http://purl.org/dc/elements/1.1/"/>
    <ds:schemaRef ds:uri="http://schemas.microsoft.com/office/2006/metadata/properties"/>
    <ds:schemaRef ds:uri="18d7e1cc-278b-4f2a-8d1f-a06cba17f991"/>
    <ds:schemaRef ds:uri="http://www.w3.org/XML/1998/namespace"/>
  </ds:schemaRefs>
</ds:datastoreItem>
</file>

<file path=customXml/itemProps2.xml><?xml version="1.0" encoding="utf-8"?>
<ds:datastoreItem xmlns:ds="http://schemas.openxmlformats.org/officeDocument/2006/customXml" ds:itemID="{377721D2-088E-4DC9-96BB-14A5DDFCFD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8c84e0-b3b8-489c-bce2-5533f6d122eb"/>
    <ds:schemaRef ds:uri="18d7e1cc-278b-4f2a-8d1f-a06cba17f9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4.xml><?xml version="1.0" encoding="utf-8"?>
<ds:datastoreItem xmlns:ds="http://schemas.openxmlformats.org/officeDocument/2006/customXml" ds:itemID="{15E74F33-4F82-44B6-93FD-17F18EC6E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2944</Words>
  <Characters>16781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19686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3</cp:revision>
  <cp:lastPrinted>2016-07-16T14:25:00Z</cp:lastPrinted>
  <dcterms:created xsi:type="dcterms:W3CDTF">2021-02-12T17:07:00Z</dcterms:created>
  <dcterms:modified xsi:type="dcterms:W3CDTF">2021-05-27T17:39:00Z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0x01010022455B7D1C74A84590B9AEEC4749A4EE</vt:lpwstr>
  </property>
</Properties>
</file>