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5CD0B8E" w14:textId="77777777" w:rsidR="00174F2A" w:rsidRDefault="00174F2A" w:rsidP="005C5DDE">
      <w:pPr>
        <w:pStyle w:val="MGTHeader"/>
        <w:rPr>
          <w:shd w:val="clear" w:color="auto" w:fill="F5F5F5"/>
        </w:rPr>
      </w:pPr>
      <w:r>
        <w:rPr>
          <w:shd w:val="clear" w:color="auto" w:fill="F5F5F5"/>
        </w:rPr>
        <w:t>Goal 3: Ensure healthy lives and promote well-being for all at all ages</w:t>
      </w:r>
    </w:p>
    <w:p w14:paraId="084142D2" w14:textId="4D24BF55" w:rsidR="00D24330" w:rsidRPr="00A96255" w:rsidRDefault="00D24330" w:rsidP="00D24330">
      <w:pPr>
        <w:pStyle w:val="MIndHeader"/>
      </w:pPr>
      <w:r w:rsidRPr="00A96255">
        <w:t>0.b. Target</w:t>
      </w:r>
    </w:p>
    <w:p w14:paraId="55CE5CD2" w14:textId="77777777" w:rsidR="00174F2A" w:rsidRDefault="00174F2A" w:rsidP="005C5DDE">
      <w:pPr>
        <w:pStyle w:val="MGTHeader"/>
        <w:rPr>
          <w:rStyle w:val="eop"/>
          <w:rFonts w:ascii="Calibri" w:hAnsi="Calibri" w:cs="Calibri"/>
        </w:rPr>
      </w:pPr>
      <w:r>
        <w:rPr>
          <w:rStyle w:val="normaltextrun"/>
          <w:rFonts w:ascii="Calibri" w:hAnsi="Calibri" w:cs="Calibri"/>
        </w:rPr>
        <w:t>Target 3.6: By 2020, halve the number of global deaths and injuries from road traffic accidents</w:t>
      </w:r>
      <w:r>
        <w:rPr>
          <w:rStyle w:val="eop"/>
          <w:rFonts w:ascii="Calibri" w:hAnsi="Calibri" w:cs="Calibri"/>
        </w:rPr>
        <w:t> </w:t>
      </w:r>
    </w:p>
    <w:p w14:paraId="3E67E7E0" w14:textId="1E62F7EF" w:rsidR="00D24330" w:rsidRPr="00A96255" w:rsidRDefault="00D24330" w:rsidP="00D24330">
      <w:pPr>
        <w:pStyle w:val="MIndHeader"/>
      </w:pPr>
      <w:r w:rsidRPr="00A96255">
        <w:t>0.c. Indicator</w:t>
      </w:r>
    </w:p>
    <w:p w14:paraId="7B512063" w14:textId="77777777" w:rsidR="00174F2A" w:rsidRDefault="00174F2A" w:rsidP="005C5DDE">
      <w:pPr>
        <w:pStyle w:val="MGTHeader"/>
      </w:pPr>
      <w:r w:rsidRPr="00174F2A">
        <w:t xml:space="preserve">Indicator 3.6.1: Death rate due to road traffic injuries </w:t>
      </w:r>
    </w:p>
    <w:p w14:paraId="37E5E4F6" w14:textId="12F27A79" w:rsidR="00D24330" w:rsidRPr="00A96255" w:rsidRDefault="00D24330" w:rsidP="00D24330">
      <w:pPr>
        <w:pStyle w:val="MIndHeader"/>
      </w:pPr>
      <w:r w:rsidRPr="00A96255">
        <w:t>0.d. Series</w:t>
      </w:r>
    </w:p>
    <w:p w14:paraId="771888BA" w14:textId="5C0FB97D" w:rsidR="00D24330" w:rsidRPr="00A96255" w:rsidRDefault="00D24330" w:rsidP="00D24330">
      <w:pPr>
        <w:pStyle w:val="MGTHeader"/>
      </w:pPr>
    </w:p>
    <w:p w14:paraId="157DACE7" w14:textId="77777777" w:rsidR="00D24330" w:rsidRPr="00A96255" w:rsidRDefault="00D24330" w:rsidP="00D24330">
      <w:pPr>
        <w:pStyle w:val="MIndHeader"/>
      </w:pPr>
      <w:r w:rsidRPr="00A96255">
        <w:t>0.e. Metadata update</w:t>
      </w:r>
    </w:p>
    <w:p w14:paraId="03424B60" w14:textId="624BDB7B" w:rsidR="00D24330" w:rsidRPr="005C5DDE" w:rsidRDefault="00171E6E" w:rsidP="005C5DDE">
      <w:pPr>
        <w:pStyle w:val="MGTHeader"/>
      </w:pPr>
      <w:r>
        <w:t>March 2021</w:t>
      </w:r>
    </w:p>
    <w:p w14:paraId="415C9FF1" w14:textId="77777777" w:rsidR="00D24330" w:rsidRPr="00A96255" w:rsidRDefault="00D24330" w:rsidP="00D24330">
      <w:pPr>
        <w:pStyle w:val="MIndHeader"/>
      </w:pPr>
      <w:r w:rsidRPr="00A96255">
        <w:t>0.f. Related indicators</w:t>
      </w:r>
    </w:p>
    <w:p w14:paraId="60F17685" w14:textId="77777777" w:rsidR="00844A54" w:rsidRDefault="00844A54" w:rsidP="005C5DDE">
      <w:pPr>
        <w:pStyle w:val="MGTHeader"/>
        <w:rPr>
          <w:rStyle w:val="eop"/>
          <w:rFonts w:ascii="Calibri" w:hAnsi="Calibri" w:cs="Calibri"/>
          <w:color w:val="4A4A4A"/>
        </w:rPr>
      </w:pPr>
      <w:r>
        <w:rPr>
          <w:rStyle w:val="normaltextrun"/>
          <w:rFonts w:ascii="Calibri" w:hAnsi="Calibri" w:cs="Calibri"/>
          <w:color w:val="4A4A4A"/>
        </w:rPr>
        <w:t>3.5, 11.2</w:t>
      </w:r>
      <w:r>
        <w:rPr>
          <w:rStyle w:val="eop"/>
          <w:rFonts w:ascii="Calibri" w:hAnsi="Calibri" w:cs="Calibri"/>
          <w:color w:val="4A4A4A"/>
        </w:rPr>
        <w:t> </w:t>
      </w:r>
    </w:p>
    <w:p w14:paraId="077BC49E" w14:textId="361BBB69" w:rsidR="00D24330" w:rsidRPr="00A96255" w:rsidRDefault="00D24330" w:rsidP="00D24330">
      <w:pPr>
        <w:pStyle w:val="MIndHeader"/>
      </w:pPr>
      <w:r w:rsidRPr="00A96255">
        <w:t>0.g. International organisations(s) responsible for global monitoring</w:t>
      </w:r>
    </w:p>
    <w:p w14:paraId="19F29921" w14:textId="1739CD60" w:rsidR="008D1D39" w:rsidRPr="005C5DDE" w:rsidRDefault="00174F2A" w:rsidP="005C5DDE">
      <w:pPr>
        <w:pStyle w:val="MGTHeader"/>
        <w:rPr>
          <w:rStyle w:val="eop"/>
        </w:rPr>
      </w:pPr>
      <w:r w:rsidRPr="005C5DDE">
        <w:rPr>
          <w:rStyle w:val="normaltextrun"/>
        </w:rPr>
        <w:t>World Health Organization (WHO)</w:t>
      </w:r>
      <w:r w:rsidRPr="005C5DDE">
        <w:rPr>
          <w:rStyle w:val="eop"/>
        </w:rPr>
        <w:t> </w:t>
      </w:r>
    </w:p>
    <w:p w14:paraId="1F88A755" w14:textId="77777777" w:rsidR="00174F2A" w:rsidRPr="00A96255" w:rsidRDefault="00174F2A"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6E829FD0" w14:textId="124E8D40" w:rsidR="00F719A8" w:rsidRDefault="00174F2A" w:rsidP="00576CFA">
      <w:pPr>
        <w:pStyle w:val="MText"/>
        <w:rPr>
          <w:rStyle w:val="eop"/>
          <w:rFonts w:ascii="Calibri" w:hAnsi="Calibri" w:cs="Calibri"/>
        </w:rPr>
      </w:pPr>
      <w:r>
        <w:rPr>
          <w:rStyle w:val="normaltextrun"/>
          <w:rFonts w:ascii="Calibri" w:hAnsi="Calibri" w:cs="Calibri"/>
        </w:rPr>
        <w:t>World Health Organization (WHO)</w:t>
      </w:r>
      <w:r>
        <w:rPr>
          <w:rStyle w:val="eop"/>
          <w:rFonts w:ascii="Calibri" w:hAnsi="Calibri" w:cs="Calibri"/>
        </w:rPr>
        <w:t> </w:t>
      </w:r>
    </w:p>
    <w:p w14:paraId="6A8D9A21" w14:textId="77777777" w:rsidR="00174F2A" w:rsidRDefault="00174F2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13E8E2F"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r>
        <w:rPr>
          <w:rStyle w:val="eop"/>
          <w:rFonts w:ascii="Calibri" w:hAnsi="Calibri" w:cs="Calibri"/>
          <w:color w:val="4A4A4A"/>
          <w:sz w:val="21"/>
          <w:szCs w:val="21"/>
        </w:rPr>
        <w:t> </w:t>
      </w:r>
    </w:p>
    <w:p w14:paraId="47E16CAD"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E130D41"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Death rate due to road traffic injuries as defined as the number of road traffic fatal injury deaths per 100,000 population.</w:t>
      </w:r>
      <w:r>
        <w:rPr>
          <w:rStyle w:val="eop"/>
          <w:rFonts w:ascii="Calibri" w:hAnsi="Calibri" w:cs="Calibri"/>
          <w:color w:val="4A4A4A"/>
          <w:sz w:val="21"/>
          <w:szCs w:val="21"/>
        </w:rPr>
        <w:t> </w:t>
      </w:r>
    </w:p>
    <w:p w14:paraId="2BF0396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9D5EBA5"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Concepts:</w:t>
      </w:r>
      <w:r>
        <w:rPr>
          <w:rStyle w:val="eop"/>
          <w:rFonts w:ascii="Calibri" w:hAnsi="Calibri" w:cs="Calibri"/>
          <w:color w:val="4A4A4A"/>
          <w:sz w:val="21"/>
          <w:szCs w:val="21"/>
        </w:rPr>
        <w:t> </w:t>
      </w:r>
    </w:p>
    <w:p w14:paraId="5EBDF5A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884EF6A"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Numerator: Number of deaths due to road traffic crashes</w:t>
      </w:r>
      <w:r>
        <w:rPr>
          <w:rStyle w:val="eop"/>
          <w:rFonts w:ascii="Calibri" w:hAnsi="Calibri" w:cs="Calibri"/>
          <w:color w:val="4A4A4A"/>
          <w:sz w:val="21"/>
          <w:szCs w:val="21"/>
        </w:rPr>
        <w:t> </w:t>
      </w:r>
    </w:p>
    <w:p w14:paraId="5EE18BC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DBB2137"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Absolute figure indicating the number of people who die </w:t>
      </w:r>
      <w:proofErr w:type="gramStart"/>
      <w:r>
        <w:rPr>
          <w:rStyle w:val="normaltextrun"/>
          <w:rFonts w:ascii="Calibri" w:hAnsi="Calibri" w:cs="Calibri"/>
          <w:color w:val="4A4A4A"/>
          <w:sz w:val="21"/>
          <w:szCs w:val="21"/>
          <w:lang w:val="en-GB"/>
        </w:rPr>
        <w:t>as a result of</w:t>
      </w:r>
      <w:proofErr w:type="gramEnd"/>
      <w:r>
        <w:rPr>
          <w:rStyle w:val="normaltextrun"/>
          <w:rFonts w:ascii="Calibri" w:hAnsi="Calibri" w:cs="Calibri"/>
          <w:color w:val="4A4A4A"/>
          <w:sz w:val="21"/>
          <w:szCs w:val="21"/>
          <w:lang w:val="en-GB"/>
        </w:rPr>
        <w:t> a road traffic crash.</w:t>
      </w:r>
      <w:r>
        <w:rPr>
          <w:rStyle w:val="eop"/>
          <w:rFonts w:ascii="Calibri" w:hAnsi="Calibri" w:cs="Calibri"/>
          <w:color w:val="4A4A4A"/>
          <w:sz w:val="21"/>
          <w:szCs w:val="21"/>
        </w:rPr>
        <w:t> </w:t>
      </w:r>
    </w:p>
    <w:p w14:paraId="5EF5F400"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C9E869C"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Denominator: Population (number of people by country)</w:t>
      </w:r>
      <w:r>
        <w:rPr>
          <w:rStyle w:val="eop"/>
          <w:rFonts w:ascii="Calibri" w:hAnsi="Calibri" w:cs="Calibri"/>
          <w:color w:val="4A4A4A"/>
          <w:sz w:val="21"/>
          <w:szCs w:val="21"/>
        </w:rPr>
        <w:t> </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257567F9" w14:textId="77777777" w:rsidR="00F7157F" w:rsidRDefault="00F7157F" w:rsidP="00F7157F">
      <w:pPr>
        <w:pStyle w:val="MText"/>
      </w:pPr>
      <w:r>
        <w:lastRenderedPageBreak/>
        <w:t xml:space="preserve">Rate per 100 000 population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57AF349D" w:rsidR="00EC2915" w:rsidRDefault="000A0FAA" w:rsidP="00576CFA">
      <w:pPr>
        <w:pStyle w:val="MText"/>
      </w:pPr>
      <w:r>
        <w:t>Road injuries</w:t>
      </w:r>
      <w:r w:rsidR="00F7157F" w:rsidRPr="00F7157F">
        <w:t xml:space="preserve"> are defined in terms of the International Classification of Diseases, Tenth Revision (ICD-10) (</w:t>
      </w:r>
      <w:r>
        <w:t>See Annex A of the</w:t>
      </w:r>
      <w:r w:rsidRPr="000A0FAA">
        <w:t xml:space="preserve"> WHO methods and data sources for global causes of death, 2000–2019</w:t>
      </w:r>
      <w:r>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2C64969"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 the road traffic </w:t>
      </w:r>
      <w:proofErr w:type="gramStart"/>
      <w:r>
        <w:rPr>
          <w:rStyle w:val="normaltextrun"/>
          <w:rFonts w:ascii="Calibri" w:hAnsi="Calibri" w:cs="Calibri"/>
          <w:color w:val="4A4A4A"/>
          <w:sz w:val="21"/>
          <w:szCs w:val="21"/>
          <w:lang w:val="en-GB"/>
        </w:rPr>
        <w:t>deaths</w:t>
      </w:r>
      <w:proofErr w:type="gramEnd"/>
      <w:r>
        <w:rPr>
          <w:rStyle w:val="normaltextrun"/>
          <w:rFonts w:ascii="Calibri" w:hAnsi="Calibri" w:cs="Calibri"/>
          <w:color w:val="4A4A4A"/>
          <w:sz w:val="21"/>
          <w:szCs w:val="21"/>
          <w:lang w:val="en-GB"/>
        </w:rPr>
        <w:t xml:space="preserve"> we have two sources of data. Data from Global Status Report on Road Safety survey and Vital registration or certificate deaths data that WHO receive every year from member states (ministries of health).</w:t>
      </w:r>
      <w:r>
        <w:rPr>
          <w:rStyle w:val="eop"/>
          <w:rFonts w:ascii="Calibri" w:hAnsi="Calibri" w:cs="Calibri"/>
          <w:color w:val="4A4A4A"/>
          <w:sz w:val="21"/>
          <w:szCs w:val="21"/>
        </w:rPr>
        <w:t> </w:t>
      </w:r>
    </w:p>
    <w:p w14:paraId="2BFB14D7"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A5B51D2"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the population, we used data from the United Nations / Department of Economic and Social Affairs/ Population division.</w:t>
      </w:r>
      <w:r>
        <w:rPr>
          <w:rStyle w:val="eop"/>
          <w:rFonts w:ascii="Calibri" w:hAnsi="Calibri" w:cs="Calibri"/>
          <w:color w:val="4A4A4A"/>
          <w:sz w:val="21"/>
          <w:szCs w:val="21"/>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43DD0CAC" w:rsidR="00576CFA" w:rsidRPr="00A96255" w:rsidRDefault="00174F2A" w:rsidP="00576CFA">
      <w:pPr>
        <w:pStyle w:val="MText"/>
      </w:pPr>
      <w:r>
        <w:rPr>
          <w:rStyle w:val="normaltextrun"/>
          <w:rFonts w:ascii="Calibri" w:hAnsi="Calibri" w:cs="Calibri"/>
        </w:rPr>
        <w:t>The methodology involved collecting data from </w:t>
      </w:r>
      <w:proofErr w:type="gramStart"/>
      <w:r>
        <w:rPr>
          <w:rStyle w:val="normaltextrun"/>
          <w:rFonts w:ascii="Calibri" w:hAnsi="Calibri" w:cs="Calibri"/>
        </w:rPr>
        <w:t>a number of</w:t>
      </w:r>
      <w:proofErr w:type="gramEnd"/>
      <w:r>
        <w:rPr>
          <w:rStyle w:val="normaltextrun"/>
          <w:rFonts w:ascii="Calibri" w:hAnsi="Calibri" w:cs="Calibri"/>
        </w:rPr>
        <w:t> different sectors and stakeholders in each country is as follows. National Data Coordinators (NDCs), who were nominated by their governments, were trained in the project methodology. As representatives of their ministries, they were required to identify up to eight other road safety experts within their country from different sectors (e.g. health, police, transport, nongovernmental organizations and/or academia) and to facilitate a consensus meeting of these respondents. While each expert responded to the questionnaire based on their expertise, the consensus meeting facilitated by NDCs allowed for discussion of all responses, and the group used this discussion to agree on one final set of information that best represented their country’s situation at the time (</w:t>
      </w:r>
      <w:r w:rsidRPr="003F61CA">
        <w:rPr>
          <w:rStyle w:val="normaltextrun"/>
          <w:rFonts w:ascii="Calibri" w:hAnsi="Calibri" w:cs="Calibri"/>
        </w:rPr>
        <w:t>up to 2014,</w:t>
      </w:r>
      <w:r>
        <w:rPr>
          <w:rStyle w:val="normaltextrun"/>
          <w:rFonts w:ascii="Calibri" w:hAnsi="Calibri" w:cs="Calibri"/>
        </w:rPr>
        <w:t xml:space="preserve"> using the most recent data available). This was then submitted to the World Health Organization (WHO). More details are in the Global Status Report on Road Safety 201</w:t>
      </w:r>
      <w:r w:rsidR="00F7157F">
        <w:rPr>
          <w:rStyle w:val="normaltextrun"/>
          <w:rFonts w:ascii="Calibri" w:hAnsi="Calibri" w:cs="Calibri"/>
        </w:rPr>
        <w:t xml:space="preserve">8 and </w:t>
      </w:r>
      <w:r w:rsidR="000A0FAA">
        <w:rPr>
          <w:rStyle w:val="normaltextrun"/>
          <w:rFonts w:ascii="Calibri" w:hAnsi="Calibri" w:cs="Calibri"/>
        </w:rPr>
        <w:t xml:space="preserve">the </w:t>
      </w:r>
      <w:r w:rsidR="000A0FAA" w:rsidRPr="000A0FAA">
        <w:rPr>
          <w:rStyle w:val="normaltextrun"/>
          <w:rFonts w:ascii="Calibri" w:hAnsi="Calibri" w:cs="Calibri"/>
        </w:rPr>
        <w:t>WHO methods and data sources for global causes of death, 2000–2019</w:t>
      </w:r>
      <w:r w:rsidR="00F7157F">
        <w:rPr>
          <w:rStyle w:val="normaltextrun"/>
          <w:rFonts w:ascii="Calibri" w:hAnsi="Calibri" w:cs="Calibri"/>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50E01245" w14:textId="3F29B224" w:rsidR="00171E6E" w:rsidRDefault="00F7157F" w:rsidP="00576CFA">
      <w:pPr>
        <w:pStyle w:val="MText"/>
        <w:rPr>
          <w:rStyle w:val="normaltextrun"/>
          <w:rFonts w:ascii="Calibri" w:hAnsi="Calibri" w:cs="Calibri"/>
        </w:rPr>
      </w:pPr>
      <w:r>
        <w:rPr>
          <w:rStyle w:val="normaltextrun"/>
          <w:rFonts w:ascii="Calibri" w:hAnsi="Calibri" w:cs="Calibri"/>
        </w:rPr>
        <w:t>WHO annually requests tabulated death registration data (including all causes of death) from Member States. Countries may submit annual cause-of-death statistics to WHO on an ongoing basis</w:t>
      </w:r>
      <w:r w:rsidR="00171E6E">
        <w:rPr>
          <w:rStyle w:val="normaltextrun"/>
          <w:rFonts w:ascii="Calibri" w:hAnsi="Calibri" w:cs="Calibri"/>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49EBF183" w:rsidR="00EC2915" w:rsidRDefault="00F7157F" w:rsidP="00576CFA">
      <w:pPr>
        <w:pStyle w:val="MText"/>
        <w:rPr>
          <w:rStyle w:val="eop"/>
          <w:rFonts w:ascii="Calibri" w:hAnsi="Calibri" w:cs="Calibri"/>
        </w:rPr>
      </w:pPr>
      <w:r>
        <w:rPr>
          <w:rStyle w:val="normaltextrun"/>
          <w:rFonts w:ascii="Calibri" w:hAnsi="Calibri" w:cs="Calibri"/>
        </w:rPr>
        <w:t>End of 2020</w:t>
      </w:r>
    </w:p>
    <w:p w14:paraId="2185FCAB" w14:textId="77777777" w:rsidR="00844A54" w:rsidRPr="00A96255" w:rsidRDefault="00844A54" w:rsidP="00576CFA">
      <w:pPr>
        <w:pStyle w:val="MText"/>
      </w:pPr>
    </w:p>
    <w:p w14:paraId="3A4F3065" w14:textId="3AD52F9D" w:rsidR="00E46D96" w:rsidRPr="00A96255" w:rsidRDefault="00E46D96" w:rsidP="00F719A8">
      <w:pPr>
        <w:pStyle w:val="MHeader2"/>
      </w:pPr>
      <w:r w:rsidRPr="00A96255">
        <w:t>3.e. Data providers</w:t>
      </w:r>
    </w:p>
    <w:p w14:paraId="50A66E64" w14:textId="7B9D07AD" w:rsidR="00EC2915" w:rsidRDefault="00844A54" w:rsidP="00576CFA">
      <w:pPr>
        <w:pStyle w:val="MText"/>
        <w:rPr>
          <w:rStyle w:val="eop"/>
          <w:rFonts w:ascii="Calibri" w:hAnsi="Calibri" w:cs="Calibri"/>
        </w:rPr>
      </w:pPr>
      <w:r>
        <w:rPr>
          <w:rStyle w:val="normaltextrun"/>
          <w:rFonts w:ascii="Calibri" w:hAnsi="Calibri" w:cs="Calibri"/>
        </w:rPr>
        <w:t>The road traffic deaths data were provided nationally by mainly three ministries, namely, ministry of health, ministry of interior and ministry of transport</w:t>
      </w:r>
      <w:r w:rsidR="00171E6E">
        <w:rPr>
          <w:rStyle w:val="eop"/>
          <w:rFonts w:ascii="Calibri" w:hAnsi="Calibri" w:cs="Calibri"/>
        </w:rPr>
        <w:t>.</w:t>
      </w:r>
    </w:p>
    <w:p w14:paraId="101259FE" w14:textId="77777777" w:rsidR="00844A54" w:rsidRPr="00A96255" w:rsidRDefault="00844A54" w:rsidP="00576CFA">
      <w:pPr>
        <w:pStyle w:val="MText"/>
      </w:pPr>
    </w:p>
    <w:p w14:paraId="30DC8E05" w14:textId="484D6EC2" w:rsidR="00E46D96" w:rsidRPr="00A96255" w:rsidRDefault="00E46D96" w:rsidP="00F719A8">
      <w:pPr>
        <w:pStyle w:val="MHeader2"/>
      </w:pPr>
      <w:r w:rsidRPr="00A96255">
        <w:t>3.f. Data compilers</w:t>
      </w:r>
    </w:p>
    <w:p w14:paraId="5C43435B" w14:textId="523C76ED" w:rsidR="00EC2915" w:rsidRDefault="00844A54" w:rsidP="00576CFA">
      <w:pPr>
        <w:pStyle w:val="MText"/>
        <w:rPr>
          <w:rStyle w:val="eop"/>
          <w:rFonts w:ascii="Calibri" w:hAnsi="Calibri" w:cs="Calibri"/>
        </w:rPr>
      </w:pPr>
      <w:r>
        <w:rPr>
          <w:rStyle w:val="normaltextrun"/>
          <w:rFonts w:ascii="Calibri" w:hAnsi="Calibri" w:cs="Calibri"/>
        </w:rPr>
        <w:t>WHO is the organization responsible for compilation and reporting on this indicator at the global </w:t>
      </w:r>
      <w:proofErr w:type="gramStart"/>
      <w:r>
        <w:rPr>
          <w:rStyle w:val="normaltextrun"/>
          <w:rFonts w:ascii="Calibri" w:hAnsi="Calibri" w:cs="Calibri"/>
        </w:rPr>
        <w:t>level</w:t>
      </w:r>
      <w:r w:rsidR="00171E6E">
        <w:rPr>
          <w:rStyle w:val="eop"/>
          <w:rFonts w:ascii="Calibri" w:hAnsi="Calibri" w:cs="Calibri"/>
        </w:rPr>
        <w:t>.</w:t>
      </w:r>
      <w:proofErr w:type="gramEnd"/>
    </w:p>
    <w:p w14:paraId="184E9EFD" w14:textId="77777777" w:rsidR="00844A54" w:rsidRPr="00A96255" w:rsidRDefault="00844A54" w:rsidP="00576CFA">
      <w:pPr>
        <w:pStyle w:val="MText"/>
      </w:pPr>
    </w:p>
    <w:p w14:paraId="5655E768" w14:textId="5429F32E" w:rsidR="00E46D96" w:rsidRPr="00A96255" w:rsidRDefault="00E46D96" w:rsidP="00F719A8">
      <w:pPr>
        <w:pStyle w:val="MHeader2"/>
      </w:pPr>
      <w:r w:rsidRPr="00A96255">
        <w:lastRenderedPageBreak/>
        <w:t>3.g. Institutional mandate</w:t>
      </w:r>
    </w:p>
    <w:p w14:paraId="0D826C6E" w14:textId="77777777" w:rsidR="00F7157F" w:rsidRDefault="00F7157F" w:rsidP="00F7157F">
      <w:pPr>
        <w:pStyle w:val="MText"/>
      </w:pPr>
      <w:r>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740DF5D4"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0C869536" w:rsidR="00576CFA" w:rsidRPr="00A96255" w:rsidRDefault="003F61CA" w:rsidP="00576CFA">
      <w:pPr>
        <w:pStyle w:val="MText"/>
      </w:pPr>
      <w:r>
        <w:t>R</w:t>
      </w:r>
      <w:r w:rsidRPr="003F61CA">
        <w:t>oad traffic injuries remain an important public health problem, particularly for low-income and middle-income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446D3B1B" w14:textId="6427297E"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There are no vital registration data for all countries to make comparison against the data received on the survey. Also we cannot collect road traffic data every year using this methodology outlined in the Global status report.</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DF77279" w14:textId="77777777"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28EF59CF" w14:textId="77777777"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155297A" w14:textId="220D0012"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sidR="00AC49E8">
        <w:rPr>
          <w:rStyle w:val="normaltextrun"/>
          <w:rFonts w:ascii="Calibri" w:hAnsi="Calibri" w:cs="Calibri"/>
          <w:color w:val="4A4A4A"/>
          <w:sz w:val="21"/>
          <w:szCs w:val="21"/>
          <w:lang w:val="en-GB"/>
        </w:rPr>
        <w:t>,</w:t>
      </w:r>
      <w:r w:rsidR="00AC49E8" w:rsidRPr="009F0547">
        <w:rPr>
          <w:rStyle w:val="normaltextrun"/>
          <w:rFonts w:ascii="Calibri" w:hAnsi="Calibri" w:cs="Calibri"/>
          <w:color w:val="4A4A4A"/>
          <w:sz w:val="21"/>
          <w:szCs w:val="21"/>
          <w:lang w:val="en-GB"/>
        </w:rPr>
        <w:t xml:space="preserve"> </w:t>
      </w:r>
      <w:r w:rsidR="00AC49E8">
        <w:rPr>
          <w:rStyle w:val="normaltextrun"/>
          <w:rFonts w:ascii="Calibri" w:hAnsi="Calibri" w:cs="Calibri"/>
          <w:color w:val="4A4A4A"/>
          <w:sz w:val="21"/>
          <w:szCs w:val="21"/>
          <w:lang w:val="en-GB"/>
        </w:rPr>
        <w:t>unknown age and sex,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3B24E78A" w14:textId="77777777" w:rsidR="00F7157F" w:rsidRDefault="00F7157F" w:rsidP="00F7157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0516CFEF" w14:textId="5733C9BB" w:rsidR="00171E6E" w:rsidRDefault="00F7157F" w:rsidP="00576CFA">
      <w:pPr>
        <w:pStyle w:val="MText"/>
        <w:rPr>
          <w:rStyle w:val="normaltextrun"/>
          <w:rFonts w:ascii="Calibri" w:hAnsi="Calibri" w:cs="Calibri"/>
        </w:rPr>
      </w:pPr>
      <w:r>
        <w:rPr>
          <w:rStyle w:val="normaltextrun"/>
          <w:rFonts w:ascii="Calibri" w:hAnsi="Calibri" w:cs="Calibri"/>
        </w:rPr>
        <w:t>For countries without high-quality death registration data, cause of death estimates </w:t>
      </w:r>
      <w:proofErr w:type="gramStart"/>
      <w:r>
        <w:rPr>
          <w:rStyle w:val="normaltextrun"/>
          <w:rFonts w:ascii="Calibri" w:hAnsi="Calibri" w:cs="Calibri"/>
        </w:rPr>
        <w:t>are</w:t>
      </w:r>
      <w:proofErr w:type="gramEnd"/>
      <w:r>
        <w:rPr>
          <w:rStyle w:val="normaltextrun"/>
          <w:rFonts w:ascii="Calibri" w:hAnsi="Calibri" w:cs="Calibri"/>
        </w:rPr>
        <w:t> calculated using other data, including household surveys with verbal autopsy, sample or sentinel registration systems, special studies</w:t>
      </w:r>
      <w:r w:rsidR="00171E6E">
        <w:rPr>
          <w:rStyle w:val="normaltextrun"/>
          <w:rFonts w:ascii="Calibri" w:hAnsi="Calibri" w:cs="Calibri"/>
        </w:rPr>
        <w: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7C0CB1BB" w14:textId="41CA4B3D" w:rsidR="00F7157F" w:rsidRDefault="00F7157F" w:rsidP="00171E6E">
      <w:pPr>
        <w:pStyle w:val="MText"/>
      </w:pPr>
      <w:r>
        <w:t xml:space="preserve">The number of deaths due to road injury were country consulted </w:t>
      </w:r>
      <w:bookmarkStart w:id="6" w:name="_Hlk63165189"/>
      <w:r>
        <w:t xml:space="preserve">with country designated focal points (usually at the Ministry of Health or National Statistics Office) </w:t>
      </w:r>
      <w:bookmarkEnd w:id="6"/>
      <w:r>
        <w:t>as part of the full set of causes of death prior to the release.</w:t>
      </w:r>
    </w:p>
    <w:p w14:paraId="0025F830" w14:textId="213E01E2"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6A3273B" w:rsidR="00576CFA" w:rsidRPr="00A96255" w:rsidRDefault="003F61CA" w:rsidP="00576CFA">
      <w:pPr>
        <w:pStyle w:val="MText"/>
      </w:pPr>
      <w:r w:rsidRPr="003F61CA">
        <w:t>Deaths of unknown sex were redistributed pro-rata within cause-age groups of known sexes, and then deaths of unknown age were redistributed pro-rata within cause-sex groups of known ages.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71DBA937" w14:textId="5D57066A" w:rsidR="00174F2A" w:rsidRPr="005C5DDE" w:rsidRDefault="00174F2A" w:rsidP="005C5DDE">
      <w:pPr>
        <w:pStyle w:val="paragraph"/>
        <w:numPr>
          <w:ilvl w:val="0"/>
          <w:numId w:val="5"/>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country level</w:t>
      </w:r>
      <w:r>
        <w:rPr>
          <w:rStyle w:val="eop"/>
          <w:rFonts w:ascii="Calibri" w:hAnsi="Calibri" w:cs="Calibri"/>
          <w:color w:val="1C75BC"/>
          <w:sz w:val="21"/>
          <w:szCs w:val="21"/>
        </w:rPr>
        <w:t> </w:t>
      </w:r>
    </w:p>
    <w:p w14:paraId="41CBCD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2C2F0D8C" w14:textId="51C1F7B6" w:rsidR="00F7157F" w:rsidRDefault="00F7157F" w:rsidP="00F7157F">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2427890F" w14:textId="77777777" w:rsidR="00F7157F" w:rsidRPr="00D2710B" w:rsidRDefault="00F7157F" w:rsidP="00F7157F">
      <w:pPr>
        <w:pStyle w:val="paragraph"/>
        <w:shd w:val="clear" w:color="auto" w:fill="FFFFFF"/>
        <w:spacing w:before="0" w:beforeAutospacing="0" w:after="0" w:afterAutospacing="0"/>
        <w:ind w:left="495"/>
        <w:textAlignment w:val="baseline"/>
        <w:rPr>
          <w:rStyle w:val="MTextChar"/>
        </w:rPr>
      </w:pPr>
      <w:r>
        <w:rPr>
          <w:rStyle w:val="normaltextrun"/>
          <w:rFonts w:ascii="Calibri" w:hAnsi="Calibri" w:cs="Calibri"/>
          <w:color w:val="4A4A4A"/>
          <w:sz w:val="21"/>
          <w:szCs w:val="21"/>
          <w:lang w:val="en-GB"/>
        </w:rPr>
        <w:t xml:space="preserve">WHO methods </w:t>
      </w:r>
      <w:r w:rsidRPr="00D2710B">
        <w:rPr>
          <w:rStyle w:val="MTextChar"/>
        </w:rPr>
        <w:t>and data sources for global causes of death, 2000–2019 (</w:t>
      </w:r>
      <w:proofErr w:type="gramStart"/>
      <w:r w:rsidRPr="00D2710B">
        <w:rPr>
          <w:rStyle w:val="MTextChar"/>
        </w:rPr>
        <w:t>https://www.who.int/docs/default-source/gho-documents/global-health-estimates/ghe2019_cod_methods.pdf</w:t>
      </w:r>
      <w:r w:rsidRPr="00D2710B" w:rsidDel="003B4864">
        <w:rPr>
          <w:rStyle w:val="MTextChar"/>
        </w:rPr>
        <w:t xml:space="preserve"> </w:t>
      </w:r>
      <w:r w:rsidRPr="00D2710B">
        <w:rPr>
          <w:rStyle w:val="MTextChar"/>
        </w:rPr>
        <w:t>)</w:t>
      </w:r>
      <w:proofErr w:type="gramEnd"/>
      <w:r w:rsidRPr="00D2710B">
        <w:rPr>
          <w:rStyle w:val="MTextChar"/>
        </w:rPr>
        <w:t> </w:t>
      </w:r>
    </w:p>
    <w:p w14:paraId="71F197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p>
    <w:p w14:paraId="4C00745B" w14:textId="77777777" w:rsidR="00174F2A" w:rsidRDefault="00174F2A"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72D04B38" w14:textId="450A5B43" w:rsidR="00174F2A" w:rsidRPr="005C5DDE" w:rsidRDefault="00174F2A" w:rsidP="005C5DDE">
      <w:pPr>
        <w:pStyle w:val="paragraph"/>
        <w:numPr>
          <w:ilvl w:val="0"/>
          <w:numId w:val="6"/>
        </w:numPr>
        <w:shd w:val="clear" w:color="auto" w:fill="FFFFFF"/>
        <w:spacing w:before="0" w:beforeAutospacing="0" w:after="0" w:afterAutospacing="0"/>
        <w:ind w:left="135" w:firstLine="0"/>
        <w:textAlignment w:val="baseline"/>
        <w:rPr>
          <w:sz w:val="21"/>
          <w:szCs w:val="21"/>
        </w:rPr>
      </w:pPr>
      <w:r>
        <w:rPr>
          <w:rStyle w:val="normaltextrun"/>
          <w:rFonts w:ascii="Calibri" w:hAnsi="Calibri" w:cs="Calibri"/>
          <w:color w:val="1C75BC"/>
          <w:sz w:val="21"/>
          <w:szCs w:val="21"/>
          <w:lang w:val="en-GB"/>
        </w:rPr>
        <w:t>At regional and global levels</w:t>
      </w:r>
      <w:r>
        <w:rPr>
          <w:rStyle w:val="eop"/>
          <w:rFonts w:ascii="Calibri" w:hAnsi="Calibri" w:cs="Calibri"/>
          <w:color w:val="1C75BC"/>
          <w:sz w:val="21"/>
          <w:szCs w:val="21"/>
        </w:rPr>
        <w:t> </w:t>
      </w:r>
    </w:p>
    <w:p w14:paraId="3BE2A618" w14:textId="428B5D92" w:rsidR="00174F2A" w:rsidRDefault="00F7157F" w:rsidP="00174F2A">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NA</w:t>
      </w:r>
    </w:p>
    <w:p w14:paraId="27033367" w14:textId="6E9E010C"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4D300A0F" w14:textId="77777777" w:rsidR="00171E6E" w:rsidRDefault="00F7157F" w:rsidP="00576CFA">
      <w:pPr>
        <w:pStyle w:val="MText"/>
        <w:rPr>
          <w:rStyle w:val="eop"/>
          <w:rFonts w:ascii="Calibri" w:hAnsi="Calibri" w:cs="Calibri"/>
        </w:rPr>
      </w:pPr>
      <w:r>
        <w:rPr>
          <w:rStyle w:val="normaltextrun"/>
          <w:rFonts w:ascii="Calibri" w:hAnsi="Calibri" w:cs="Calibri"/>
        </w:rPr>
        <w:t>Country estimates of number of deaths by cause are summed to obtain regional and global aggregates.</w:t>
      </w:r>
    </w:p>
    <w:p w14:paraId="2C463D6E" w14:textId="77777777" w:rsidR="00174F2A" w:rsidRPr="00A96255" w:rsidRDefault="00174F2A"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4E144736" w14:textId="3D44BEAE" w:rsidR="00F7157F" w:rsidRPr="00A96255" w:rsidRDefault="00F7157F" w:rsidP="00171E6E">
      <w:pPr>
        <w:pStyle w:val="MText"/>
      </w:pPr>
      <w:r>
        <w:t xml:space="preserve">The cause of death categories (including road injury) follow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42713897" w:rsidR="00EC2915" w:rsidRPr="00A96255" w:rsidRDefault="003F61CA" w:rsidP="00D2710B">
      <w:r w:rsidRPr="003F61CA">
        <w:rPr>
          <w:rFonts w:eastAsia="Times New Roman" w:cs="Times New Roman"/>
          <w:color w:val="4A4A4A"/>
          <w:sz w:val="21"/>
          <w:szCs w:val="21"/>
          <w:lang w:eastAsia="en-GB"/>
        </w:rPr>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r w:rsidR="00171E6E">
        <w:rPr>
          <w:rFonts w:eastAsia="Times New Roman" w:cs="Times New Roman"/>
          <w:color w:val="4A4A4A"/>
          <w:sz w:val="21"/>
          <w:szCs w:val="21"/>
          <w:lang w:eastAsia="en-GB"/>
        </w:rPr>
        <w:t>.</w:t>
      </w:r>
    </w:p>
    <w:p w14:paraId="17B979CA" w14:textId="449C0153" w:rsidR="00E1050F" w:rsidRPr="00A96255" w:rsidRDefault="00E1050F" w:rsidP="00F719A8">
      <w:pPr>
        <w:pStyle w:val="MHeader2"/>
      </w:pPr>
      <w:r w:rsidRPr="00A96255">
        <w:t>4.j Quality assurance</w:t>
      </w:r>
    </w:p>
    <w:p w14:paraId="03EF3244" w14:textId="6E4C2917" w:rsidR="00EC2915" w:rsidRPr="00A96255" w:rsidRDefault="003F61CA" w:rsidP="00D2710B">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34ADD322" w14:textId="1A21C057" w:rsidR="00E1050F" w:rsidRPr="00A96255" w:rsidRDefault="00576CFA" w:rsidP="00F719A8">
      <w:pPr>
        <w:pStyle w:val="MHeader2"/>
      </w:pPr>
      <w:r w:rsidRPr="00A96255">
        <w:t>4.k Qua</w:t>
      </w:r>
      <w:r w:rsidR="00E1050F" w:rsidRPr="00A96255">
        <w:t>lity assessment</w:t>
      </w:r>
    </w:p>
    <w:p w14:paraId="326EB0AB" w14:textId="076FB50D" w:rsidR="00576CFA" w:rsidRPr="00A96255" w:rsidRDefault="003F61CA" w:rsidP="00576CFA">
      <w:pPr>
        <w:pStyle w:val="MText"/>
      </w:pPr>
      <w:r w:rsidRPr="003F61CA">
        <w:t xml:space="preserve">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the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w:t>
      </w:r>
      <w:r w:rsidRPr="003F61CA">
        <w:lastRenderedPageBreak/>
        <w:t>the World Health Organization, the guidelines aim to define and promote good practice in reporting health estimates.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1F3AF5AD" w14:textId="4E0FFB4B" w:rsidR="00174F2A" w:rsidRPr="005C5DDE" w:rsidRDefault="00D51E7C" w:rsidP="00171E6E">
      <w:pPr>
        <w:pStyle w:val="MText"/>
      </w:pPr>
      <w:r w:rsidRPr="00844A54">
        <w:t>Data availability:</w:t>
      </w:r>
    </w:p>
    <w:p w14:paraId="347B9C79" w14:textId="4F807A42" w:rsidR="00F7157F" w:rsidRDefault="00F7157F" w:rsidP="00D2710B">
      <w:pPr>
        <w:pStyle w:val="MText"/>
        <w:rPr>
          <w:rStyle w:val="eop"/>
          <w:rFonts w:ascii="Calibri" w:hAnsi="Calibri" w:cs="Calibri"/>
        </w:rPr>
      </w:pPr>
      <w:r>
        <w:rPr>
          <w:rStyle w:val="normaltextrun"/>
          <w:rFonts w:ascii="Calibri" w:hAnsi="Calibri" w:cs="Calibri"/>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rPr>
        <w:t>all of</w:t>
      </w:r>
      <w:proofErr w:type="gramEnd"/>
      <w:r>
        <w:rPr>
          <w:rStyle w:val="normaltextrun"/>
          <w:rFonts w:ascii="Calibri" w:hAnsi="Calibri" w:cs="Calibri"/>
        </w:rPr>
        <w:t> its Member States (with a certain population threshold) every 3 years.</w:t>
      </w:r>
      <w:r>
        <w:rPr>
          <w:rStyle w:val="eop"/>
          <w:rFonts w:ascii="Calibri" w:hAnsi="Calibri" w:cs="Calibri"/>
        </w:rPr>
        <w:t> </w:t>
      </w:r>
    </w:p>
    <w:p w14:paraId="150C74F8" w14:textId="77777777" w:rsidR="00171E6E" w:rsidRDefault="00171E6E" w:rsidP="00D2710B">
      <w:pPr>
        <w:pStyle w:val="MText"/>
        <w:rPr>
          <w:rStyle w:val="normaltextrun"/>
          <w:rFonts w:ascii="Calibri" w:hAnsi="Calibri" w:cs="Calibri"/>
        </w:rPr>
      </w:pPr>
    </w:p>
    <w:p w14:paraId="26AA1906" w14:textId="52270FFE" w:rsidR="00171E6E" w:rsidRDefault="00171E6E" w:rsidP="00D2710B">
      <w:pPr>
        <w:pStyle w:val="MText"/>
        <w:rPr>
          <w:rStyle w:val="normaltextrun"/>
          <w:rFonts w:ascii="Calibri" w:hAnsi="Calibri" w:cs="Calibri"/>
        </w:rPr>
      </w:pPr>
      <w:r>
        <w:rPr>
          <w:rStyle w:val="normaltextrun"/>
          <w:rFonts w:ascii="Calibri" w:hAnsi="Calibri" w:cs="Calibri"/>
        </w:rPr>
        <w:t>Time series:</w:t>
      </w:r>
    </w:p>
    <w:p w14:paraId="37DD29B7" w14:textId="60F9FF23" w:rsidR="00844A54" w:rsidRDefault="00844A54" w:rsidP="00D2710B">
      <w:pPr>
        <w:pStyle w:val="MText"/>
        <w:rPr>
          <w:rFonts w:ascii="Segoe UI" w:hAnsi="Segoe UI" w:cs="Segoe UI"/>
          <w:sz w:val="18"/>
          <w:szCs w:val="18"/>
        </w:rPr>
      </w:pPr>
      <w:r>
        <w:rPr>
          <w:rStyle w:val="normaltextrun"/>
          <w:rFonts w:ascii="Calibri" w:hAnsi="Calibri" w:cs="Calibri"/>
        </w:rPr>
        <w:t>From 2000 to 201</w:t>
      </w:r>
      <w:r w:rsidR="00F7157F">
        <w:rPr>
          <w:rStyle w:val="eop"/>
          <w:rFonts w:ascii="Calibri" w:hAnsi="Calibri" w:cs="Calibri"/>
        </w:rPr>
        <w:t>9</w:t>
      </w:r>
    </w:p>
    <w:p w14:paraId="760C013A" w14:textId="76900ABD" w:rsidR="00D51E7C" w:rsidRPr="00C019E5" w:rsidRDefault="00D51E7C" w:rsidP="00171E6E">
      <w:pPr>
        <w:pStyle w:val="MText"/>
        <w:rPr>
          <w:highlight w:val="cyan"/>
        </w:rPr>
      </w:pPr>
    </w:p>
    <w:p w14:paraId="72C7C370" w14:textId="075C65BE" w:rsidR="00D51E7C" w:rsidRDefault="00D51E7C">
      <w:pPr>
        <w:pStyle w:val="MText"/>
      </w:pPr>
      <w:r w:rsidRPr="00174F2A">
        <w:t>Disaggregation:</w:t>
      </w:r>
    </w:p>
    <w:p w14:paraId="191A8A42" w14:textId="77777777" w:rsidR="00F7157F" w:rsidRDefault="00F7157F" w:rsidP="00F7157F">
      <w:pPr>
        <w:pStyle w:val="MText"/>
        <w:rPr>
          <w:rStyle w:val="eop"/>
          <w:rFonts w:ascii="Calibri" w:hAnsi="Calibri" w:cs="Calibri"/>
        </w:rPr>
      </w:pPr>
      <w:r>
        <w:rPr>
          <w:rStyle w:val="normaltextrun"/>
          <w:rFonts w:ascii="Calibri" w:hAnsi="Calibri" w:cs="Calibri"/>
        </w:rPr>
        <w:t>Sex, age group</w:t>
      </w:r>
      <w:r>
        <w:rPr>
          <w:rStyle w:val="eop"/>
          <w:rFonts w:ascii="Calibri" w:hAnsi="Calibri" w:cs="Calibri"/>
        </w:rPr>
        <w:t> </w:t>
      </w:r>
    </w:p>
    <w:p w14:paraId="750823AB" w14:textId="77777777" w:rsidR="00174F2A" w:rsidRDefault="00174F2A"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5A766FE5" w14:textId="16725D97" w:rsidR="00174F2A" w:rsidRPr="005C5DDE" w:rsidRDefault="00D51E7C" w:rsidP="005C5DDE">
      <w:pPr>
        <w:pStyle w:val="MText"/>
      </w:pPr>
      <w:r w:rsidRPr="00174F2A">
        <w:t>Sources of discrepancies:</w:t>
      </w:r>
    </w:p>
    <w:p w14:paraId="0CAF8EE5"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WHO's estimation of road traffic rates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in many countries, different to the official estimates for the reasons described above that relate to our methodology.</w:t>
      </w:r>
      <w:r>
        <w:rPr>
          <w:rStyle w:val="eop"/>
          <w:rFonts w:ascii="Calibri" w:hAnsi="Calibri" w:cs="Calibri"/>
          <w:color w:val="4A4A4A"/>
          <w:sz w:val="21"/>
          <w:szCs w:val="21"/>
        </w:rPr>
        <w:t> </w:t>
      </w:r>
    </w:p>
    <w:p w14:paraId="46098D7B"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7857A8D" w14:textId="77777777" w:rsidR="00174F2A" w:rsidRDefault="00174F2A" w:rsidP="00174F2A">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There are also differences in the data used for population between the national data and the estimates produced by the United Nations department of population.</w:t>
      </w:r>
      <w:r>
        <w:rPr>
          <w:rStyle w:val="eop"/>
          <w:rFonts w:ascii="Calibri" w:hAnsi="Calibri" w:cs="Calibri"/>
          <w:color w:val="4A4A4A"/>
          <w:sz w:val="21"/>
          <w:szCs w:val="21"/>
        </w:rPr>
        <w:t> </w:t>
      </w:r>
    </w:p>
    <w:p w14:paraId="5AB6DD91" w14:textId="531D0BA9"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2018B2D"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r>
        <w:rPr>
          <w:rStyle w:val="eop"/>
          <w:rFonts w:ascii="Calibri" w:hAnsi="Calibri" w:cs="Calibri"/>
          <w:color w:val="4A4A4A"/>
          <w:sz w:val="21"/>
          <w:szCs w:val="21"/>
        </w:rPr>
        <w:t> </w:t>
      </w:r>
    </w:p>
    <w:p w14:paraId="3044FBC4"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17B4D71"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http://www.who.int/violence_injury_prevention</w:t>
      </w:r>
      <w:r>
        <w:rPr>
          <w:rStyle w:val="eop"/>
          <w:rFonts w:ascii="Calibri" w:hAnsi="Calibri" w:cs="Calibri"/>
          <w:color w:val="4A4A4A"/>
          <w:sz w:val="21"/>
          <w:szCs w:val="21"/>
        </w:rPr>
        <w:t> </w:t>
      </w:r>
    </w:p>
    <w:p w14:paraId="5256CD94"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67198553"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r>
        <w:rPr>
          <w:rStyle w:val="eop"/>
          <w:rFonts w:ascii="Calibri" w:hAnsi="Calibri" w:cs="Calibri"/>
          <w:color w:val="4A4A4A"/>
          <w:sz w:val="21"/>
          <w:szCs w:val="21"/>
        </w:rPr>
        <w:t> </w:t>
      </w:r>
    </w:p>
    <w:p w14:paraId="591CA3D5" w14:textId="77777777" w:rsidR="00844A54" w:rsidRDefault="00844A54" w:rsidP="00844A54">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5FFEB2B" w14:textId="593FDA5C" w:rsidR="00F7157F" w:rsidRDefault="00F7157F"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r w:rsidRPr="00F7157F">
        <w:rPr>
          <w:rStyle w:val="normaltextrun"/>
          <w:rFonts w:ascii="Calibri" w:hAnsi="Calibri" w:cs="Calibri"/>
          <w:color w:val="4A4A4A"/>
          <w:sz w:val="21"/>
          <w:szCs w:val="21"/>
          <w:lang w:val="en-GB"/>
        </w:rPr>
        <w:t>Global status report on road safety 2018</w:t>
      </w:r>
      <w:r>
        <w:rPr>
          <w:rStyle w:val="normaltextrun"/>
          <w:rFonts w:ascii="Calibri" w:hAnsi="Calibri" w:cs="Calibri"/>
          <w:color w:val="4A4A4A"/>
          <w:sz w:val="21"/>
          <w:szCs w:val="21"/>
          <w:lang w:val="en-GB"/>
        </w:rPr>
        <w:t xml:space="preserve"> (</w:t>
      </w:r>
      <w:hyperlink r:id="rId11" w:history="1">
        <w:r w:rsidRPr="00F7157F">
          <w:rPr>
            <w:rStyle w:val="Hyperlink"/>
            <w:rFonts w:ascii="Calibri" w:hAnsi="Calibri" w:cs="Calibri"/>
            <w:sz w:val="21"/>
            <w:szCs w:val="21"/>
            <w:lang w:val="en-GB"/>
          </w:rPr>
          <w:t>https://www.who.int/publications/i/item/9789241565684</w:t>
        </w:r>
      </w:hyperlink>
      <w:r>
        <w:rPr>
          <w:rStyle w:val="normaltextrun"/>
          <w:rFonts w:ascii="Calibri" w:hAnsi="Calibri" w:cs="Calibri"/>
          <w:color w:val="4A4A4A"/>
          <w:sz w:val="21"/>
          <w:szCs w:val="21"/>
          <w:lang w:val="en-GB"/>
        </w:rPr>
        <w:t>)</w:t>
      </w:r>
    </w:p>
    <w:p w14:paraId="0B32D290" w14:textId="77777777" w:rsidR="00F7157F" w:rsidRDefault="00F7157F"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p>
    <w:p w14:paraId="0A1C5063" w14:textId="5B78D84B" w:rsidR="00F7157F" w:rsidRDefault="00F7157F" w:rsidP="00F7157F">
      <w:pPr>
        <w:pStyle w:val="paragraph"/>
        <w:spacing w:before="0" w:beforeAutospacing="0" w:after="0" w:afterAutospacing="0"/>
        <w:textAlignment w:val="baseline"/>
        <w:rPr>
          <w:rStyle w:val="normaltextrun"/>
          <w:rFonts w:ascii="Calibri" w:hAnsi="Calibri" w:cs="Calibri"/>
          <w:color w:val="4A4A4A"/>
          <w:sz w:val="21"/>
          <w:szCs w:val="21"/>
          <w:lang w:val="en-GB"/>
        </w:rPr>
      </w:pPr>
    </w:p>
    <w:p w14:paraId="28903C62" w14:textId="5C2B745F" w:rsidR="00F7157F" w:rsidRDefault="00F7157F" w:rsidP="00F7157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w:t>
      </w:r>
      <w:r>
        <w:rPr>
          <w:rStyle w:val="normaltextrun"/>
          <w:color w:val="4A4A4A"/>
          <w:sz w:val="21"/>
          <w:szCs w:val="21"/>
          <w:lang w:val="en-GB"/>
        </w:rPr>
        <w:t>9</w:t>
      </w:r>
      <w:r>
        <w:rPr>
          <w:rStyle w:val="eop"/>
          <w:color w:val="4A4A4A"/>
          <w:sz w:val="21"/>
          <w:szCs w:val="21"/>
        </w:rPr>
        <w:t> </w:t>
      </w:r>
    </w:p>
    <w:p w14:paraId="3AC604AF" w14:textId="3F9D6282" w:rsidR="00844A54" w:rsidRDefault="00F7157F" w:rsidP="00D2710B">
      <w:pPr>
        <w:pStyle w:val="MText"/>
        <w:rPr>
          <w:rFonts w:ascii="Segoe UI" w:hAnsi="Segoe UI" w:cs="Segoe UI"/>
          <w:sz w:val="18"/>
          <w:szCs w:val="18"/>
        </w:rPr>
      </w:pPr>
      <w:r>
        <w:rPr>
          <w:rStyle w:val="normaltextrun"/>
          <w:rFonts w:ascii="Calibri" w:hAnsi="Calibri" w:cs="Calibri"/>
          <w:color w:val="004080"/>
          <w:sz w:val="22"/>
          <w:szCs w:val="22"/>
        </w:rPr>
        <w:t>(</w:t>
      </w:r>
      <w:r w:rsidRPr="003B4864">
        <w:t>https://www.who.int/docs/default-source/gho-documents/global-health-estimates/ghe2019_cod_methods.pdf</w:t>
      </w:r>
      <w:r w:rsidR="00171E6E">
        <w:t>)</w:t>
      </w:r>
      <w:r w:rsidR="00844A54">
        <w:rPr>
          <w:rStyle w:val="eop"/>
          <w:rFonts w:ascii="Calibri" w:hAnsi="Calibri" w:cs="Calibri"/>
        </w:rPr>
        <w:t> </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FD77A" w14:textId="77777777" w:rsidR="00E323E5" w:rsidRDefault="00E323E5" w:rsidP="00573C0B">
      <w:pPr>
        <w:spacing w:after="0" w:line="240" w:lineRule="auto"/>
      </w:pPr>
      <w:r>
        <w:separator/>
      </w:r>
    </w:p>
  </w:endnote>
  <w:endnote w:type="continuationSeparator" w:id="0">
    <w:p w14:paraId="0B907BB5" w14:textId="77777777" w:rsidR="00E323E5" w:rsidRDefault="00E323E5" w:rsidP="00573C0B">
      <w:pPr>
        <w:spacing w:after="0" w:line="240" w:lineRule="auto"/>
      </w:pPr>
      <w:r>
        <w:continuationSeparator/>
      </w:r>
    </w:p>
  </w:endnote>
  <w:endnote w:type="continuationNotice" w:id="1">
    <w:p w14:paraId="65C8A6FC" w14:textId="77777777" w:rsidR="00E323E5" w:rsidRDefault="00E32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99769" w14:textId="77777777" w:rsidR="00E323E5" w:rsidRDefault="00E323E5" w:rsidP="00573C0B">
      <w:pPr>
        <w:spacing w:after="0" w:line="240" w:lineRule="auto"/>
      </w:pPr>
      <w:r>
        <w:separator/>
      </w:r>
    </w:p>
  </w:footnote>
  <w:footnote w:type="continuationSeparator" w:id="0">
    <w:p w14:paraId="0340AFE6" w14:textId="77777777" w:rsidR="00E323E5" w:rsidRDefault="00E323E5" w:rsidP="00573C0B">
      <w:pPr>
        <w:spacing w:after="0" w:line="240" w:lineRule="auto"/>
      </w:pPr>
      <w:r>
        <w:continuationSeparator/>
      </w:r>
    </w:p>
  </w:footnote>
  <w:footnote w:type="continuationNotice" w:id="1">
    <w:p w14:paraId="5E12ED9C" w14:textId="77777777" w:rsidR="00E323E5" w:rsidRDefault="00E32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460E8977"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171E6E">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55AE9"/>
    <w:multiLevelType w:val="multilevel"/>
    <w:tmpl w:val="E288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C15BE"/>
    <w:multiLevelType w:val="multilevel"/>
    <w:tmpl w:val="8AF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0FAA"/>
    <w:rsid w:val="000A72E4"/>
    <w:rsid w:val="000B0E2F"/>
    <w:rsid w:val="000B2430"/>
    <w:rsid w:val="000D0B30"/>
    <w:rsid w:val="000E21F1"/>
    <w:rsid w:val="000F703E"/>
    <w:rsid w:val="00120E86"/>
    <w:rsid w:val="00125DE9"/>
    <w:rsid w:val="001332E0"/>
    <w:rsid w:val="00134DE7"/>
    <w:rsid w:val="00171E6E"/>
    <w:rsid w:val="00174F2A"/>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61CA"/>
    <w:rsid w:val="003F7A02"/>
    <w:rsid w:val="00422EA5"/>
    <w:rsid w:val="00422EFA"/>
    <w:rsid w:val="0042791F"/>
    <w:rsid w:val="004456ED"/>
    <w:rsid w:val="0048045A"/>
    <w:rsid w:val="004841B8"/>
    <w:rsid w:val="004930F2"/>
    <w:rsid w:val="004B0F1C"/>
    <w:rsid w:val="004B4B75"/>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C5DDE"/>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44A54"/>
    <w:rsid w:val="008526F9"/>
    <w:rsid w:val="0085285E"/>
    <w:rsid w:val="00853023"/>
    <w:rsid w:val="008534D4"/>
    <w:rsid w:val="00881E28"/>
    <w:rsid w:val="00894C4B"/>
    <w:rsid w:val="008A12E3"/>
    <w:rsid w:val="008A42FA"/>
    <w:rsid w:val="008B0AC7"/>
    <w:rsid w:val="008C2335"/>
    <w:rsid w:val="008C37EB"/>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C49E8"/>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5B47"/>
    <w:rsid w:val="00BB646E"/>
    <w:rsid w:val="00BB711B"/>
    <w:rsid w:val="00BD1BA1"/>
    <w:rsid w:val="00BD325F"/>
    <w:rsid w:val="00C019E5"/>
    <w:rsid w:val="00C35BC4"/>
    <w:rsid w:val="00C43F5B"/>
    <w:rsid w:val="00CB4371"/>
    <w:rsid w:val="00CC516D"/>
    <w:rsid w:val="00CC7BBB"/>
    <w:rsid w:val="00D24330"/>
    <w:rsid w:val="00D2710B"/>
    <w:rsid w:val="00D34B66"/>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323E5"/>
    <w:rsid w:val="00E4524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372CA"/>
    <w:rsid w:val="00F4130B"/>
    <w:rsid w:val="00F556A2"/>
    <w:rsid w:val="00F7157F"/>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279F74E9-75E1-48C0-96EB-A2FC802E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174F2A"/>
  </w:style>
  <w:style w:type="character" w:customStyle="1" w:styleId="eop">
    <w:name w:val="eop"/>
    <w:basedOn w:val="DefaultParagraphFont"/>
    <w:rsid w:val="00174F2A"/>
  </w:style>
  <w:style w:type="paragraph" w:customStyle="1" w:styleId="paragraph">
    <w:name w:val="paragraph"/>
    <w:basedOn w:val="Normal"/>
    <w:rsid w:val="00174F2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98079">
      <w:bodyDiv w:val="1"/>
      <w:marLeft w:val="0"/>
      <w:marRight w:val="0"/>
      <w:marTop w:val="0"/>
      <w:marBottom w:val="0"/>
      <w:divBdr>
        <w:top w:val="none" w:sz="0" w:space="0" w:color="auto"/>
        <w:left w:val="none" w:sz="0" w:space="0" w:color="auto"/>
        <w:bottom w:val="none" w:sz="0" w:space="0" w:color="auto"/>
        <w:right w:val="none" w:sz="0" w:space="0" w:color="auto"/>
      </w:divBdr>
    </w:div>
    <w:div w:id="651060615">
      <w:bodyDiv w:val="1"/>
      <w:marLeft w:val="0"/>
      <w:marRight w:val="0"/>
      <w:marTop w:val="0"/>
      <w:marBottom w:val="0"/>
      <w:divBdr>
        <w:top w:val="none" w:sz="0" w:space="0" w:color="auto"/>
        <w:left w:val="none" w:sz="0" w:space="0" w:color="auto"/>
        <w:bottom w:val="none" w:sz="0" w:space="0" w:color="auto"/>
        <w:right w:val="none" w:sz="0" w:space="0" w:color="auto"/>
      </w:divBdr>
      <w:divsChild>
        <w:div w:id="1014308351">
          <w:marLeft w:val="0"/>
          <w:marRight w:val="0"/>
          <w:marTop w:val="0"/>
          <w:marBottom w:val="0"/>
          <w:divBdr>
            <w:top w:val="none" w:sz="0" w:space="0" w:color="auto"/>
            <w:left w:val="none" w:sz="0" w:space="0" w:color="auto"/>
            <w:bottom w:val="none" w:sz="0" w:space="0" w:color="auto"/>
            <w:right w:val="none" w:sz="0" w:space="0" w:color="auto"/>
          </w:divBdr>
        </w:div>
        <w:div w:id="1110588840">
          <w:marLeft w:val="0"/>
          <w:marRight w:val="0"/>
          <w:marTop w:val="0"/>
          <w:marBottom w:val="0"/>
          <w:divBdr>
            <w:top w:val="none" w:sz="0" w:space="0" w:color="auto"/>
            <w:left w:val="none" w:sz="0" w:space="0" w:color="auto"/>
            <w:bottom w:val="none" w:sz="0" w:space="0" w:color="auto"/>
            <w:right w:val="none" w:sz="0" w:space="0" w:color="auto"/>
          </w:divBdr>
        </w:div>
        <w:div w:id="1941596692">
          <w:marLeft w:val="0"/>
          <w:marRight w:val="0"/>
          <w:marTop w:val="0"/>
          <w:marBottom w:val="0"/>
          <w:divBdr>
            <w:top w:val="none" w:sz="0" w:space="0" w:color="auto"/>
            <w:left w:val="none" w:sz="0" w:space="0" w:color="auto"/>
            <w:bottom w:val="none" w:sz="0" w:space="0" w:color="auto"/>
            <w:right w:val="none" w:sz="0" w:space="0" w:color="auto"/>
          </w:divBdr>
        </w:div>
        <w:div w:id="744572650">
          <w:marLeft w:val="0"/>
          <w:marRight w:val="0"/>
          <w:marTop w:val="0"/>
          <w:marBottom w:val="0"/>
          <w:divBdr>
            <w:top w:val="none" w:sz="0" w:space="0" w:color="auto"/>
            <w:left w:val="none" w:sz="0" w:space="0" w:color="auto"/>
            <w:bottom w:val="none" w:sz="0" w:space="0" w:color="auto"/>
            <w:right w:val="none" w:sz="0" w:space="0" w:color="auto"/>
          </w:divBdr>
        </w:div>
      </w:divsChild>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83678220">
      <w:bodyDiv w:val="1"/>
      <w:marLeft w:val="0"/>
      <w:marRight w:val="0"/>
      <w:marTop w:val="0"/>
      <w:marBottom w:val="0"/>
      <w:divBdr>
        <w:top w:val="none" w:sz="0" w:space="0" w:color="auto"/>
        <w:left w:val="none" w:sz="0" w:space="0" w:color="auto"/>
        <w:bottom w:val="none" w:sz="0" w:space="0" w:color="auto"/>
        <w:right w:val="none" w:sz="0" w:space="0" w:color="auto"/>
      </w:divBdr>
      <w:divsChild>
        <w:div w:id="1541015525">
          <w:marLeft w:val="0"/>
          <w:marRight w:val="0"/>
          <w:marTop w:val="0"/>
          <w:marBottom w:val="0"/>
          <w:divBdr>
            <w:top w:val="none" w:sz="0" w:space="0" w:color="auto"/>
            <w:left w:val="none" w:sz="0" w:space="0" w:color="auto"/>
            <w:bottom w:val="none" w:sz="0" w:space="0" w:color="auto"/>
            <w:right w:val="none" w:sz="0" w:space="0" w:color="auto"/>
          </w:divBdr>
        </w:div>
        <w:div w:id="1970083246">
          <w:marLeft w:val="0"/>
          <w:marRight w:val="0"/>
          <w:marTop w:val="0"/>
          <w:marBottom w:val="0"/>
          <w:divBdr>
            <w:top w:val="none" w:sz="0" w:space="0" w:color="auto"/>
            <w:left w:val="none" w:sz="0" w:space="0" w:color="auto"/>
            <w:bottom w:val="none" w:sz="0" w:space="0" w:color="auto"/>
            <w:right w:val="none" w:sz="0" w:space="0" w:color="auto"/>
          </w:divBdr>
        </w:div>
        <w:div w:id="1139686118">
          <w:marLeft w:val="0"/>
          <w:marRight w:val="0"/>
          <w:marTop w:val="0"/>
          <w:marBottom w:val="0"/>
          <w:divBdr>
            <w:top w:val="none" w:sz="0" w:space="0" w:color="auto"/>
            <w:left w:val="none" w:sz="0" w:space="0" w:color="auto"/>
            <w:bottom w:val="none" w:sz="0" w:space="0" w:color="auto"/>
            <w:right w:val="none" w:sz="0" w:space="0" w:color="auto"/>
          </w:divBdr>
        </w:div>
      </w:divsChild>
    </w:div>
    <w:div w:id="781732005">
      <w:bodyDiv w:val="1"/>
      <w:marLeft w:val="0"/>
      <w:marRight w:val="0"/>
      <w:marTop w:val="0"/>
      <w:marBottom w:val="0"/>
      <w:divBdr>
        <w:top w:val="none" w:sz="0" w:space="0" w:color="auto"/>
        <w:left w:val="none" w:sz="0" w:space="0" w:color="auto"/>
        <w:bottom w:val="none" w:sz="0" w:space="0" w:color="auto"/>
        <w:right w:val="none" w:sz="0" w:space="0" w:color="auto"/>
      </w:divBdr>
    </w:div>
    <w:div w:id="820075102">
      <w:bodyDiv w:val="1"/>
      <w:marLeft w:val="0"/>
      <w:marRight w:val="0"/>
      <w:marTop w:val="0"/>
      <w:marBottom w:val="0"/>
      <w:divBdr>
        <w:top w:val="none" w:sz="0" w:space="0" w:color="auto"/>
        <w:left w:val="none" w:sz="0" w:space="0" w:color="auto"/>
        <w:bottom w:val="none" w:sz="0" w:space="0" w:color="auto"/>
        <w:right w:val="none" w:sz="0" w:space="0" w:color="auto"/>
      </w:divBdr>
      <w:divsChild>
        <w:div w:id="70203671">
          <w:marLeft w:val="0"/>
          <w:marRight w:val="0"/>
          <w:marTop w:val="0"/>
          <w:marBottom w:val="0"/>
          <w:divBdr>
            <w:top w:val="none" w:sz="0" w:space="0" w:color="auto"/>
            <w:left w:val="none" w:sz="0" w:space="0" w:color="auto"/>
            <w:bottom w:val="none" w:sz="0" w:space="0" w:color="auto"/>
            <w:right w:val="none" w:sz="0" w:space="0" w:color="auto"/>
          </w:divBdr>
        </w:div>
        <w:div w:id="1053700643">
          <w:marLeft w:val="0"/>
          <w:marRight w:val="0"/>
          <w:marTop w:val="0"/>
          <w:marBottom w:val="0"/>
          <w:divBdr>
            <w:top w:val="none" w:sz="0" w:space="0" w:color="auto"/>
            <w:left w:val="none" w:sz="0" w:space="0" w:color="auto"/>
            <w:bottom w:val="none" w:sz="0" w:space="0" w:color="auto"/>
            <w:right w:val="none" w:sz="0" w:space="0" w:color="auto"/>
          </w:divBdr>
        </w:div>
        <w:div w:id="2110663888">
          <w:marLeft w:val="0"/>
          <w:marRight w:val="0"/>
          <w:marTop w:val="0"/>
          <w:marBottom w:val="0"/>
          <w:divBdr>
            <w:top w:val="none" w:sz="0" w:space="0" w:color="auto"/>
            <w:left w:val="none" w:sz="0" w:space="0" w:color="auto"/>
            <w:bottom w:val="none" w:sz="0" w:space="0" w:color="auto"/>
            <w:right w:val="none" w:sz="0" w:space="0" w:color="auto"/>
          </w:divBdr>
        </w:div>
        <w:div w:id="1137336725">
          <w:marLeft w:val="0"/>
          <w:marRight w:val="0"/>
          <w:marTop w:val="0"/>
          <w:marBottom w:val="0"/>
          <w:divBdr>
            <w:top w:val="none" w:sz="0" w:space="0" w:color="auto"/>
            <w:left w:val="none" w:sz="0" w:space="0" w:color="auto"/>
            <w:bottom w:val="none" w:sz="0" w:space="0" w:color="auto"/>
            <w:right w:val="none" w:sz="0" w:space="0" w:color="auto"/>
          </w:divBdr>
        </w:div>
        <w:div w:id="1186481239">
          <w:marLeft w:val="0"/>
          <w:marRight w:val="0"/>
          <w:marTop w:val="0"/>
          <w:marBottom w:val="0"/>
          <w:divBdr>
            <w:top w:val="none" w:sz="0" w:space="0" w:color="auto"/>
            <w:left w:val="none" w:sz="0" w:space="0" w:color="auto"/>
            <w:bottom w:val="none" w:sz="0" w:space="0" w:color="auto"/>
            <w:right w:val="none" w:sz="0" w:space="0" w:color="auto"/>
          </w:divBdr>
        </w:div>
        <w:div w:id="1249925222">
          <w:marLeft w:val="0"/>
          <w:marRight w:val="0"/>
          <w:marTop w:val="0"/>
          <w:marBottom w:val="0"/>
          <w:divBdr>
            <w:top w:val="none" w:sz="0" w:space="0" w:color="auto"/>
            <w:left w:val="none" w:sz="0" w:space="0" w:color="auto"/>
            <w:bottom w:val="none" w:sz="0" w:space="0" w:color="auto"/>
            <w:right w:val="none" w:sz="0" w:space="0" w:color="auto"/>
          </w:divBdr>
        </w:div>
        <w:div w:id="1932734138">
          <w:marLeft w:val="0"/>
          <w:marRight w:val="0"/>
          <w:marTop w:val="0"/>
          <w:marBottom w:val="0"/>
          <w:divBdr>
            <w:top w:val="none" w:sz="0" w:space="0" w:color="auto"/>
            <w:left w:val="none" w:sz="0" w:space="0" w:color="auto"/>
            <w:bottom w:val="none" w:sz="0" w:space="0" w:color="auto"/>
            <w:right w:val="none" w:sz="0" w:space="0" w:color="auto"/>
          </w:divBdr>
        </w:div>
        <w:div w:id="476075224">
          <w:marLeft w:val="0"/>
          <w:marRight w:val="0"/>
          <w:marTop w:val="0"/>
          <w:marBottom w:val="0"/>
          <w:divBdr>
            <w:top w:val="none" w:sz="0" w:space="0" w:color="auto"/>
            <w:left w:val="none" w:sz="0" w:space="0" w:color="auto"/>
            <w:bottom w:val="none" w:sz="0" w:space="0" w:color="auto"/>
            <w:right w:val="none" w:sz="0" w:space="0" w:color="auto"/>
          </w:divBdr>
        </w:div>
        <w:div w:id="2115898879">
          <w:marLeft w:val="0"/>
          <w:marRight w:val="0"/>
          <w:marTop w:val="0"/>
          <w:marBottom w:val="0"/>
          <w:divBdr>
            <w:top w:val="none" w:sz="0" w:space="0" w:color="auto"/>
            <w:left w:val="none" w:sz="0" w:space="0" w:color="auto"/>
            <w:bottom w:val="none" w:sz="0" w:space="0" w:color="auto"/>
            <w:right w:val="none" w:sz="0" w:space="0" w:color="auto"/>
          </w:divBdr>
        </w:div>
        <w:div w:id="2142578833">
          <w:marLeft w:val="0"/>
          <w:marRight w:val="0"/>
          <w:marTop w:val="0"/>
          <w:marBottom w:val="0"/>
          <w:divBdr>
            <w:top w:val="none" w:sz="0" w:space="0" w:color="auto"/>
            <w:left w:val="none" w:sz="0" w:space="0" w:color="auto"/>
            <w:bottom w:val="none" w:sz="0" w:space="0" w:color="auto"/>
            <w:right w:val="none" w:sz="0" w:space="0" w:color="auto"/>
          </w:divBdr>
        </w:div>
        <w:div w:id="1586648800">
          <w:marLeft w:val="0"/>
          <w:marRight w:val="0"/>
          <w:marTop w:val="0"/>
          <w:marBottom w:val="0"/>
          <w:divBdr>
            <w:top w:val="none" w:sz="0" w:space="0" w:color="auto"/>
            <w:left w:val="none" w:sz="0" w:space="0" w:color="auto"/>
            <w:bottom w:val="none" w:sz="0" w:space="0" w:color="auto"/>
            <w:right w:val="none" w:sz="0" w:space="0" w:color="auto"/>
          </w:divBdr>
        </w:div>
        <w:div w:id="1735932681">
          <w:marLeft w:val="0"/>
          <w:marRight w:val="0"/>
          <w:marTop w:val="0"/>
          <w:marBottom w:val="0"/>
          <w:divBdr>
            <w:top w:val="none" w:sz="0" w:space="0" w:color="auto"/>
            <w:left w:val="none" w:sz="0" w:space="0" w:color="auto"/>
            <w:bottom w:val="none" w:sz="0" w:space="0" w:color="auto"/>
            <w:right w:val="none" w:sz="0" w:space="0" w:color="auto"/>
          </w:divBdr>
        </w:div>
        <w:div w:id="1575702891">
          <w:marLeft w:val="0"/>
          <w:marRight w:val="0"/>
          <w:marTop w:val="0"/>
          <w:marBottom w:val="0"/>
          <w:divBdr>
            <w:top w:val="none" w:sz="0" w:space="0" w:color="auto"/>
            <w:left w:val="none" w:sz="0" w:space="0" w:color="auto"/>
            <w:bottom w:val="none" w:sz="0" w:space="0" w:color="auto"/>
            <w:right w:val="none" w:sz="0" w:space="0" w:color="auto"/>
          </w:divBdr>
        </w:div>
        <w:div w:id="435173003">
          <w:marLeft w:val="0"/>
          <w:marRight w:val="0"/>
          <w:marTop w:val="0"/>
          <w:marBottom w:val="0"/>
          <w:divBdr>
            <w:top w:val="none" w:sz="0" w:space="0" w:color="auto"/>
            <w:left w:val="none" w:sz="0" w:space="0" w:color="auto"/>
            <w:bottom w:val="none" w:sz="0" w:space="0" w:color="auto"/>
            <w:right w:val="none" w:sz="0" w:space="0" w:color="auto"/>
          </w:divBdr>
        </w:div>
        <w:div w:id="276909941">
          <w:marLeft w:val="0"/>
          <w:marRight w:val="0"/>
          <w:marTop w:val="0"/>
          <w:marBottom w:val="0"/>
          <w:divBdr>
            <w:top w:val="none" w:sz="0" w:space="0" w:color="auto"/>
            <w:left w:val="none" w:sz="0" w:space="0" w:color="auto"/>
            <w:bottom w:val="none" w:sz="0" w:space="0" w:color="auto"/>
            <w:right w:val="none" w:sz="0" w:space="0" w:color="auto"/>
          </w:divBdr>
        </w:div>
        <w:div w:id="1345981823">
          <w:marLeft w:val="0"/>
          <w:marRight w:val="0"/>
          <w:marTop w:val="0"/>
          <w:marBottom w:val="0"/>
          <w:divBdr>
            <w:top w:val="none" w:sz="0" w:space="0" w:color="auto"/>
            <w:left w:val="none" w:sz="0" w:space="0" w:color="auto"/>
            <w:bottom w:val="none" w:sz="0" w:space="0" w:color="auto"/>
            <w:right w:val="none" w:sz="0" w:space="0" w:color="auto"/>
          </w:divBdr>
        </w:div>
        <w:div w:id="1388187947">
          <w:marLeft w:val="0"/>
          <w:marRight w:val="0"/>
          <w:marTop w:val="0"/>
          <w:marBottom w:val="0"/>
          <w:divBdr>
            <w:top w:val="none" w:sz="0" w:space="0" w:color="auto"/>
            <w:left w:val="none" w:sz="0" w:space="0" w:color="auto"/>
            <w:bottom w:val="none" w:sz="0" w:space="0" w:color="auto"/>
            <w:right w:val="none" w:sz="0" w:space="0" w:color="auto"/>
          </w:divBdr>
        </w:div>
      </w:divsChild>
    </w:div>
    <w:div w:id="821196611">
      <w:bodyDiv w:val="1"/>
      <w:marLeft w:val="0"/>
      <w:marRight w:val="0"/>
      <w:marTop w:val="0"/>
      <w:marBottom w:val="0"/>
      <w:divBdr>
        <w:top w:val="none" w:sz="0" w:space="0" w:color="auto"/>
        <w:left w:val="none" w:sz="0" w:space="0" w:color="auto"/>
        <w:bottom w:val="none" w:sz="0" w:space="0" w:color="auto"/>
        <w:right w:val="none" w:sz="0" w:space="0" w:color="auto"/>
      </w:divBdr>
      <w:divsChild>
        <w:div w:id="395738562">
          <w:marLeft w:val="0"/>
          <w:marRight w:val="0"/>
          <w:marTop w:val="0"/>
          <w:marBottom w:val="0"/>
          <w:divBdr>
            <w:top w:val="none" w:sz="0" w:space="0" w:color="auto"/>
            <w:left w:val="none" w:sz="0" w:space="0" w:color="auto"/>
            <w:bottom w:val="none" w:sz="0" w:space="0" w:color="auto"/>
            <w:right w:val="none" w:sz="0" w:space="0" w:color="auto"/>
          </w:divBdr>
        </w:div>
        <w:div w:id="625358303">
          <w:marLeft w:val="0"/>
          <w:marRight w:val="0"/>
          <w:marTop w:val="0"/>
          <w:marBottom w:val="0"/>
          <w:divBdr>
            <w:top w:val="none" w:sz="0" w:space="0" w:color="auto"/>
            <w:left w:val="none" w:sz="0" w:space="0" w:color="auto"/>
            <w:bottom w:val="none" w:sz="0" w:space="0" w:color="auto"/>
            <w:right w:val="none" w:sz="0" w:space="0" w:color="auto"/>
          </w:divBdr>
        </w:div>
        <w:div w:id="1101099351">
          <w:marLeft w:val="0"/>
          <w:marRight w:val="0"/>
          <w:marTop w:val="0"/>
          <w:marBottom w:val="0"/>
          <w:divBdr>
            <w:top w:val="none" w:sz="0" w:space="0" w:color="auto"/>
            <w:left w:val="none" w:sz="0" w:space="0" w:color="auto"/>
            <w:bottom w:val="none" w:sz="0" w:space="0" w:color="auto"/>
            <w:right w:val="none" w:sz="0" w:space="0" w:color="auto"/>
          </w:divBdr>
        </w:div>
      </w:divsChild>
    </w:div>
    <w:div w:id="884485991">
      <w:bodyDiv w:val="1"/>
      <w:marLeft w:val="0"/>
      <w:marRight w:val="0"/>
      <w:marTop w:val="0"/>
      <w:marBottom w:val="0"/>
      <w:divBdr>
        <w:top w:val="none" w:sz="0" w:space="0" w:color="auto"/>
        <w:left w:val="none" w:sz="0" w:space="0" w:color="auto"/>
        <w:bottom w:val="none" w:sz="0" w:space="0" w:color="auto"/>
        <w:right w:val="none" w:sz="0" w:space="0" w:color="auto"/>
      </w:divBdr>
      <w:divsChild>
        <w:div w:id="1969432970">
          <w:marLeft w:val="0"/>
          <w:marRight w:val="0"/>
          <w:marTop w:val="0"/>
          <w:marBottom w:val="0"/>
          <w:divBdr>
            <w:top w:val="none" w:sz="0" w:space="0" w:color="auto"/>
            <w:left w:val="none" w:sz="0" w:space="0" w:color="auto"/>
            <w:bottom w:val="none" w:sz="0" w:space="0" w:color="auto"/>
            <w:right w:val="none" w:sz="0" w:space="0" w:color="auto"/>
          </w:divBdr>
        </w:div>
        <w:div w:id="480393293">
          <w:marLeft w:val="0"/>
          <w:marRight w:val="0"/>
          <w:marTop w:val="0"/>
          <w:marBottom w:val="0"/>
          <w:divBdr>
            <w:top w:val="none" w:sz="0" w:space="0" w:color="auto"/>
            <w:left w:val="none" w:sz="0" w:space="0" w:color="auto"/>
            <w:bottom w:val="none" w:sz="0" w:space="0" w:color="auto"/>
            <w:right w:val="none" w:sz="0" w:space="0" w:color="auto"/>
          </w:divBdr>
        </w:div>
        <w:div w:id="15889995">
          <w:marLeft w:val="0"/>
          <w:marRight w:val="0"/>
          <w:marTop w:val="0"/>
          <w:marBottom w:val="0"/>
          <w:divBdr>
            <w:top w:val="none" w:sz="0" w:space="0" w:color="auto"/>
            <w:left w:val="none" w:sz="0" w:space="0" w:color="auto"/>
            <w:bottom w:val="none" w:sz="0" w:space="0" w:color="auto"/>
            <w:right w:val="none" w:sz="0" w:space="0" w:color="auto"/>
          </w:divBdr>
        </w:div>
        <w:div w:id="1499077974">
          <w:marLeft w:val="0"/>
          <w:marRight w:val="0"/>
          <w:marTop w:val="0"/>
          <w:marBottom w:val="0"/>
          <w:divBdr>
            <w:top w:val="none" w:sz="0" w:space="0" w:color="auto"/>
            <w:left w:val="none" w:sz="0" w:space="0" w:color="auto"/>
            <w:bottom w:val="none" w:sz="0" w:space="0" w:color="auto"/>
            <w:right w:val="none" w:sz="0" w:space="0" w:color="auto"/>
          </w:divBdr>
        </w:div>
        <w:div w:id="1877349869">
          <w:marLeft w:val="0"/>
          <w:marRight w:val="0"/>
          <w:marTop w:val="0"/>
          <w:marBottom w:val="0"/>
          <w:divBdr>
            <w:top w:val="none" w:sz="0" w:space="0" w:color="auto"/>
            <w:left w:val="none" w:sz="0" w:space="0" w:color="auto"/>
            <w:bottom w:val="none" w:sz="0" w:space="0" w:color="auto"/>
            <w:right w:val="none" w:sz="0" w:space="0" w:color="auto"/>
          </w:divBdr>
        </w:div>
        <w:div w:id="625627967">
          <w:marLeft w:val="0"/>
          <w:marRight w:val="0"/>
          <w:marTop w:val="0"/>
          <w:marBottom w:val="0"/>
          <w:divBdr>
            <w:top w:val="none" w:sz="0" w:space="0" w:color="auto"/>
            <w:left w:val="none" w:sz="0" w:space="0" w:color="auto"/>
            <w:bottom w:val="none" w:sz="0" w:space="0" w:color="auto"/>
            <w:right w:val="none" w:sz="0" w:space="0" w:color="auto"/>
          </w:divBdr>
        </w:div>
        <w:div w:id="779300008">
          <w:marLeft w:val="0"/>
          <w:marRight w:val="0"/>
          <w:marTop w:val="0"/>
          <w:marBottom w:val="0"/>
          <w:divBdr>
            <w:top w:val="none" w:sz="0" w:space="0" w:color="auto"/>
            <w:left w:val="none" w:sz="0" w:space="0" w:color="auto"/>
            <w:bottom w:val="none" w:sz="0" w:space="0" w:color="auto"/>
            <w:right w:val="none" w:sz="0" w:space="0" w:color="auto"/>
          </w:divBdr>
        </w:div>
      </w:divsChild>
    </w:div>
    <w:div w:id="885721863">
      <w:bodyDiv w:val="1"/>
      <w:marLeft w:val="0"/>
      <w:marRight w:val="0"/>
      <w:marTop w:val="0"/>
      <w:marBottom w:val="0"/>
      <w:divBdr>
        <w:top w:val="none" w:sz="0" w:space="0" w:color="auto"/>
        <w:left w:val="none" w:sz="0" w:space="0" w:color="auto"/>
        <w:bottom w:val="none" w:sz="0" w:space="0" w:color="auto"/>
        <w:right w:val="none" w:sz="0" w:space="0" w:color="auto"/>
      </w:divBdr>
      <w:divsChild>
        <w:div w:id="439379804">
          <w:marLeft w:val="0"/>
          <w:marRight w:val="0"/>
          <w:marTop w:val="0"/>
          <w:marBottom w:val="0"/>
          <w:divBdr>
            <w:top w:val="none" w:sz="0" w:space="0" w:color="auto"/>
            <w:left w:val="none" w:sz="0" w:space="0" w:color="auto"/>
            <w:bottom w:val="none" w:sz="0" w:space="0" w:color="auto"/>
            <w:right w:val="none" w:sz="0" w:space="0" w:color="auto"/>
          </w:divBdr>
          <w:divsChild>
            <w:div w:id="444271888">
              <w:marLeft w:val="0"/>
              <w:marRight w:val="0"/>
              <w:marTop w:val="0"/>
              <w:marBottom w:val="0"/>
              <w:divBdr>
                <w:top w:val="none" w:sz="0" w:space="0" w:color="auto"/>
                <w:left w:val="none" w:sz="0" w:space="0" w:color="auto"/>
                <w:bottom w:val="none" w:sz="0" w:space="0" w:color="auto"/>
                <w:right w:val="none" w:sz="0" w:space="0" w:color="auto"/>
              </w:divBdr>
            </w:div>
            <w:div w:id="911504942">
              <w:marLeft w:val="0"/>
              <w:marRight w:val="0"/>
              <w:marTop w:val="0"/>
              <w:marBottom w:val="0"/>
              <w:divBdr>
                <w:top w:val="none" w:sz="0" w:space="0" w:color="auto"/>
                <w:left w:val="none" w:sz="0" w:space="0" w:color="auto"/>
                <w:bottom w:val="none" w:sz="0" w:space="0" w:color="auto"/>
                <w:right w:val="none" w:sz="0" w:space="0" w:color="auto"/>
              </w:divBdr>
            </w:div>
            <w:div w:id="1750882673">
              <w:marLeft w:val="0"/>
              <w:marRight w:val="0"/>
              <w:marTop w:val="0"/>
              <w:marBottom w:val="0"/>
              <w:divBdr>
                <w:top w:val="none" w:sz="0" w:space="0" w:color="auto"/>
                <w:left w:val="none" w:sz="0" w:space="0" w:color="auto"/>
                <w:bottom w:val="none" w:sz="0" w:space="0" w:color="auto"/>
                <w:right w:val="none" w:sz="0" w:space="0" w:color="auto"/>
              </w:divBdr>
            </w:div>
            <w:div w:id="1653437681">
              <w:marLeft w:val="0"/>
              <w:marRight w:val="0"/>
              <w:marTop w:val="0"/>
              <w:marBottom w:val="0"/>
              <w:divBdr>
                <w:top w:val="none" w:sz="0" w:space="0" w:color="auto"/>
                <w:left w:val="none" w:sz="0" w:space="0" w:color="auto"/>
                <w:bottom w:val="none" w:sz="0" w:space="0" w:color="auto"/>
                <w:right w:val="none" w:sz="0" w:space="0" w:color="auto"/>
              </w:divBdr>
            </w:div>
            <w:div w:id="2071071989">
              <w:marLeft w:val="0"/>
              <w:marRight w:val="0"/>
              <w:marTop w:val="0"/>
              <w:marBottom w:val="0"/>
              <w:divBdr>
                <w:top w:val="none" w:sz="0" w:space="0" w:color="auto"/>
                <w:left w:val="none" w:sz="0" w:space="0" w:color="auto"/>
                <w:bottom w:val="none" w:sz="0" w:space="0" w:color="auto"/>
                <w:right w:val="none" w:sz="0" w:space="0" w:color="auto"/>
              </w:divBdr>
            </w:div>
          </w:divsChild>
        </w:div>
        <w:div w:id="301808153">
          <w:marLeft w:val="0"/>
          <w:marRight w:val="0"/>
          <w:marTop w:val="0"/>
          <w:marBottom w:val="0"/>
          <w:divBdr>
            <w:top w:val="none" w:sz="0" w:space="0" w:color="auto"/>
            <w:left w:val="none" w:sz="0" w:space="0" w:color="auto"/>
            <w:bottom w:val="none" w:sz="0" w:space="0" w:color="auto"/>
            <w:right w:val="none" w:sz="0" w:space="0" w:color="auto"/>
          </w:divBdr>
          <w:divsChild>
            <w:div w:id="1453162452">
              <w:marLeft w:val="0"/>
              <w:marRight w:val="0"/>
              <w:marTop w:val="0"/>
              <w:marBottom w:val="0"/>
              <w:divBdr>
                <w:top w:val="none" w:sz="0" w:space="0" w:color="auto"/>
                <w:left w:val="none" w:sz="0" w:space="0" w:color="auto"/>
                <w:bottom w:val="none" w:sz="0" w:space="0" w:color="auto"/>
                <w:right w:val="none" w:sz="0" w:space="0" w:color="auto"/>
              </w:divBdr>
            </w:div>
            <w:div w:id="576062500">
              <w:marLeft w:val="0"/>
              <w:marRight w:val="0"/>
              <w:marTop w:val="0"/>
              <w:marBottom w:val="0"/>
              <w:divBdr>
                <w:top w:val="none" w:sz="0" w:space="0" w:color="auto"/>
                <w:left w:val="none" w:sz="0" w:space="0" w:color="auto"/>
                <w:bottom w:val="none" w:sz="0" w:space="0" w:color="auto"/>
                <w:right w:val="none" w:sz="0" w:space="0" w:color="auto"/>
              </w:divBdr>
            </w:div>
            <w:div w:id="1657372185">
              <w:marLeft w:val="0"/>
              <w:marRight w:val="0"/>
              <w:marTop w:val="0"/>
              <w:marBottom w:val="0"/>
              <w:divBdr>
                <w:top w:val="none" w:sz="0" w:space="0" w:color="auto"/>
                <w:left w:val="none" w:sz="0" w:space="0" w:color="auto"/>
                <w:bottom w:val="none" w:sz="0" w:space="0" w:color="auto"/>
                <w:right w:val="none" w:sz="0" w:space="0" w:color="auto"/>
              </w:divBdr>
            </w:div>
            <w:div w:id="585967382">
              <w:marLeft w:val="0"/>
              <w:marRight w:val="0"/>
              <w:marTop w:val="0"/>
              <w:marBottom w:val="0"/>
              <w:divBdr>
                <w:top w:val="none" w:sz="0" w:space="0" w:color="auto"/>
                <w:left w:val="none" w:sz="0" w:space="0" w:color="auto"/>
                <w:bottom w:val="none" w:sz="0" w:space="0" w:color="auto"/>
                <w:right w:val="none" w:sz="0" w:space="0" w:color="auto"/>
              </w:divBdr>
            </w:div>
            <w:div w:id="203908157">
              <w:marLeft w:val="0"/>
              <w:marRight w:val="0"/>
              <w:marTop w:val="0"/>
              <w:marBottom w:val="0"/>
              <w:divBdr>
                <w:top w:val="none" w:sz="0" w:space="0" w:color="auto"/>
                <w:left w:val="none" w:sz="0" w:space="0" w:color="auto"/>
                <w:bottom w:val="none" w:sz="0" w:space="0" w:color="auto"/>
                <w:right w:val="none" w:sz="0" w:space="0" w:color="auto"/>
              </w:divBdr>
            </w:div>
          </w:divsChild>
        </w:div>
        <w:div w:id="1642467537">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853644988">
      <w:bodyDiv w:val="1"/>
      <w:marLeft w:val="0"/>
      <w:marRight w:val="0"/>
      <w:marTop w:val="0"/>
      <w:marBottom w:val="0"/>
      <w:divBdr>
        <w:top w:val="none" w:sz="0" w:space="0" w:color="auto"/>
        <w:left w:val="none" w:sz="0" w:space="0" w:color="auto"/>
        <w:bottom w:val="none" w:sz="0" w:space="0" w:color="auto"/>
        <w:right w:val="none" w:sz="0" w:space="0" w:color="auto"/>
      </w:divBdr>
    </w:div>
    <w:div w:id="1902708788">
      <w:bodyDiv w:val="1"/>
      <w:marLeft w:val="0"/>
      <w:marRight w:val="0"/>
      <w:marTop w:val="0"/>
      <w:marBottom w:val="0"/>
      <w:divBdr>
        <w:top w:val="none" w:sz="0" w:space="0" w:color="auto"/>
        <w:left w:val="none" w:sz="0" w:space="0" w:color="auto"/>
        <w:bottom w:val="none" w:sz="0" w:space="0" w:color="auto"/>
        <w:right w:val="none" w:sz="0" w:space="0" w:color="auto"/>
      </w:divBdr>
      <w:divsChild>
        <w:div w:id="332412712">
          <w:marLeft w:val="0"/>
          <w:marRight w:val="0"/>
          <w:marTop w:val="0"/>
          <w:marBottom w:val="0"/>
          <w:divBdr>
            <w:top w:val="none" w:sz="0" w:space="0" w:color="auto"/>
            <w:left w:val="none" w:sz="0" w:space="0" w:color="auto"/>
            <w:bottom w:val="none" w:sz="0" w:space="0" w:color="auto"/>
            <w:right w:val="none" w:sz="0" w:space="0" w:color="auto"/>
          </w:divBdr>
        </w:div>
        <w:div w:id="512187166">
          <w:marLeft w:val="0"/>
          <w:marRight w:val="0"/>
          <w:marTop w:val="0"/>
          <w:marBottom w:val="0"/>
          <w:divBdr>
            <w:top w:val="none" w:sz="0" w:space="0" w:color="auto"/>
            <w:left w:val="none" w:sz="0" w:space="0" w:color="auto"/>
            <w:bottom w:val="none" w:sz="0" w:space="0" w:color="auto"/>
            <w:right w:val="none" w:sz="0" w:space="0" w:color="auto"/>
          </w:divBdr>
        </w:div>
        <w:div w:id="1142648686">
          <w:marLeft w:val="0"/>
          <w:marRight w:val="0"/>
          <w:marTop w:val="0"/>
          <w:marBottom w:val="0"/>
          <w:divBdr>
            <w:top w:val="none" w:sz="0" w:space="0" w:color="auto"/>
            <w:left w:val="none" w:sz="0" w:space="0" w:color="auto"/>
            <w:bottom w:val="none" w:sz="0" w:space="0" w:color="auto"/>
            <w:right w:val="none" w:sz="0" w:space="0" w:color="auto"/>
          </w:divBdr>
        </w:div>
      </w:divsChild>
    </w:div>
    <w:div w:id="2057076395">
      <w:bodyDiv w:val="1"/>
      <w:marLeft w:val="0"/>
      <w:marRight w:val="0"/>
      <w:marTop w:val="0"/>
      <w:marBottom w:val="0"/>
      <w:divBdr>
        <w:top w:val="none" w:sz="0" w:space="0" w:color="auto"/>
        <w:left w:val="none" w:sz="0" w:space="0" w:color="auto"/>
        <w:bottom w:val="none" w:sz="0" w:space="0" w:color="auto"/>
        <w:right w:val="none" w:sz="0" w:space="0" w:color="auto"/>
      </w:divBdr>
      <w:divsChild>
        <w:div w:id="407385462">
          <w:marLeft w:val="0"/>
          <w:marRight w:val="0"/>
          <w:marTop w:val="0"/>
          <w:marBottom w:val="0"/>
          <w:divBdr>
            <w:top w:val="none" w:sz="0" w:space="0" w:color="auto"/>
            <w:left w:val="none" w:sz="0" w:space="0" w:color="auto"/>
            <w:bottom w:val="none" w:sz="0" w:space="0" w:color="auto"/>
            <w:right w:val="none" w:sz="0" w:space="0" w:color="auto"/>
          </w:divBdr>
        </w:div>
        <w:div w:id="402610473">
          <w:marLeft w:val="0"/>
          <w:marRight w:val="0"/>
          <w:marTop w:val="0"/>
          <w:marBottom w:val="0"/>
          <w:divBdr>
            <w:top w:val="none" w:sz="0" w:space="0" w:color="auto"/>
            <w:left w:val="none" w:sz="0" w:space="0" w:color="auto"/>
            <w:bottom w:val="none" w:sz="0" w:space="0" w:color="auto"/>
            <w:right w:val="none" w:sz="0" w:space="0" w:color="auto"/>
          </w:divBdr>
        </w:div>
        <w:div w:id="338315679">
          <w:marLeft w:val="0"/>
          <w:marRight w:val="0"/>
          <w:marTop w:val="0"/>
          <w:marBottom w:val="0"/>
          <w:divBdr>
            <w:top w:val="none" w:sz="0" w:space="0" w:color="auto"/>
            <w:left w:val="none" w:sz="0" w:space="0" w:color="auto"/>
            <w:bottom w:val="none" w:sz="0" w:space="0" w:color="auto"/>
            <w:right w:val="none" w:sz="0" w:space="0" w:color="auto"/>
          </w:divBdr>
        </w:div>
        <w:div w:id="2041542030">
          <w:marLeft w:val="0"/>
          <w:marRight w:val="0"/>
          <w:marTop w:val="0"/>
          <w:marBottom w:val="0"/>
          <w:divBdr>
            <w:top w:val="none" w:sz="0" w:space="0" w:color="auto"/>
            <w:left w:val="none" w:sz="0" w:space="0" w:color="auto"/>
            <w:bottom w:val="none" w:sz="0" w:space="0" w:color="auto"/>
            <w:right w:val="none" w:sz="0" w:space="0" w:color="auto"/>
          </w:divBdr>
        </w:div>
        <w:div w:id="1649359842">
          <w:marLeft w:val="0"/>
          <w:marRight w:val="0"/>
          <w:marTop w:val="0"/>
          <w:marBottom w:val="0"/>
          <w:divBdr>
            <w:top w:val="none" w:sz="0" w:space="0" w:color="auto"/>
            <w:left w:val="none" w:sz="0" w:space="0" w:color="auto"/>
            <w:bottom w:val="none" w:sz="0" w:space="0" w:color="auto"/>
            <w:right w:val="none" w:sz="0" w:space="0" w:color="auto"/>
          </w:divBdr>
        </w:div>
        <w:div w:id="1931422216">
          <w:marLeft w:val="0"/>
          <w:marRight w:val="0"/>
          <w:marTop w:val="0"/>
          <w:marBottom w:val="0"/>
          <w:divBdr>
            <w:top w:val="none" w:sz="0" w:space="0" w:color="auto"/>
            <w:left w:val="none" w:sz="0" w:space="0" w:color="auto"/>
            <w:bottom w:val="none" w:sz="0" w:space="0" w:color="auto"/>
            <w:right w:val="none" w:sz="0" w:space="0" w:color="auto"/>
          </w:divBdr>
        </w:div>
        <w:div w:id="2145468469">
          <w:marLeft w:val="0"/>
          <w:marRight w:val="0"/>
          <w:marTop w:val="0"/>
          <w:marBottom w:val="0"/>
          <w:divBdr>
            <w:top w:val="none" w:sz="0" w:space="0" w:color="auto"/>
            <w:left w:val="none" w:sz="0" w:space="0" w:color="auto"/>
            <w:bottom w:val="none" w:sz="0" w:space="0" w:color="auto"/>
            <w:right w:val="none" w:sz="0" w:space="0" w:color="auto"/>
          </w:divBdr>
        </w:div>
        <w:div w:id="1416240098">
          <w:marLeft w:val="0"/>
          <w:marRight w:val="0"/>
          <w:marTop w:val="0"/>
          <w:marBottom w:val="0"/>
          <w:divBdr>
            <w:top w:val="none" w:sz="0" w:space="0" w:color="auto"/>
            <w:left w:val="none" w:sz="0" w:space="0" w:color="auto"/>
            <w:bottom w:val="none" w:sz="0" w:space="0" w:color="auto"/>
            <w:right w:val="none" w:sz="0" w:space="0" w:color="auto"/>
          </w:divBdr>
        </w:div>
        <w:div w:id="1057507967">
          <w:marLeft w:val="0"/>
          <w:marRight w:val="0"/>
          <w:marTop w:val="0"/>
          <w:marBottom w:val="0"/>
          <w:divBdr>
            <w:top w:val="none" w:sz="0" w:space="0" w:color="auto"/>
            <w:left w:val="none" w:sz="0" w:space="0" w:color="auto"/>
            <w:bottom w:val="none" w:sz="0" w:space="0" w:color="auto"/>
            <w:right w:val="none" w:sz="0" w:space="0" w:color="auto"/>
          </w:divBdr>
        </w:div>
        <w:div w:id="31031291">
          <w:marLeft w:val="0"/>
          <w:marRight w:val="0"/>
          <w:marTop w:val="0"/>
          <w:marBottom w:val="0"/>
          <w:divBdr>
            <w:top w:val="none" w:sz="0" w:space="0" w:color="auto"/>
            <w:left w:val="none" w:sz="0" w:space="0" w:color="auto"/>
            <w:bottom w:val="none" w:sz="0" w:space="0" w:color="auto"/>
            <w:right w:val="none" w:sz="0" w:space="0" w:color="auto"/>
          </w:divBdr>
        </w:div>
        <w:div w:id="1658994789">
          <w:marLeft w:val="0"/>
          <w:marRight w:val="0"/>
          <w:marTop w:val="0"/>
          <w:marBottom w:val="0"/>
          <w:divBdr>
            <w:top w:val="none" w:sz="0" w:space="0" w:color="auto"/>
            <w:left w:val="none" w:sz="0" w:space="0" w:color="auto"/>
            <w:bottom w:val="none" w:sz="0" w:space="0" w:color="auto"/>
            <w:right w:val="none" w:sz="0" w:space="0" w:color="auto"/>
          </w:divBdr>
        </w:div>
      </w:divsChild>
    </w:div>
    <w:div w:id="2079742134">
      <w:bodyDiv w:val="1"/>
      <w:marLeft w:val="0"/>
      <w:marRight w:val="0"/>
      <w:marTop w:val="0"/>
      <w:marBottom w:val="0"/>
      <w:divBdr>
        <w:top w:val="none" w:sz="0" w:space="0" w:color="auto"/>
        <w:left w:val="none" w:sz="0" w:space="0" w:color="auto"/>
        <w:bottom w:val="none" w:sz="0" w:space="0" w:color="auto"/>
        <w:right w:val="none" w:sz="0" w:space="0" w:color="auto"/>
      </w:divBdr>
      <w:divsChild>
        <w:div w:id="492188433">
          <w:marLeft w:val="0"/>
          <w:marRight w:val="0"/>
          <w:marTop w:val="0"/>
          <w:marBottom w:val="0"/>
          <w:divBdr>
            <w:top w:val="none" w:sz="0" w:space="0" w:color="auto"/>
            <w:left w:val="none" w:sz="0" w:space="0" w:color="auto"/>
            <w:bottom w:val="none" w:sz="0" w:space="0" w:color="auto"/>
            <w:right w:val="none" w:sz="0" w:space="0" w:color="auto"/>
          </w:divBdr>
        </w:div>
        <w:div w:id="436802088">
          <w:marLeft w:val="0"/>
          <w:marRight w:val="0"/>
          <w:marTop w:val="0"/>
          <w:marBottom w:val="0"/>
          <w:divBdr>
            <w:top w:val="none" w:sz="0" w:space="0" w:color="auto"/>
            <w:left w:val="none" w:sz="0" w:space="0" w:color="auto"/>
            <w:bottom w:val="none" w:sz="0" w:space="0" w:color="auto"/>
            <w:right w:val="none" w:sz="0" w:space="0" w:color="auto"/>
          </w:divBdr>
        </w:div>
        <w:div w:id="314073889">
          <w:marLeft w:val="0"/>
          <w:marRight w:val="0"/>
          <w:marTop w:val="0"/>
          <w:marBottom w:val="0"/>
          <w:divBdr>
            <w:top w:val="none" w:sz="0" w:space="0" w:color="auto"/>
            <w:left w:val="none" w:sz="0" w:space="0" w:color="auto"/>
            <w:bottom w:val="none" w:sz="0" w:space="0" w:color="auto"/>
            <w:right w:val="none" w:sz="0" w:space="0" w:color="auto"/>
          </w:divBdr>
        </w:div>
      </w:divsChild>
    </w:div>
    <w:div w:id="2147384315">
      <w:bodyDiv w:val="1"/>
      <w:marLeft w:val="0"/>
      <w:marRight w:val="0"/>
      <w:marTop w:val="0"/>
      <w:marBottom w:val="0"/>
      <w:divBdr>
        <w:top w:val="none" w:sz="0" w:space="0" w:color="auto"/>
        <w:left w:val="none" w:sz="0" w:space="0" w:color="auto"/>
        <w:bottom w:val="none" w:sz="0" w:space="0" w:color="auto"/>
        <w:right w:val="none" w:sz="0" w:space="0" w:color="auto"/>
      </w:divBdr>
      <w:divsChild>
        <w:div w:id="359937601">
          <w:marLeft w:val="0"/>
          <w:marRight w:val="0"/>
          <w:marTop w:val="0"/>
          <w:marBottom w:val="0"/>
          <w:divBdr>
            <w:top w:val="none" w:sz="0" w:space="0" w:color="auto"/>
            <w:left w:val="none" w:sz="0" w:space="0" w:color="auto"/>
            <w:bottom w:val="none" w:sz="0" w:space="0" w:color="auto"/>
            <w:right w:val="none" w:sz="0" w:space="0" w:color="auto"/>
          </w:divBdr>
        </w:div>
        <w:div w:id="1835804486">
          <w:marLeft w:val="0"/>
          <w:marRight w:val="0"/>
          <w:marTop w:val="0"/>
          <w:marBottom w:val="0"/>
          <w:divBdr>
            <w:top w:val="none" w:sz="0" w:space="0" w:color="auto"/>
            <w:left w:val="none" w:sz="0" w:space="0" w:color="auto"/>
            <w:bottom w:val="none" w:sz="0" w:space="0" w:color="auto"/>
            <w:right w:val="none" w:sz="0" w:space="0" w:color="auto"/>
          </w:divBdr>
        </w:div>
        <w:div w:id="1298755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9789241565684"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999A924E-107C-45EB-BBE5-968D73DD0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4</cp:revision>
  <cp:lastPrinted>2016-07-16T14:25:00Z</cp:lastPrinted>
  <dcterms:created xsi:type="dcterms:W3CDTF">2021-05-24T15:56:00Z</dcterms:created>
  <dcterms:modified xsi:type="dcterms:W3CDTF">2021-05-27T15:31:00Z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