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98F4D" w14:textId="7054ABBA" w:rsidR="00193B55" w:rsidRPr="007E7BCB" w:rsidRDefault="00193B55" w:rsidP="007E7BCB">
      <w:pPr>
        <w:pStyle w:val="MGTHeader"/>
      </w:pPr>
      <w:bookmarkStart w:id="0" w:name="_Toc475009777"/>
      <w:bookmarkStart w:id="1" w:name="_Toc475009928"/>
      <w:bookmarkStart w:id="2" w:name="_GoBack"/>
      <w:bookmarkEnd w:id="2"/>
      <w:r w:rsidRPr="007E7BCB">
        <w:t>Goal 3:</w:t>
      </w:r>
      <w:r w:rsidR="00B31ABD" w:rsidRPr="007E7BCB">
        <w:t xml:space="preserve">  </w:t>
      </w:r>
      <w:r w:rsidRPr="007E7BCB">
        <w:t>Ensure healthy lives and promote well-being for all at all ages</w:t>
      </w:r>
      <w:bookmarkEnd w:id="0"/>
      <w:bookmarkEnd w:id="1"/>
    </w:p>
    <w:p w14:paraId="435B7828" w14:textId="77777777" w:rsidR="00193B55" w:rsidRPr="007E7BCB" w:rsidRDefault="00193B55" w:rsidP="007E7BCB">
      <w:pPr>
        <w:pStyle w:val="MGTHeader"/>
      </w:pPr>
      <w:bookmarkStart w:id="3" w:name="_Toc475009778"/>
      <w:bookmarkStart w:id="4" w:name="_Toc475009929"/>
      <w:r w:rsidRPr="007E7BCB">
        <w:t>Target 3.8:</w:t>
      </w:r>
      <w:r w:rsidR="00B31ABD" w:rsidRPr="007E7BCB">
        <w:t xml:space="preserve"> </w:t>
      </w:r>
      <w:r w:rsidRPr="007E7BCB">
        <w:t>Achieve universal health coverage, including financial risk protection, access to quality essential health-care services and access to safe, effective, quality and affordable essential medicines and vaccines for all</w:t>
      </w:r>
      <w:bookmarkEnd w:id="3"/>
      <w:bookmarkEnd w:id="4"/>
    </w:p>
    <w:p w14:paraId="271D61B0" w14:textId="4C5DADA1" w:rsidR="00193B55" w:rsidRPr="007E7BCB" w:rsidRDefault="00193B55" w:rsidP="007E7BCB">
      <w:pPr>
        <w:pStyle w:val="MIndHeader"/>
        <w:rPr>
          <w:sz w:val="21"/>
          <w:szCs w:val="21"/>
        </w:rPr>
      </w:pPr>
      <w:bookmarkStart w:id="5" w:name="_Toc475009779"/>
      <w:bookmarkStart w:id="6" w:name="_Toc475009930"/>
      <w:r w:rsidRPr="007E7BCB">
        <w:rPr>
          <w:sz w:val="21"/>
          <w:szCs w:val="21"/>
        </w:rPr>
        <w:t>Indicator 3.8.2:</w:t>
      </w:r>
      <w:r w:rsidR="00B31ABD" w:rsidRPr="007E7BCB">
        <w:rPr>
          <w:sz w:val="21"/>
          <w:szCs w:val="21"/>
        </w:rPr>
        <w:t xml:space="preserve"> </w:t>
      </w:r>
      <w:bookmarkEnd w:id="5"/>
      <w:bookmarkEnd w:id="6"/>
      <w:r w:rsidR="00CA6EB1" w:rsidRPr="007E7BCB">
        <w:rPr>
          <w:sz w:val="21"/>
          <w:szCs w:val="21"/>
        </w:rPr>
        <w:t>Proportion of population with large household expenditure on health as a share of total household expenditure or income</w:t>
      </w:r>
    </w:p>
    <w:p w14:paraId="2D395788" w14:textId="77777777" w:rsidR="00B31ABD" w:rsidRDefault="00B31ABD" w:rsidP="00415B35">
      <w:pPr>
        <w:pBdr>
          <w:bottom w:val="single" w:sz="12" w:space="4" w:color="DDDDDD"/>
        </w:pBdr>
        <w:shd w:val="clear" w:color="auto" w:fill="FFFFFF"/>
        <w:outlineLvl w:val="2"/>
        <w:rPr>
          <w:rFonts w:eastAsia="Times New Roman" w:cs="Times New Roman"/>
          <w:color w:val="1C75BC"/>
          <w:sz w:val="36"/>
          <w:szCs w:val="36"/>
          <w:lang w:eastAsia="en-GB"/>
        </w:rPr>
      </w:pPr>
    </w:p>
    <w:p w14:paraId="0BDFD7E6" w14:textId="77777777" w:rsidR="00415B35" w:rsidRPr="007E7BCB" w:rsidRDefault="00415B35" w:rsidP="007E7BCB">
      <w:pPr>
        <w:pStyle w:val="MHeader"/>
      </w:pPr>
      <w:r w:rsidRPr="007E7BCB">
        <w:t>Institutional information</w:t>
      </w:r>
    </w:p>
    <w:p w14:paraId="256A3DB7" w14:textId="77777777" w:rsidR="00415B35" w:rsidRPr="00573631" w:rsidRDefault="00415B35" w:rsidP="00415B35">
      <w:pPr>
        <w:shd w:val="clear" w:color="auto" w:fill="FFFFFF"/>
        <w:rPr>
          <w:rFonts w:eastAsia="Times New Roman" w:cs="Times New Roman"/>
          <w:b/>
          <w:bCs/>
          <w:color w:val="4A4A4A"/>
          <w:sz w:val="21"/>
          <w:szCs w:val="21"/>
          <w:lang w:eastAsia="en-GB"/>
        </w:rPr>
      </w:pPr>
    </w:p>
    <w:p w14:paraId="77CE60EE" w14:textId="77777777" w:rsidR="00415B35" w:rsidRPr="00573631" w:rsidRDefault="00B31ABD" w:rsidP="007E7BCB">
      <w:pPr>
        <w:pStyle w:val="MSubHeader"/>
      </w:pPr>
      <w:r>
        <w:t>Organization</w:t>
      </w:r>
      <w:r w:rsidR="00415B35" w:rsidRPr="00573631">
        <w:t>:</w:t>
      </w:r>
    </w:p>
    <w:p w14:paraId="42781366" w14:textId="21F4B27B" w:rsidR="00415B35" w:rsidRDefault="00415B35" w:rsidP="00B31ABD">
      <w:pPr>
        <w:shd w:val="clear" w:color="auto" w:fill="FFFFFF"/>
        <w:spacing w:line="276" w:lineRule="auto"/>
        <w:rPr>
          <w:rFonts w:eastAsia="Times New Roman" w:cs="Times New Roman"/>
          <w:color w:val="4A4A4A"/>
          <w:sz w:val="21"/>
          <w:szCs w:val="21"/>
          <w:lang w:eastAsia="en-GB"/>
        </w:rPr>
      </w:pPr>
      <w:r w:rsidRPr="00B31ABD">
        <w:rPr>
          <w:rFonts w:eastAsia="Times New Roman" w:cs="Times New Roman"/>
          <w:color w:val="4A4A4A"/>
          <w:sz w:val="21"/>
          <w:szCs w:val="21"/>
          <w:lang w:eastAsia="en-GB"/>
        </w:rPr>
        <w:t>World Health Organization</w:t>
      </w:r>
      <w:r w:rsidR="00B31ABD" w:rsidRPr="00B31ABD">
        <w:rPr>
          <w:rFonts w:eastAsia="Times New Roman" w:cs="Times New Roman"/>
          <w:color w:val="4A4A4A"/>
          <w:sz w:val="21"/>
          <w:szCs w:val="21"/>
          <w:lang w:eastAsia="en-GB"/>
        </w:rPr>
        <w:t xml:space="preserve"> (WHO)</w:t>
      </w:r>
    </w:p>
    <w:p w14:paraId="5696F509" w14:textId="77777777" w:rsidR="007E7BCB" w:rsidRPr="007E7BCB" w:rsidRDefault="007E7BCB" w:rsidP="007E7BCB">
      <w:pPr>
        <w:pStyle w:val="MHeader"/>
        <w:rPr>
          <w:sz w:val="24"/>
          <w:szCs w:val="24"/>
        </w:rPr>
      </w:pPr>
      <w:bookmarkStart w:id="7" w:name="_Toc475009780"/>
      <w:bookmarkStart w:id="8" w:name="_Toc475009931"/>
    </w:p>
    <w:p w14:paraId="16DBAE4A" w14:textId="0F0F3CAA" w:rsidR="00193B55" w:rsidRPr="00B31ABD" w:rsidRDefault="00193B55" w:rsidP="007E7BCB">
      <w:pPr>
        <w:pStyle w:val="MHeader"/>
      </w:pPr>
      <w:r w:rsidRPr="00B31ABD">
        <w:t>Concepts and definitions</w:t>
      </w:r>
      <w:bookmarkEnd w:id="7"/>
      <w:bookmarkEnd w:id="8"/>
    </w:p>
    <w:p w14:paraId="04BA1857" w14:textId="77777777" w:rsidR="00193B55" w:rsidRPr="00466AC0" w:rsidRDefault="00193B55" w:rsidP="00193B55">
      <w:pPr>
        <w:shd w:val="clear" w:color="auto" w:fill="FFFFFF"/>
        <w:spacing w:line="276" w:lineRule="auto"/>
        <w:jc w:val="both"/>
        <w:rPr>
          <w:rFonts w:eastAsia="Times New Roman" w:cstheme="minorHAnsi"/>
          <w:b/>
          <w:bCs/>
          <w:color w:val="4A4A4A"/>
          <w:sz w:val="21"/>
          <w:szCs w:val="21"/>
          <w:lang w:eastAsia="en-GB"/>
        </w:rPr>
      </w:pPr>
    </w:p>
    <w:p w14:paraId="724471B5" w14:textId="77777777" w:rsidR="00193B55" w:rsidRPr="00466AC0" w:rsidRDefault="00193B55" w:rsidP="007E7BCB">
      <w:pPr>
        <w:pStyle w:val="MSubHeader"/>
      </w:pPr>
      <w:r w:rsidRPr="00466AC0">
        <w:t>Definition:</w:t>
      </w:r>
    </w:p>
    <w:p w14:paraId="46CB1E1F" w14:textId="77777777" w:rsidR="00193B55" w:rsidRPr="00466AC0" w:rsidRDefault="00193B55" w:rsidP="007E7BCB">
      <w:pPr>
        <w:pStyle w:val="MText"/>
        <w:rPr>
          <w:shd w:val="clear" w:color="auto" w:fill="FFFFFF"/>
        </w:rPr>
      </w:pPr>
      <w:r w:rsidRPr="00466AC0">
        <w:rPr>
          <w:shd w:val="clear" w:color="auto" w:fill="FFFFFF"/>
        </w:rPr>
        <w:t xml:space="preserve">Proportion of the population with large household expenditure on health as a share of total household expenditure or income. </w:t>
      </w:r>
    </w:p>
    <w:p w14:paraId="6F374672" w14:textId="77777777" w:rsidR="007E7BCB" w:rsidRDefault="007E7BCB" w:rsidP="007E7BCB">
      <w:pPr>
        <w:pStyle w:val="MText"/>
        <w:rPr>
          <w:shd w:val="clear" w:color="auto" w:fill="FFFFFF"/>
        </w:rPr>
      </w:pPr>
    </w:p>
    <w:p w14:paraId="1264E603" w14:textId="6CD6B2D1" w:rsidR="007E7BCB" w:rsidRDefault="00193B55" w:rsidP="007E7BCB">
      <w:pPr>
        <w:pStyle w:val="MText"/>
        <w:rPr>
          <w:shd w:val="clear" w:color="auto" w:fill="FFFFFF"/>
        </w:rPr>
      </w:pPr>
      <w:r w:rsidRPr="00466AC0">
        <w:rPr>
          <w:shd w:val="clear" w:color="auto" w:fill="FFFFFF"/>
        </w:rPr>
        <w:t>Two thresholds are used to define “large household expenditure on health”: greater than 10% and greater than 25% of total household expenditure or income.</w:t>
      </w:r>
    </w:p>
    <w:p w14:paraId="794F5E5B" w14:textId="5680485C" w:rsidR="00193B55" w:rsidRPr="00466AC0" w:rsidRDefault="00193B55" w:rsidP="007E7BCB">
      <w:pPr>
        <w:pStyle w:val="MText"/>
        <w:rPr>
          <w:shd w:val="clear" w:color="auto" w:fill="FFFFFF"/>
        </w:rPr>
      </w:pPr>
      <w:r w:rsidRPr="00466AC0">
        <w:rPr>
          <w:shd w:val="clear" w:color="auto" w:fill="FFFFFF"/>
        </w:rPr>
        <w:t xml:space="preserve"> </w:t>
      </w:r>
    </w:p>
    <w:p w14:paraId="74E3B3C1" w14:textId="77777777" w:rsidR="00193B55" w:rsidRPr="00466AC0" w:rsidRDefault="00193B55" w:rsidP="007E7BCB">
      <w:pPr>
        <w:pStyle w:val="MSubHeader"/>
      </w:pPr>
      <w:r w:rsidRPr="00466AC0">
        <w:t>Rationale:</w:t>
      </w:r>
    </w:p>
    <w:p w14:paraId="5E73E620" w14:textId="0396FCA8" w:rsidR="00193B55" w:rsidRDefault="00193B55" w:rsidP="007E7BCB">
      <w:pPr>
        <w:pStyle w:val="MText"/>
      </w:pPr>
      <w:r w:rsidRPr="00466AC0">
        <w:t>Target 3.8 is defined as “Achieve universal health coverage, including financial risk protection, access to quality essential health-care services and access to safe, effective, quality and affordable essential medicines and vaccines for all”.  The concern is with all people and communities receiving the quality health services they need (including medicines and other health products), without financial hardship. Two indicators have been chosen to monitor target 3.8 within the SDG framework. Indicator 3.8.1 is for health service coverage, which is operationalized with an index that combines 16 health service coverage indicators for reproductive, maternal and child health, infectious diseases, non-communicable diseases, and service capacity and acce</w:t>
      </w:r>
      <w:r>
        <w:t>ss into a single summary metric</w:t>
      </w:r>
      <w:r w:rsidRPr="00466AC0">
        <w:t>. Indicator 3.8.2 focuses on health expenditures in relation to a household’s budget to identify financial hardship caused by direct health care payments. Taken together, indicators 3.8.1 and 3.8.2 are meant to capture the service coverage and financial protection dimensions, respectively, of target 3.8. These two indicators should be always monitored jointly.</w:t>
      </w:r>
    </w:p>
    <w:p w14:paraId="52676EE7" w14:textId="77777777" w:rsidR="007E7BCB" w:rsidRPr="00466AC0" w:rsidRDefault="007E7BCB" w:rsidP="007E7BCB">
      <w:pPr>
        <w:pStyle w:val="MText"/>
      </w:pPr>
    </w:p>
    <w:p w14:paraId="1F5052F0" w14:textId="77777777" w:rsidR="00193B55" w:rsidRPr="007714C2" w:rsidRDefault="00193B55" w:rsidP="007E7BCB">
      <w:pPr>
        <w:pStyle w:val="MText"/>
      </w:pPr>
      <w:r w:rsidRPr="00466AC0">
        <w:t xml:space="preserve">Indicator 3.8.2 </w:t>
      </w:r>
      <w:r w:rsidRPr="00466AC0">
        <w:rPr>
          <w:rFonts w:eastAsia="TT15Ct00"/>
        </w:rPr>
        <w:t xml:space="preserve">derives from methodologies dating back to the 1990s </w:t>
      </w:r>
      <w:r w:rsidRPr="00466AC0">
        <w:t xml:space="preserve">developed in collaboration with academics at the World Bank and the World Health Organization. Indicator 3.8.2 is about identifying people that need to devote a substantial share of their total household expenditure or income to health care. The focus is on payments made at the point of use to get any type of treatment, from any type of provider, for any type of disease or health problem, net of any reimbursements to the individual who made the payment but excluding pre-payments for health services; for </w:t>
      </w:r>
      <w:r w:rsidR="00B31ABD" w:rsidRPr="00466AC0">
        <w:t>example,</w:t>
      </w:r>
      <w:r w:rsidRPr="00466AC0">
        <w:t xml:space="preserve"> in the form of taxes or specific insurance premiums or contributions. </w:t>
      </w:r>
      <w:r w:rsidRPr="007714C2">
        <w:t xml:space="preserve">Such direct payments are the least equitable way to finance the health systems given that they determine the extent of care received. </w:t>
      </w:r>
    </w:p>
    <w:p w14:paraId="2BEFF572" w14:textId="77777777" w:rsidR="007E7BCB" w:rsidRDefault="007E7BCB" w:rsidP="007E7BCB">
      <w:pPr>
        <w:pStyle w:val="MText"/>
      </w:pPr>
    </w:p>
    <w:p w14:paraId="678A7795" w14:textId="651684C2" w:rsidR="00193B55" w:rsidRPr="00466AC0" w:rsidRDefault="00193B55" w:rsidP="007E7BCB">
      <w:pPr>
        <w:pStyle w:val="MText"/>
      </w:pPr>
      <w:r w:rsidRPr="007714C2">
        <w:lastRenderedPageBreak/>
        <w:t>This is clearly against the spirit of the target, which calls for granting access based on health needs not a household’s capacity to pull together all its financial resources to meet the health needs of its members. Some direct payments might be needed but indicator 3.8.2 is underpinned by the conviction that no one, at whatever income level, should have to choose between spending on health and spending on other basic goods and services such as education tuitions, food necessities, housing and utilities.</w:t>
      </w:r>
      <w:r w:rsidRPr="00466AC0">
        <w:t xml:space="preserve"> One way of assessing the extent to which health systems lead to financial hardship is to calculate the proportion of the population with large household expenditures on health as a share of household total consumption or income. </w:t>
      </w:r>
      <w:r w:rsidR="00EA2011">
        <w:t xml:space="preserve"> For</w:t>
      </w:r>
      <w:r w:rsidR="00F75FB2">
        <w:t xml:space="preserve"> detailed information on the definition chosen to monitor the financial protection dimension of universal health coverage within the SDG monitoring framework (indicator 3.8.2) </w:t>
      </w:r>
      <w:r w:rsidR="00EA2011">
        <w:t>please consult</w:t>
      </w:r>
      <w:r w:rsidR="00F75FB2">
        <w:t xml:space="preserve">   Wagstaff et al. (2018) and chapter 2 in the WHO</w:t>
      </w:r>
      <w:r w:rsidR="00F75FB2" w:rsidRPr="00F75FB2">
        <w:t xml:space="preserve"> and World Bank</w:t>
      </w:r>
      <w:r w:rsidR="00821CD4">
        <w:t xml:space="preserve"> </w:t>
      </w:r>
      <w:r w:rsidR="00F75FB2">
        <w:t>report on</w:t>
      </w:r>
      <w:r w:rsidR="00EA2011">
        <w:t xml:space="preserve"> “Tracking universal health coverage: 2017 global monitoring report</w:t>
      </w:r>
      <w:r w:rsidR="00F75FB2">
        <w:t>”</w:t>
      </w:r>
      <w:r w:rsidR="00821CD4">
        <w:t>.</w:t>
      </w:r>
    </w:p>
    <w:p w14:paraId="0C0DC4B0" w14:textId="77777777" w:rsidR="00E31B58" w:rsidRDefault="00E31B58" w:rsidP="007E7BCB">
      <w:pPr>
        <w:pStyle w:val="MSubHeader"/>
      </w:pPr>
    </w:p>
    <w:p w14:paraId="461A8A63" w14:textId="349D27D4" w:rsidR="00193B55" w:rsidRPr="00466AC0" w:rsidRDefault="00193B55" w:rsidP="007E7BCB">
      <w:pPr>
        <w:pStyle w:val="MSubHeader"/>
      </w:pPr>
      <w:r w:rsidRPr="00466AC0">
        <w:t>Concepts:</w:t>
      </w:r>
    </w:p>
    <w:p w14:paraId="033BCA17" w14:textId="77777777" w:rsidR="00193B55" w:rsidRPr="00466AC0" w:rsidRDefault="00193B55" w:rsidP="00193B55">
      <w:pPr>
        <w:shd w:val="clear" w:color="auto" w:fill="FFFFFF"/>
        <w:spacing w:line="276" w:lineRule="auto"/>
        <w:jc w:val="both"/>
        <w:rPr>
          <w:rFonts w:eastAsia="Times New Roman" w:cstheme="minorHAnsi"/>
          <w:b/>
          <w:bCs/>
          <w:color w:val="4A4A4A"/>
          <w:sz w:val="21"/>
          <w:szCs w:val="21"/>
          <w:u w:val="single"/>
          <w:lang w:eastAsia="en-GB"/>
        </w:rPr>
      </w:pPr>
    </w:p>
    <w:p w14:paraId="27C48AD5" w14:textId="3EF4D6EB" w:rsidR="00193B55" w:rsidRPr="00466AC0" w:rsidRDefault="00193B55" w:rsidP="007E7BCB">
      <w:pPr>
        <w:pStyle w:val="MText"/>
        <w:rPr>
          <w:shd w:val="clear" w:color="auto" w:fill="FFFFFF"/>
        </w:rPr>
      </w:pPr>
      <w:r w:rsidRPr="00466AC0">
        <w:rPr>
          <w:shd w:val="clear" w:color="auto" w:fill="FFFFFF"/>
        </w:rPr>
        <w:t>Indicator 3.8.2 is defined as the “Proportion of the population with large household expenditure on health as a share of total household expenditure or income”. In effect it is based on a ratio exceeding a threshold. The two main concepts of interest behind this ratio are household expenditure on health (numerator) and total household consumption expenditure or</w:t>
      </w:r>
      <w:r w:rsidR="0072455A">
        <w:rPr>
          <w:shd w:val="clear" w:color="auto" w:fill="FFFFFF"/>
        </w:rPr>
        <w:t>,</w:t>
      </w:r>
      <w:r w:rsidRPr="00466AC0">
        <w:rPr>
          <w:shd w:val="clear" w:color="auto" w:fill="FFFFFF"/>
        </w:rPr>
        <w:t xml:space="preserve"> when unavailable</w:t>
      </w:r>
      <w:r w:rsidR="0072455A">
        <w:rPr>
          <w:shd w:val="clear" w:color="auto" w:fill="FFFFFF"/>
        </w:rPr>
        <w:t>,</w:t>
      </w:r>
      <w:r w:rsidRPr="00466AC0">
        <w:rPr>
          <w:shd w:val="clear" w:color="auto" w:fill="FFFFFF"/>
        </w:rPr>
        <w:t xml:space="preserve"> income (denominator). </w:t>
      </w:r>
    </w:p>
    <w:p w14:paraId="1A3845E3" w14:textId="77777777" w:rsidR="007E7BCB" w:rsidRDefault="007E7BCB" w:rsidP="007E7BCB">
      <w:pPr>
        <w:pStyle w:val="MText"/>
      </w:pPr>
    </w:p>
    <w:p w14:paraId="3A0EC2E1" w14:textId="69EF3E5C" w:rsidR="00193B55" w:rsidRPr="007E7BCB" w:rsidRDefault="00193B55" w:rsidP="007E7BCB">
      <w:pPr>
        <w:pStyle w:val="MText"/>
        <w:rPr>
          <w:b/>
          <w:bCs/>
          <w:i/>
          <w:iCs/>
        </w:rPr>
      </w:pPr>
      <w:r w:rsidRPr="007E7BCB">
        <w:rPr>
          <w:b/>
          <w:bCs/>
          <w:i/>
          <w:iCs/>
        </w:rPr>
        <w:t>Numerator</w:t>
      </w:r>
    </w:p>
    <w:p w14:paraId="635716BD" w14:textId="3BEDEE59" w:rsidR="00193B55" w:rsidRPr="00466AC0" w:rsidRDefault="00193B55" w:rsidP="007E7BCB">
      <w:pPr>
        <w:pStyle w:val="MText"/>
      </w:pPr>
      <w:r w:rsidRPr="00466AC0">
        <w:t xml:space="preserve">Household expenditure on health is defined as any expenditure incurred at the time of service use to get any type of care (promotive, preventive, curative, rehabilitative, palliative or long-term care) including all medicines, vaccines and other pharmaceutical preparations as well as all health products, </w:t>
      </w:r>
      <w:r w:rsidRPr="00466AC0">
        <w:rPr>
          <w:i/>
          <w:iCs/>
        </w:rPr>
        <w:t>from any type of provider and for all members of the household</w:t>
      </w:r>
      <w:r w:rsidRPr="00466AC0">
        <w:t xml:space="preserve">. These health expenditures are characterized by a direct payments that are financed by a household’s income (including remittances), savings or loans </w:t>
      </w:r>
      <w:r w:rsidRPr="00466AC0">
        <w:rPr>
          <w:b/>
          <w:bCs/>
        </w:rPr>
        <w:t xml:space="preserve">but do not include any third-party payer reimbursement. </w:t>
      </w:r>
      <w:r w:rsidRPr="00466AC0">
        <w:t>As such they only grant access to the health services and health products individuals can pay for, without any solidarity between the healthy and the sick beyond the household</w:t>
      </w:r>
      <w:r w:rsidRPr="00466AC0">
        <w:rPr>
          <w:vertAlign w:val="superscript"/>
        </w:rPr>
        <w:footnoteReference w:id="1"/>
      </w:r>
      <w:r w:rsidRPr="00466AC0">
        <w:t xml:space="preserve"> and solely based on the willingness and ability of the household to pay. Direct health care payments are labelled Out-Of-Pocket (OOP) payments in the classification of health care financing schemes (HF) of the international Classification for Health Accounts (ICHA). OOP health expenditures are the most unequitable source of funding for the health system.  </w:t>
      </w:r>
    </w:p>
    <w:p w14:paraId="39F660D7" w14:textId="77777777" w:rsidR="007E7BCB" w:rsidRDefault="007E7BCB" w:rsidP="007E7BCB">
      <w:pPr>
        <w:pStyle w:val="MText"/>
      </w:pPr>
    </w:p>
    <w:p w14:paraId="1F104B2C" w14:textId="37079BF2" w:rsidR="00193B55" w:rsidRPr="00466AC0" w:rsidRDefault="00193B55" w:rsidP="007E7BCB">
      <w:pPr>
        <w:pStyle w:val="MText"/>
      </w:pPr>
      <w:r w:rsidRPr="00466AC0">
        <w:t>The components of a household’s health care consumption expenditure so defined should be consistent with division 06</w:t>
      </w:r>
      <w:r w:rsidR="004123A2">
        <w:t xml:space="preserve"> on health</w:t>
      </w:r>
      <w:r w:rsidRPr="00466AC0">
        <w:t xml:space="preserve"> of the UN Classification of Individual Consumptio</w:t>
      </w:r>
      <w:r>
        <w:t>n According to Purpose (COICOP)</w:t>
      </w:r>
      <w:r w:rsidRPr="00466AC0">
        <w:t xml:space="preserve"> </w:t>
      </w:r>
      <w:r w:rsidR="004123A2">
        <w:t xml:space="preserve">which currently </w:t>
      </w:r>
      <w:r w:rsidR="004123A2" w:rsidRPr="00466AC0">
        <w:t xml:space="preserve"> </w:t>
      </w:r>
      <w:r w:rsidRPr="00466AC0">
        <w:t>include</w:t>
      </w:r>
      <w:r w:rsidR="004123A2">
        <w:t>s</w:t>
      </w:r>
      <w:r w:rsidRPr="00466AC0">
        <w:t xml:space="preserve"> expenditures on medicines and medical products (06.1), outpatient care services (06.2) and inpatient care services (06.3)</w:t>
      </w:r>
      <w:r w:rsidR="004123A2">
        <w:t xml:space="preserve"> but is being expanded</w:t>
      </w:r>
      <w:r w:rsidR="004123A2" w:rsidRPr="00466AC0">
        <w:rPr>
          <w:vertAlign w:val="superscript"/>
        </w:rPr>
        <w:footnoteReference w:id="2"/>
      </w:r>
      <w:r w:rsidRPr="00466AC0">
        <w:t>.</w:t>
      </w:r>
    </w:p>
    <w:p w14:paraId="3D17042A" w14:textId="77777777" w:rsidR="007E7BCB" w:rsidRDefault="007E7BCB" w:rsidP="007E7BCB">
      <w:pPr>
        <w:pStyle w:val="MText"/>
      </w:pPr>
    </w:p>
    <w:p w14:paraId="4F2089C9" w14:textId="274C81A9" w:rsidR="00AC773F" w:rsidRDefault="00193B55" w:rsidP="007E7BCB">
      <w:pPr>
        <w:pStyle w:val="MText"/>
      </w:pPr>
      <w:r w:rsidRPr="00466AC0">
        <w:t xml:space="preserve">Further information on definitions and classifications (for example by provider, by beneficiary characteristics) of health expenditures should be consistent with the </w:t>
      </w:r>
      <w:hyperlink r:id="rId8" w:history="1">
        <w:r w:rsidRPr="00466AC0">
          <w:rPr>
            <w:color w:val="0000FF" w:themeColor="hyperlink"/>
            <w:u w:val="single"/>
          </w:rPr>
          <w:t>international classification for health accounts</w:t>
        </w:r>
      </w:hyperlink>
      <w:r w:rsidRPr="00466AC0">
        <w:t xml:space="preserve"> and its family of classifications. ICHA results from collaboration between OECD, Eurostat and the World Health Organization.</w:t>
      </w:r>
      <w:r w:rsidR="00AC773F">
        <w:t xml:space="preserve">  </w:t>
      </w:r>
    </w:p>
    <w:p w14:paraId="0AFEFB99" w14:textId="77777777" w:rsidR="007E7BCB" w:rsidRDefault="007E7BCB" w:rsidP="00193B55">
      <w:pPr>
        <w:shd w:val="clear" w:color="auto" w:fill="FFFFFF"/>
        <w:spacing w:after="200" w:line="276" w:lineRule="auto"/>
        <w:jc w:val="both"/>
        <w:rPr>
          <w:rFonts w:eastAsia="Times New Roman" w:cstheme="minorHAnsi"/>
          <w:i/>
          <w:iCs/>
          <w:color w:val="4A4A4A"/>
          <w:sz w:val="21"/>
          <w:szCs w:val="21"/>
          <w:lang w:eastAsia="en-GB"/>
        </w:rPr>
      </w:pPr>
    </w:p>
    <w:p w14:paraId="382AA882" w14:textId="1FA15322" w:rsidR="00193B55" w:rsidRPr="007E7BCB" w:rsidRDefault="00193B55" w:rsidP="007E7BCB">
      <w:pPr>
        <w:pStyle w:val="MText"/>
        <w:rPr>
          <w:b/>
          <w:bCs/>
          <w:i/>
          <w:iCs/>
        </w:rPr>
      </w:pPr>
      <w:r w:rsidRPr="007E7BCB">
        <w:rPr>
          <w:b/>
          <w:bCs/>
          <w:i/>
          <w:iCs/>
        </w:rPr>
        <w:lastRenderedPageBreak/>
        <w:t>Denominator</w:t>
      </w:r>
    </w:p>
    <w:p w14:paraId="578F4E14" w14:textId="77777777" w:rsidR="00193B55" w:rsidRPr="00466AC0" w:rsidRDefault="00193B55" w:rsidP="007E7BCB">
      <w:pPr>
        <w:pStyle w:val="MText"/>
      </w:pPr>
      <w:r w:rsidRPr="00466AC0">
        <w:t>Expenditure on household consumption and household income are both monetary welfare measures. Household consumption is a function of permanent income, which is a measure of a household’s long-term economic resources that determine living standards. Consumption is generally defined as the sum of the monetary values of all items (goods and services) consumed by the household on domestic account during a reference period. It includes the imputed values of goods and services that are not purchased but procured otherwise for consumption. Information on household consumption is usually collected in household surveys that may use different approaches to measure ‘consumption’ depending on whether items refer to durable or non-durable goods and/or are directly produced by households.</w:t>
      </w:r>
    </w:p>
    <w:p w14:paraId="5A3407B0" w14:textId="77777777" w:rsidR="007E7BCB" w:rsidRDefault="007E7BCB" w:rsidP="007E7BCB">
      <w:pPr>
        <w:pStyle w:val="MText"/>
      </w:pPr>
    </w:p>
    <w:p w14:paraId="2FB340B7" w14:textId="517A419D" w:rsidR="00193B55" w:rsidRPr="00466AC0" w:rsidRDefault="00193B55" w:rsidP="007E7BCB">
      <w:pPr>
        <w:pStyle w:val="MText"/>
      </w:pPr>
      <w:r w:rsidRPr="00466AC0">
        <w:t>The most relevant measure of income is disposable income as it is close to the maximum available to the household for consumption expenditure during the accounting period. Disposable income is defined as total income less direct taxes (net of refunds), compulsory fees and fines. Total income is generally composed of income from employment, property income, income from household production of services for own consumption, transfers received in cash and goods, transfers received as services</w:t>
      </w:r>
      <w:r w:rsidRPr="00466AC0">
        <w:rPr>
          <w:vertAlign w:val="superscript"/>
        </w:rPr>
        <w:footnoteReference w:id="3"/>
      </w:r>
      <w:r w:rsidRPr="00466AC0">
        <w:t xml:space="preserve">. </w:t>
      </w:r>
    </w:p>
    <w:p w14:paraId="67A21E88" w14:textId="77777777" w:rsidR="007E7BCB" w:rsidRDefault="007E7BCB" w:rsidP="007E7BCB">
      <w:pPr>
        <w:pStyle w:val="MText"/>
      </w:pPr>
    </w:p>
    <w:p w14:paraId="0AC67218" w14:textId="7306D18E" w:rsidR="00821CD4" w:rsidRDefault="00193B55" w:rsidP="007E7BCB">
      <w:pPr>
        <w:pStyle w:val="MText"/>
      </w:pPr>
      <w:r w:rsidRPr="00466AC0">
        <w:t xml:space="preserve">Income is more difficult to measure accurately due to its greater variability over time. Consumption is less variable over time and easier to measure. It is therefore recommended that whenever there is information on both household consumption and income the former is </w:t>
      </w:r>
      <w:r w:rsidRPr="009269B7">
        <w:t>used</w:t>
      </w:r>
      <w:r w:rsidR="00C74DBD" w:rsidRPr="009269B7">
        <w:t xml:space="preserve"> </w:t>
      </w:r>
      <w:r w:rsidR="00C74DBD" w:rsidRPr="001573C3">
        <w:t>(see</w:t>
      </w:r>
      <w:r w:rsidR="009269B7">
        <w:t xml:space="preserve"> the “comments and limitations” section to learn more about the sensitivity of 3.8.2 to the income/expenditure choice in the denominator</w:t>
      </w:r>
      <w:r w:rsidR="00C315A9">
        <w:t xml:space="preserve">). Statistics on 3.8.2 currently produced by WHO and the World Bank predominantly rely on consumption (see </w:t>
      </w:r>
      <w:r w:rsidR="009269B7">
        <w:t>section on</w:t>
      </w:r>
      <w:r w:rsidR="00C74DBD" w:rsidRPr="00C315A9">
        <w:t xml:space="preserve"> data sources)</w:t>
      </w:r>
      <w:r w:rsidRPr="00C315A9">
        <w:t>.</w:t>
      </w:r>
      <w:r w:rsidR="00821CD4">
        <w:t xml:space="preserve"> </w:t>
      </w:r>
    </w:p>
    <w:p w14:paraId="2257ED55" w14:textId="77777777" w:rsidR="007E7BCB" w:rsidRDefault="007E7BCB" w:rsidP="007E7BCB">
      <w:pPr>
        <w:pStyle w:val="MSubHeader"/>
        <w:rPr>
          <w:i/>
          <w:iCs/>
          <w:shd w:val="clear" w:color="auto" w:fill="FFFFFF"/>
        </w:rPr>
      </w:pPr>
    </w:p>
    <w:p w14:paraId="7A13AC60" w14:textId="615C05D0" w:rsidR="00193B55" w:rsidRPr="007E7BCB" w:rsidRDefault="00193B55" w:rsidP="007E7BCB">
      <w:pPr>
        <w:pStyle w:val="MSubHeader"/>
        <w:rPr>
          <w:i/>
          <w:iCs/>
          <w:shd w:val="clear" w:color="auto" w:fill="FFFFFF"/>
        </w:rPr>
      </w:pPr>
      <w:r w:rsidRPr="007E7BCB">
        <w:rPr>
          <w:i/>
          <w:iCs/>
          <w:shd w:val="clear" w:color="auto" w:fill="FFFFFF"/>
        </w:rPr>
        <w:t>Threshold</w:t>
      </w:r>
      <w:r w:rsidR="009269B7" w:rsidRPr="007E7BCB">
        <w:rPr>
          <w:i/>
          <w:iCs/>
          <w:shd w:val="clear" w:color="auto" w:fill="FFFFFF"/>
        </w:rPr>
        <w:t>s</w:t>
      </w:r>
    </w:p>
    <w:p w14:paraId="02E0408D" w14:textId="77777777" w:rsidR="00943562" w:rsidRDefault="00193B55" w:rsidP="007E7BCB">
      <w:pPr>
        <w:pStyle w:val="MText"/>
      </w:pPr>
      <w:r w:rsidRPr="00466AC0">
        <w:t>It is recommended to use two thresholds for global reporting to identify large household expenditure on health as share of total household consumption or income</w:t>
      </w:r>
      <w:r w:rsidRPr="00466AC0">
        <w:rPr>
          <w:u w:val="single"/>
        </w:rPr>
        <w:t xml:space="preserve">: </w:t>
      </w:r>
      <w:r w:rsidRPr="00466AC0">
        <w:rPr>
          <w:b/>
          <w:bCs/>
          <w:u w:val="single"/>
        </w:rPr>
        <w:t xml:space="preserve">a lower threshold </w:t>
      </w:r>
      <w:r w:rsidR="00130173">
        <w:rPr>
          <w:b/>
          <w:bCs/>
          <w:u w:val="single"/>
        </w:rPr>
        <w:t>of</w:t>
      </w:r>
      <w:r w:rsidR="00130173" w:rsidRPr="00466AC0">
        <w:rPr>
          <w:b/>
          <w:bCs/>
          <w:u w:val="single"/>
        </w:rPr>
        <w:t xml:space="preserve"> </w:t>
      </w:r>
      <w:r w:rsidRPr="00466AC0">
        <w:rPr>
          <w:b/>
          <w:bCs/>
          <w:u w:val="single"/>
        </w:rPr>
        <w:t>10%</w:t>
      </w:r>
      <w:r w:rsidR="009269B7">
        <w:rPr>
          <w:b/>
          <w:bCs/>
          <w:u w:val="single"/>
        </w:rPr>
        <w:t xml:space="preserve"> (3.8.2_10)</w:t>
      </w:r>
      <w:r w:rsidRPr="00466AC0">
        <w:rPr>
          <w:b/>
          <w:bCs/>
          <w:u w:val="single"/>
        </w:rPr>
        <w:t xml:space="preserve"> and a higher threshold of 25%</w:t>
      </w:r>
      <w:r w:rsidR="009269B7">
        <w:rPr>
          <w:b/>
          <w:bCs/>
          <w:u w:val="single"/>
        </w:rPr>
        <w:t xml:space="preserve"> (3.8.2_25)</w:t>
      </w:r>
      <w:r w:rsidRPr="00466AC0">
        <w:t>. With these two thresholds the indicator measures financial hardship</w:t>
      </w:r>
      <w:r w:rsidR="00943562">
        <w:t xml:space="preserve"> </w:t>
      </w:r>
    </w:p>
    <w:p w14:paraId="4C939AA8" w14:textId="22389785" w:rsidR="00FC4F9C" w:rsidRDefault="00193B55" w:rsidP="007E7BCB">
      <w:pPr>
        <w:pStyle w:val="MText"/>
      </w:pPr>
      <w:r w:rsidRPr="00466AC0">
        <w:t xml:space="preserve"> (see section on comments and limitations). </w:t>
      </w:r>
      <w:r w:rsidR="00943562">
        <w:t xml:space="preserve">   </w:t>
      </w:r>
    </w:p>
    <w:p w14:paraId="70198149" w14:textId="77777777" w:rsidR="007E7BCB" w:rsidRDefault="007E7BCB" w:rsidP="007E7BCB">
      <w:pPr>
        <w:pStyle w:val="MText"/>
      </w:pPr>
    </w:p>
    <w:p w14:paraId="38175488" w14:textId="55A10BC0" w:rsidR="00193B55" w:rsidRPr="00466AC0" w:rsidRDefault="00193B55" w:rsidP="007E7BCB">
      <w:pPr>
        <w:pStyle w:val="MSubHeader"/>
      </w:pPr>
      <w:r w:rsidRPr="00466AC0">
        <w:t>Comments and limitations:</w:t>
      </w:r>
    </w:p>
    <w:p w14:paraId="7212AFE2" w14:textId="4A74B77E" w:rsidR="00193B55" w:rsidRDefault="00193B55" w:rsidP="007E7BCB">
      <w:pPr>
        <w:pStyle w:val="MText"/>
      </w:pPr>
      <w:r w:rsidRPr="00466AC0">
        <w:t>It is feasible to monitor indicator 3.8.2 on a regular basis using the same household survey data that is used to monitor SDG target 1.1 and 1.2 on poverty</w:t>
      </w:r>
      <w:r w:rsidRPr="00466AC0">
        <w:rPr>
          <w:vertAlign w:val="superscript"/>
        </w:rPr>
        <w:footnoteReference w:id="4"/>
      </w:r>
      <w:r w:rsidRPr="00466AC0">
        <w:t xml:space="preserve">. These surveys are also regularly conducted for other purposes such as calculating weights for the Consumer Price Index. </w:t>
      </w:r>
      <w:r w:rsidRPr="00466AC0">
        <w:rPr>
          <w:rFonts w:cs="Calibri"/>
          <w:color w:val="595959" w:themeColor="text1" w:themeTint="A6"/>
          <w:lang w:val="en-US"/>
        </w:rPr>
        <w:t>These surveys are conducted typically by NSOs</w:t>
      </w:r>
      <w:r w:rsidRPr="00466AC0">
        <w:rPr>
          <w:rFonts w:ascii="Calibri" w:hAnsi="Calibri" w:cs="Calibri"/>
          <w:color w:val="595959" w:themeColor="text1" w:themeTint="A6"/>
          <w:lang w:val="en-US"/>
        </w:rPr>
        <w:t>.</w:t>
      </w:r>
      <w:r w:rsidRPr="00466AC0">
        <w:rPr>
          <w:color w:val="595959" w:themeColor="text1" w:themeTint="A6"/>
        </w:rPr>
        <w:t xml:space="preserve"> Thus, monitoring the proportion of the population with large household expenditures on health as a share of total household consumption or income does not add any ad</w:t>
      </w:r>
      <w:r w:rsidRPr="00466AC0">
        <w:t>ditional data collection burden so long as the health expenditure component of the household non-food consumption data can be identified. While this is an advantage, indicator 3.8.2 suffers from the same challenges of timeliness, frequency, data quality and comparability of surveys than SDG indicator 1.1.1.  However, indicator 3.8.2 has its own conceptual and empirical limitations.</w:t>
      </w:r>
    </w:p>
    <w:p w14:paraId="7AB0479E" w14:textId="77777777" w:rsidR="007E7BCB" w:rsidRPr="00466AC0" w:rsidRDefault="007E7BCB" w:rsidP="007E7BCB">
      <w:pPr>
        <w:pStyle w:val="MText"/>
      </w:pPr>
    </w:p>
    <w:p w14:paraId="51F26012" w14:textId="77777777" w:rsidR="00193B55" w:rsidRPr="00466AC0" w:rsidRDefault="00193B55" w:rsidP="007E7BCB">
      <w:pPr>
        <w:pStyle w:val="MText"/>
      </w:pPr>
      <w:r w:rsidRPr="00466AC0">
        <w:t>First, indicator 3.8.2 attempts to identify financial hardship that individuals face when using their income, savings or taking loans to pay for health care. However, most household surveys fail to identify the source of funding used by a household who is reporting health expenditur</w:t>
      </w:r>
      <w:r w:rsidRPr="00466AC0">
        <w:rPr>
          <w:color w:val="595959" w:themeColor="text1" w:themeTint="A6"/>
        </w:rPr>
        <w:t>e. In countries where there is no retrospective reimbursement of household spending on health</w:t>
      </w:r>
      <w:r w:rsidRPr="00466AC0" w:rsidDel="009B39C8">
        <w:rPr>
          <w:color w:val="595959" w:themeColor="text1" w:themeTint="A6"/>
        </w:rPr>
        <w:t xml:space="preserve"> </w:t>
      </w:r>
      <w:r w:rsidRPr="00466AC0">
        <w:t xml:space="preserve">this is not a problem. If a household does </w:t>
      </w:r>
      <w:r w:rsidRPr="00466AC0">
        <w:lastRenderedPageBreak/>
        <w:t xml:space="preserve">report any expenditure on health, it would be because it is not going to be reimbursed by any third-party payer. It is therefore consistent with the definition given for direct health care payments (the numerator). </w:t>
      </w:r>
    </w:p>
    <w:p w14:paraId="5A5C6CD4" w14:textId="0822B28D" w:rsidR="00193B55" w:rsidRDefault="00193B55" w:rsidP="007E7BCB">
      <w:pPr>
        <w:pStyle w:val="MText"/>
      </w:pPr>
      <w:r w:rsidRPr="00466AC0">
        <w:t xml:space="preserve">For those countries on the other hand where there is retrospective reimbursement – for example, via a contributory health insurance scheme - the amount reported by a household on health expenditures might be totally or partially reimbursed at some later point, perhaps outside the recall period of the household survey. </w:t>
      </w:r>
    </w:p>
    <w:p w14:paraId="36287DF4" w14:textId="77777777" w:rsidR="007E7BCB" w:rsidRPr="00466AC0" w:rsidRDefault="007E7BCB" w:rsidP="007E7BCB">
      <w:pPr>
        <w:pStyle w:val="MText"/>
      </w:pPr>
    </w:p>
    <w:p w14:paraId="26C7D623" w14:textId="29857E44" w:rsidR="00193B55" w:rsidRDefault="00193B55" w:rsidP="007E7BCB">
      <w:pPr>
        <w:pStyle w:val="MText"/>
      </w:pPr>
      <w:r w:rsidRPr="00466AC0">
        <w:t xml:space="preserve">Clearly, more work is needed to ensure that survey instruments gather information on the sources of funding used by the household to pay for health care, or the household survey instrument always specifies that health expenditures should be net of any reimbursement. </w:t>
      </w:r>
    </w:p>
    <w:p w14:paraId="0149D2A5" w14:textId="77777777" w:rsidR="007E7BCB" w:rsidRPr="00466AC0" w:rsidRDefault="007E7BCB" w:rsidP="007E7BCB">
      <w:pPr>
        <w:pStyle w:val="MText"/>
      </w:pPr>
    </w:p>
    <w:p w14:paraId="5B6EBD60" w14:textId="5C7C67C9" w:rsidR="009269B7" w:rsidRDefault="00193B55" w:rsidP="007E7BCB">
      <w:pPr>
        <w:pStyle w:val="MText"/>
      </w:pPr>
      <w:r w:rsidRPr="00466AC0">
        <w:t>Second,</w:t>
      </w:r>
      <w:r w:rsidR="009269B7">
        <w:t xml:space="preserve"> in the current definition of indicator 3.8.2 large health expenditures can be identified by comparing how much household spend on health to either household income or total household expenditure. Expenditure is the recommended measure of household’s resources (see concept section) but recent empirical work has demonstrated that</w:t>
      </w:r>
      <w:r w:rsidR="00C315A9">
        <w:t xml:space="preserve"> while statistics on 3.8.2 at country level are fairly robust to such choice</w:t>
      </w:r>
      <w:r w:rsidR="009269B7" w:rsidRPr="009269B7">
        <w:t>,</w:t>
      </w:r>
      <w:r w:rsidR="00C315A9">
        <w:t xml:space="preserve"> </w:t>
      </w:r>
      <w:r w:rsidR="009269B7" w:rsidRPr="009269B7">
        <w:t>the</w:t>
      </w:r>
      <w:r w:rsidR="00C315A9">
        <w:t>ir</w:t>
      </w:r>
      <w:r w:rsidR="009269B7" w:rsidRPr="009269B7">
        <w:t xml:space="preserve"> disaggregation by income group is</w:t>
      </w:r>
      <w:r w:rsidR="00C315A9">
        <w:t xml:space="preserve"> pretty</w:t>
      </w:r>
      <w:r w:rsidR="009269B7" w:rsidRPr="009269B7">
        <w:t xml:space="preserve"> sensitive to </w:t>
      </w:r>
      <w:r w:rsidR="00C315A9">
        <w:t xml:space="preserve">it. </w:t>
      </w:r>
      <w:r w:rsidR="007A7AAA">
        <w:t>I</w:t>
      </w:r>
      <w:r w:rsidR="009269B7" w:rsidRPr="009269B7">
        <w:t>ncome based measures show a greater concentration</w:t>
      </w:r>
      <w:r w:rsidR="00C315A9" w:rsidRPr="009269B7">
        <w:t xml:space="preserve"> </w:t>
      </w:r>
      <w:r w:rsidR="00C315A9">
        <w:t xml:space="preserve"> of the proportion of the population with large household expenditure on health among the poor </w:t>
      </w:r>
      <w:r w:rsidR="007A7AAA">
        <w:t>than expenditure based measures (see</w:t>
      </w:r>
      <w:r w:rsidR="009269B7" w:rsidRPr="009269B7">
        <w:t xml:space="preserve"> chapter 2 in  the WHO and World Bank 2017 report on tracking universal health coverage   as well as Wagstaff et al 2018</w:t>
      </w:r>
      <w:r w:rsidR="007A7AAA">
        <w:t>)</w:t>
      </w:r>
      <w:r w:rsidR="009269B7" w:rsidRPr="009269B7">
        <w:t xml:space="preserve"> .</w:t>
      </w:r>
    </w:p>
    <w:p w14:paraId="2BA66535" w14:textId="77777777" w:rsidR="007E7BCB" w:rsidRDefault="007E7BCB" w:rsidP="007E7BCB">
      <w:pPr>
        <w:pStyle w:val="MText"/>
      </w:pPr>
    </w:p>
    <w:p w14:paraId="426402B6" w14:textId="20B24F92" w:rsidR="00193B55" w:rsidRDefault="009269B7" w:rsidP="007E7BCB">
      <w:pPr>
        <w:pStyle w:val="MText"/>
      </w:pPr>
      <w:r>
        <w:t>Third,</w:t>
      </w:r>
      <w:r w:rsidR="00193B55" w:rsidRPr="00466AC0">
        <w:t xml:space="preserve"> indicator 3.8.2. relies on a single cut-off point to identify what constitutes </w:t>
      </w:r>
      <w:r w:rsidR="006A4F09">
        <w:t>‘</w:t>
      </w:r>
      <w:r w:rsidR="00193B55" w:rsidRPr="00466AC0">
        <w:t xml:space="preserve">large health expenditure </w:t>
      </w:r>
      <w:r w:rsidR="006A4F09">
        <w:t>as a share of total household expenditure or income’</w:t>
      </w:r>
      <w:r w:rsidR="00193B55" w:rsidRPr="00466AC0">
        <w:t xml:space="preserve">. People just below </w:t>
      </w:r>
      <w:r w:rsidR="00943562">
        <w:t>such threshold</w:t>
      </w:r>
      <w:r w:rsidR="00193B55" w:rsidRPr="00466AC0">
        <w:t xml:space="preserve"> are not taken into account, which is always the problem with measures based on cut-offs. This is simply avoided by plotting the cumulative distribution function of the health expenditure ratio behind 3.8.2. By doing so, it is possible to identify for any threshold the proportion of the population that is devoting any share of its household’s budget to health. </w:t>
      </w:r>
    </w:p>
    <w:p w14:paraId="73A35839" w14:textId="77777777" w:rsidR="007E7BCB" w:rsidRPr="00466AC0" w:rsidRDefault="007E7BCB" w:rsidP="007E7BCB">
      <w:pPr>
        <w:pStyle w:val="MText"/>
      </w:pPr>
    </w:p>
    <w:p w14:paraId="11C8DD1B" w14:textId="7A831C41" w:rsidR="00193B55" w:rsidRDefault="00C315A9" w:rsidP="007E7BCB">
      <w:pPr>
        <w:pStyle w:val="MText"/>
      </w:pPr>
      <w:r>
        <w:t>Fourth</w:t>
      </w:r>
      <w:r w:rsidR="00193B55" w:rsidRPr="00466AC0">
        <w:t xml:space="preserve">, indicator 3.8.2. is based on measures of ex-post spending on health care. Low levels of spending could be driven by measurement errors due to both non-sampling errors such as a very short recall period that does not allow the collection of information on health care requiring an overnight stay; or sampling errors such as over-sample of areas with a particularly low burden of disease. No spending could also be due to people not being able to spend anything on health which, at least for the services that are included in 3.8.1, should result in low levels of coverage. </w:t>
      </w:r>
    </w:p>
    <w:p w14:paraId="12DFE446" w14:textId="77777777" w:rsidR="007E7BCB" w:rsidRPr="00466AC0" w:rsidRDefault="007E7BCB" w:rsidP="007E7BCB">
      <w:pPr>
        <w:pStyle w:val="MText"/>
      </w:pPr>
    </w:p>
    <w:p w14:paraId="61D7183E" w14:textId="3BCB74D3" w:rsidR="00102004" w:rsidRDefault="00193B55" w:rsidP="007E7BCB">
      <w:pPr>
        <w:pStyle w:val="MText"/>
      </w:pPr>
      <w:r w:rsidRPr="00466AC0">
        <w:t>There are other indicators used to measure financial hardship. WHO use</w:t>
      </w:r>
      <w:r w:rsidR="001B508F">
        <w:t>s</w:t>
      </w:r>
      <w:r w:rsidRPr="00466AC0">
        <w:t xml:space="preserve">  a framework  which includes</w:t>
      </w:r>
      <w:r w:rsidR="001B508F" w:rsidRPr="001B508F">
        <w:rPr>
          <w:color w:val="4472C4"/>
        </w:rPr>
        <w:t xml:space="preserve"> </w:t>
      </w:r>
      <w:r w:rsidR="001B508F">
        <w:rPr>
          <w:color w:val="4472C4"/>
        </w:rPr>
        <w:t>, in addition to indicator 3.8.2,</w:t>
      </w:r>
      <w:r w:rsidRPr="00466AC0">
        <w:t xml:space="preserve"> a definition of large health expenditure in relation to non-subsistence spending</w:t>
      </w:r>
      <w:r w:rsidR="00283D1E">
        <w:rPr>
          <w:rStyle w:val="FootnoteReference"/>
          <w:rFonts w:cstheme="minorHAnsi"/>
        </w:rPr>
        <w:footnoteReference w:id="5"/>
      </w:r>
      <w:r w:rsidR="00283D1E" w:rsidRPr="001573C3">
        <w:rPr>
          <w:vertAlign w:val="superscript"/>
        </w:rPr>
        <w:t>,</w:t>
      </w:r>
      <w:r w:rsidRPr="00466AC0">
        <w:rPr>
          <w:vertAlign w:val="superscript"/>
        </w:rPr>
        <w:footnoteReference w:id="6"/>
      </w:r>
      <w:r w:rsidRPr="00466AC0">
        <w:rPr>
          <w:vertAlign w:val="superscript"/>
        </w:rPr>
        <w:t>,</w:t>
      </w:r>
      <w:r w:rsidRPr="00466AC0">
        <w:rPr>
          <w:vertAlign w:val="superscript"/>
        </w:rPr>
        <w:footnoteReference w:id="7"/>
      </w:r>
      <w:r w:rsidRPr="00466AC0">
        <w:rPr>
          <w:vertAlign w:val="superscript"/>
        </w:rPr>
        <w:t>,</w:t>
      </w:r>
      <w:r w:rsidRPr="00466AC0">
        <w:t>.</w:t>
      </w:r>
      <w:bookmarkStart w:id="9" w:name="_Toc475009781"/>
      <w:bookmarkStart w:id="10" w:name="_Toc475009932"/>
    </w:p>
    <w:p w14:paraId="13C9EEA6" w14:textId="77777777" w:rsidR="00193B55" w:rsidRPr="00B31ABD" w:rsidRDefault="00193B55" w:rsidP="007E7BCB">
      <w:pPr>
        <w:pStyle w:val="MHeader"/>
      </w:pPr>
      <w:r w:rsidRPr="00B31ABD">
        <w:lastRenderedPageBreak/>
        <w:t>Methodology</w:t>
      </w:r>
      <w:bookmarkEnd w:id="9"/>
      <w:bookmarkEnd w:id="10"/>
    </w:p>
    <w:p w14:paraId="44D50DE7" w14:textId="77777777" w:rsidR="00193B55" w:rsidRPr="00466AC0" w:rsidRDefault="00193B55" w:rsidP="007E7BCB">
      <w:pPr>
        <w:pStyle w:val="MSubHeader"/>
      </w:pPr>
      <w:r w:rsidRPr="00466AC0">
        <w:t>Computation Method:</w:t>
      </w:r>
    </w:p>
    <w:p w14:paraId="3C832837" w14:textId="77777777" w:rsidR="00193B55" w:rsidRPr="00391348" w:rsidRDefault="00193B55" w:rsidP="007E7BCB">
      <w:pPr>
        <w:pStyle w:val="MText"/>
        <w:rPr>
          <w:rFonts w:eastAsia="TT15Ct00"/>
        </w:rPr>
      </w:pPr>
      <w:r w:rsidRPr="00391348">
        <w:rPr>
          <w:rFonts w:eastAsia="TT15Ct00"/>
        </w:rPr>
        <w:t>Population weighted average number of people with large household expenditure on health as a share of total household expenditure or income</w:t>
      </w:r>
    </w:p>
    <w:p w14:paraId="0EAAA2E5" w14:textId="77777777" w:rsidR="00193B55" w:rsidRPr="00391348" w:rsidRDefault="00193B55" w:rsidP="007E7BCB">
      <w:pPr>
        <w:pStyle w:val="MText"/>
        <w:rPr>
          <w:rFonts w:eastAsia="TT15Ct00"/>
        </w:rPr>
      </w:pPr>
      <w:r w:rsidRPr="00391348">
        <w:rPr>
          <w:rFonts w:eastAsia="TT15Ct00"/>
        </w:rPr>
        <w:t xml:space="preserve"> </w:t>
      </w:r>
    </w:p>
    <w:p w14:paraId="4337E7A9" w14:textId="720F1D92" w:rsidR="00193B55" w:rsidRPr="00391348" w:rsidRDefault="00E95866" w:rsidP="007E7BCB">
      <w:pPr>
        <w:pStyle w:val="MText"/>
        <w:rPr>
          <w:rFonts w:eastAsia="TT15Ct00"/>
          <w:sz w:val="20"/>
          <w:szCs w:val="20"/>
        </w:rPr>
      </w:pPr>
      <m:oMathPara>
        <m:oMath>
          <m:f>
            <m:fPr>
              <m:ctrlPr>
                <w:rPr>
                  <w:rFonts w:ascii="Cambria Math" w:hAnsi="Cambria Math"/>
                  <w:i/>
                  <w:noProof/>
                </w:rPr>
              </m:ctrlPr>
            </m:fPr>
            <m:num>
              <m:nary>
                <m:naryPr>
                  <m:chr m:val="∑"/>
                  <m:limLoc m:val="undOvr"/>
                  <m:supHide m:val="1"/>
                  <m:ctrlPr>
                    <w:rPr>
                      <w:rFonts w:ascii="Cambria Math" w:hAnsi="Cambria Math"/>
                      <w:i/>
                      <w:noProof/>
                    </w:rPr>
                  </m:ctrlPr>
                </m:naryPr>
                <m:sub>
                  <m:r>
                    <w:rPr>
                      <w:rFonts w:ascii="Cambria Math" w:hAnsi="Cambria Math"/>
                      <w:noProof/>
                    </w:rPr>
                    <m:t>i</m:t>
                  </m:r>
                </m:sub>
                <m:sup/>
                <m:e>
                  <m:sSub>
                    <m:sSubPr>
                      <m:ctrlPr>
                        <w:rPr>
                          <w:rFonts w:ascii="Cambria Math" w:hAnsi="Cambria Math"/>
                          <w:i/>
                          <w:noProof/>
                        </w:rPr>
                      </m:ctrlPr>
                    </m:sSubPr>
                    <m:e>
                      <m:r>
                        <w:rPr>
                          <w:rFonts w:ascii="Cambria Math" w:hAnsi="Cambria Math"/>
                          <w:noProof/>
                        </w:rPr>
                        <m:t>m</m:t>
                      </m:r>
                    </m:e>
                    <m:sub>
                      <m:r>
                        <w:rPr>
                          <w:rFonts w:ascii="Cambria Math" w:hAnsi="Cambria Math"/>
                          <w:noProof/>
                        </w:rPr>
                        <m:t>i</m:t>
                      </m:r>
                    </m:sub>
                  </m:sSub>
                  <m:sSub>
                    <m:sSubPr>
                      <m:ctrlPr>
                        <w:rPr>
                          <w:rFonts w:ascii="Cambria Math" w:hAnsi="Cambria Math"/>
                          <w:i/>
                          <w:noProof/>
                        </w:rPr>
                      </m:ctrlPr>
                    </m:sSubPr>
                    <m:e>
                      <m:r>
                        <w:rPr>
                          <w:rFonts w:ascii="Cambria Math" w:hAnsi="Cambria Math"/>
                          <w:noProof/>
                        </w:rPr>
                        <m:t>ω</m:t>
                      </m:r>
                    </m:e>
                    <m:sub>
                      <m:r>
                        <w:rPr>
                          <w:rFonts w:ascii="Cambria Math" w:hAnsi="Cambria Math"/>
                          <w:noProof/>
                        </w:rPr>
                        <m:t>i</m:t>
                      </m:r>
                    </m:sub>
                  </m:sSub>
                  <m:r>
                    <w:rPr>
                      <w:rFonts w:ascii="Cambria Math" w:hAnsi="Cambria Math"/>
                      <w:noProof/>
                    </w:rPr>
                    <m:t>1</m:t>
                  </m:r>
                  <m:d>
                    <m:dPr>
                      <m:ctrlPr>
                        <w:rPr>
                          <w:rFonts w:ascii="Cambria Math" w:hAnsi="Cambria Math"/>
                          <w:i/>
                          <w:noProof/>
                        </w:rPr>
                      </m:ctrlPr>
                    </m:dPr>
                    <m:e>
                      <m:f>
                        <m:fPr>
                          <m:ctrlPr>
                            <w:rPr>
                              <w:rFonts w:ascii="Cambria Math" w:hAnsi="Cambria Math"/>
                              <w:i/>
                              <w:noProof/>
                            </w:rPr>
                          </m:ctrlPr>
                        </m:fPr>
                        <m:num>
                          <m:r>
                            <w:rPr>
                              <w:rFonts w:ascii="Cambria Math" w:hAnsi="Cambria Math"/>
                              <w:noProof/>
                            </w:rPr>
                            <m:t>health expenditure of the household i</m:t>
                          </m:r>
                        </m:num>
                        <m:den>
                          <m:r>
                            <w:rPr>
                              <w:rFonts w:ascii="Cambria Math" w:hAnsi="Cambria Math"/>
                              <w:noProof/>
                            </w:rPr>
                            <m:t>total expenditure of the household i</m:t>
                          </m:r>
                        </m:den>
                      </m:f>
                      <m:r>
                        <w:rPr>
                          <w:rFonts w:ascii="Cambria Math" w:hAnsi="Cambria Math"/>
                          <w:noProof/>
                        </w:rPr>
                        <m:t>&gt;τ</m:t>
                      </m:r>
                    </m:e>
                  </m:d>
                </m:e>
              </m:nary>
            </m:num>
            <m:den>
              <m:nary>
                <m:naryPr>
                  <m:chr m:val="∑"/>
                  <m:limLoc m:val="undOvr"/>
                  <m:supHide m:val="1"/>
                  <m:ctrlPr>
                    <w:rPr>
                      <w:rFonts w:ascii="Cambria Math" w:hAnsi="Cambria Math"/>
                      <w:i/>
                      <w:noProof/>
                    </w:rPr>
                  </m:ctrlPr>
                </m:naryPr>
                <m:sub>
                  <m:r>
                    <w:rPr>
                      <w:rFonts w:ascii="Cambria Math" w:hAnsi="Cambria Math"/>
                      <w:noProof/>
                    </w:rPr>
                    <m:t>i</m:t>
                  </m:r>
                </m:sub>
                <m:sup/>
                <m:e>
                  <m:sSub>
                    <m:sSubPr>
                      <m:ctrlPr>
                        <w:rPr>
                          <w:rFonts w:ascii="Cambria Math" w:hAnsi="Cambria Math"/>
                          <w:i/>
                          <w:noProof/>
                        </w:rPr>
                      </m:ctrlPr>
                    </m:sSubPr>
                    <m:e>
                      <m:r>
                        <w:rPr>
                          <w:rFonts w:ascii="Cambria Math" w:hAnsi="Cambria Math"/>
                          <w:noProof/>
                        </w:rPr>
                        <m:t>m</m:t>
                      </m:r>
                    </m:e>
                    <m:sub>
                      <m:r>
                        <w:rPr>
                          <w:rFonts w:ascii="Cambria Math" w:hAnsi="Cambria Math"/>
                          <w:noProof/>
                        </w:rPr>
                        <m:t>i</m:t>
                      </m:r>
                    </m:sub>
                  </m:sSub>
                </m:e>
              </m:nary>
              <m:sSub>
                <m:sSubPr>
                  <m:ctrlPr>
                    <w:rPr>
                      <w:rFonts w:ascii="Cambria Math" w:hAnsi="Cambria Math"/>
                      <w:i/>
                      <w:noProof/>
                    </w:rPr>
                  </m:ctrlPr>
                </m:sSubPr>
                <m:e>
                  <m:r>
                    <w:rPr>
                      <w:rFonts w:ascii="Cambria Math" w:hAnsi="Cambria Math"/>
                      <w:noProof/>
                    </w:rPr>
                    <m:t>ω</m:t>
                  </m:r>
                </m:e>
                <m:sub>
                  <m:r>
                    <w:rPr>
                      <w:rFonts w:ascii="Cambria Math" w:hAnsi="Cambria Math"/>
                      <w:noProof/>
                    </w:rPr>
                    <m:t>i</m:t>
                  </m:r>
                </m:sub>
              </m:sSub>
            </m:den>
          </m:f>
        </m:oMath>
      </m:oMathPara>
    </w:p>
    <w:p w14:paraId="52BF0846" w14:textId="77777777" w:rsidR="00193B55" w:rsidRPr="00391348" w:rsidRDefault="00193B55" w:rsidP="007E7BCB">
      <w:pPr>
        <w:pStyle w:val="MText"/>
        <w:rPr>
          <w:rFonts w:eastAsia="TT15Ct00"/>
          <w:sz w:val="20"/>
          <w:szCs w:val="20"/>
        </w:rPr>
      </w:pPr>
    </w:p>
    <w:p w14:paraId="1AFA64F6" w14:textId="77777777" w:rsidR="00AC3CE7" w:rsidRPr="005F12BE" w:rsidRDefault="00AC3CE7" w:rsidP="007E7BCB">
      <w:pPr>
        <w:pStyle w:val="MText"/>
        <w:rPr>
          <w:noProof/>
        </w:rPr>
      </w:pPr>
      <w:r>
        <w:rPr>
          <w:noProof/>
        </w:rPr>
        <w:t xml:space="preserve">where </w:t>
      </w:r>
      <w:r>
        <w:rPr>
          <w:i/>
          <w:noProof/>
        </w:rPr>
        <w:t xml:space="preserve">i </w:t>
      </w:r>
      <w:r>
        <w:rPr>
          <w:noProof/>
        </w:rPr>
        <w:t>denotes a household,</w:t>
      </w:r>
      <w:r w:rsidRPr="005F12BE">
        <w:rPr>
          <w:i/>
          <w:noProof/>
        </w:rPr>
        <w:t xml:space="preserve"> 1()</w:t>
      </w:r>
      <w:r>
        <w:rPr>
          <w:noProof/>
        </w:rPr>
        <w:t xml:space="preserve"> is the indicator function </w:t>
      </w:r>
      <w:r w:rsidRPr="00B71F56">
        <w:rPr>
          <w:noProof/>
        </w:rPr>
        <w:t>that takes on the value 1 if the bracketed expression is true, and 0 otherwise</w:t>
      </w:r>
      <w:r>
        <w:rPr>
          <w:noProof/>
        </w:rPr>
        <w:t xml:space="preserve">, </w:t>
      </w:r>
      <w:r>
        <w:rPr>
          <w:i/>
          <w:noProof/>
        </w:rPr>
        <w:t>m</w:t>
      </w:r>
      <w:r>
        <w:rPr>
          <w:i/>
          <w:noProof/>
          <w:vertAlign w:val="subscript"/>
        </w:rPr>
        <w:t>i</w:t>
      </w:r>
      <w:r>
        <w:rPr>
          <w:noProof/>
        </w:rPr>
        <w:t xml:space="preserve"> corresponds to the number of household members of </w:t>
      </w:r>
      <w:r w:rsidRPr="002B2769">
        <w:rPr>
          <w:i/>
          <w:iCs/>
          <w:noProof/>
        </w:rPr>
        <w:t>i</w:t>
      </w:r>
      <w:r>
        <w:rPr>
          <w:noProof/>
        </w:rPr>
        <w:t>,</w:t>
      </w:r>
      <m:oMath>
        <m:r>
          <w:rPr>
            <w:rFonts w:ascii="Cambria Math" w:hAnsi="Cambria Math"/>
            <w:noProof/>
          </w:rPr>
          <m:t xml:space="preserve"> </m:t>
        </m:r>
        <m:sSub>
          <m:sSubPr>
            <m:ctrlPr>
              <w:rPr>
                <w:rFonts w:ascii="Cambria Math" w:hAnsi="Cambria Math"/>
                <w:i/>
                <w:noProof/>
              </w:rPr>
            </m:ctrlPr>
          </m:sSubPr>
          <m:e>
            <m:r>
              <w:rPr>
                <w:rFonts w:ascii="Cambria Math" w:hAnsi="Cambria Math"/>
                <w:noProof/>
              </w:rPr>
              <m:t>ω</m:t>
            </m:r>
          </m:e>
          <m:sub>
            <m:r>
              <w:rPr>
                <w:rFonts w:ascii="Cambria Math" w:hAnsi="Cambria Math"/>
                <w:noProof/>
              </w:rPr>
              <m:t>i</m:t>
            </m:r>
          </m:sub>
        </m:sSub>
      </m:oMath>
      <w:r>
        <w:rPr>
          <w:noProof/>
        </w:rPr>
        <w:t xml:space="preserve"> corresponds to the sampling weight of household </w:t>
      </w:r>
      <w:r>
        <w:rPr>
          <w:i/>
          <w:iCs/>
          <w:noProof/>
        </w:rPr>
        <w:t>i</w:t>
      </w:r>
      <w:r>
        <w:rPr>
          <w:noProof/>
        </w:rPr>
        <w:t xml:space="preserve">, </w:t>
      </w:r>
      <m:oMath>
        <m:r>
          <m:rPr>
            <m:sty m:val="p"/>
          </m:rPr>
          <w:rPr>
            <w:rFonts w:ascii="Cambria Math" w:hAnsi="Cambria Math"/>
            <w:noProof/>
          </w:rPr>
          <m:t>τ</m:t>
        </m:r>
      </m:oMath>
      <w:r>
        <w:rPr>
          <w:noProof/>
        </w:rPr>
        <w:t xml:space="preserve"> is a threshold identifying large household expenditure on health as a share of total household consumption or income (i.e. 10% and 25%). </w:t>
      </w:r>
    </w:p>
    <w:p w14:paraId="05AD4305" w14:textId="55AAF809" w:rsidR="00193B55" w:rsidRPr="00391348" w:rsidRDefault="00193B55" w:rsidP="007E7BCB">
      <w:pPr>
        <w:pStyle w:val="MText"/>
        <w:rPr>
          <w:rFonts w:eastAsia="TT15Ct00"/>
        </w:rPr>
      </w:pPr>
      <w:r w:rsidRPr="00391348">
        <w:rPr>
          <w:rFonts w:eastAsia="TT15Ct00"/>
        </w:rPr>
        <w:t>Household health expenditure and household expenditure or income are defined as explained in the “concept” section.</w:t>
      </w:r>
      <w:r w:rsidR="001B13CD">
        <w:rPr>
          <w:rFonts w:eastAsia="TT15Ct00"/>
        </w:rPr>
        <w:t xml:space="preserve"> For more information about the methodology please refer to Wagstaff et al (2018) and </w:t>
      </w:r>
      <w:r w:rsidR="001B13CD" w:rsidRPr="001B13CD">
        <w:rPr>
          <w:rFonts w:eastAsia="TT15Ct00"/>
        </w:rPr>
        <w:t xml:space="preserve">chapter 2 </w:t>
      </w:r>
      <w:r w:rsidR="009F5115" w:rsidRPr="001B13CD">
        <w:rPr>
          <w:rFonts w:eastAsia="TT15Ct00"/>
        </w:rPr>
        <w:t>in the</w:t>
      </w:r>
      <w:r w:rsidR="001B13CD" w:rsidRPr="001B13CD">
        <w:rPr>
          <w:rFonts w:eastAsia="TT15Ct00"/>
        </w:rPr>
        <w:t xml:space="preserve"> WHO and World Bank 2017 report on tracking universal health coverage</w:t>
      </w:r>
      <w:r w:rsidR="001B13CD">
        <w:rPr>
          <w:rFonts w:eastAsia="TT15Ct00"/>
        </w:rPr>
        <w:t>.</w:t>
      </w:r>
    </w:p>
    <w:p w14:paraId="62F0C545" w14:textId="77777777" w:rsidR="00193B55" w:rsidRPr="00391348" w:rsidRDefault="00193B55" w:rsidP="00193B55">
      <w:pPr>
        <w:shd w:val="clear" w:color="auto" w:fill="FFFFFF"/>
        <w:spacing w:line="276" w:lineRule="auto"/>
        <w:jc w:val="both"/>
        <w:rPr>
          <w:rFonts w:eastAsia="Times New Roman" w:cstheme="minorHAnsi"/>
          <w:color w:val="404040" w:themeColor="text1" w:themeTint="BF"/>
          <w:sz w:val="21"/>
          <w:szCs w:val="21"/>
          <w:lang w:eastAsia="en-GB"/>
        </w:rPr>
      </w:pPr>
    </w:p>
    <w:p w14:paraId="49CCD995" w14:textId="77777777" w:rsidR="00193B55" w:rsidRPr="00391348" w:rsidRDefault="00193B55" w:rsidP="007E7BCB">
      <w:pPr>
        <w:pStyle w:val="MSubHeader"/>
      </w:pPr>
      <w:r w:rsidRPr="00391348">
        <w:t>Disaggregation:</w:t>
      </w:r>
    </w:p>
    <w:p w14:paraId="52C40A16" w14:textId="77777777" w:rsidR="00193B55" w:rsidRPr="00391348" w:rsidRDefault="00193B55" w:rsidP="00193B55">
      <w:pPr>
        <w:shd w:val="clear" w:color="auto" w:fill="FFFFFF"/>
        <w:spacing w:line="276" w:lineRule="auto"/>
        <w:jc w:val="both"/>
        <w:rPr>
          <w:rFonts w:eastAsia="Times New Roman" w:cstheme="minorHAnsi"/>
          <w:b/>
          <w:bCs/>
          <w:color w:val="404040" w:themeColor="text1" w:themeTint="BF"/>
          <w:sz w:val="21"/>
          <w:szCs w:val="21"/>
          <w:lang w:eastAsia="en-GB"/>
        </w:rPr>
      </w:pPr>
    </w:p>
    <w:p w14:paraId="45C3C97B" w14:textId="67D4DC8C" w:rsidR="00193B55" w:rsidRPr="00466AC0" w:rsidRDefault="00193B55" w:rsidP="007E7BCB">
      <w:pPr>
        <w:pStyle w:val="MText"/>
      </w:pPr>
      <w:r w:rsidRPr="00466AC0">
        <w:t>The following disaggregation is possible in so far</w:t>
      </w:r>
      <w:r w:rsidR="009F5115">
        <w:t xml:space="preserve"> as</w:t>
      </w:r>
      <w:r w:rsidRPr="00466AC0">
        <w:t xml:space="preserve"> the survey has been designed to provide representative estimates at such level:</w:t>
      </w:r>
    </w:p>
    <w:p w14:paraId="03154536" w14:textId="77777777" w:rsidR="00193B55" w:rsidRPr="00466AC0" w:rsidRDefault="00193B55" w:rsidP="007E7BCB">
      <w:pPr>
        <w:pStyle w:val="MText"/>
        <w:numPr>
          <w:ilvl w:val="0"/>
          <w:numId w:val="8"/>
        </w:numPr>
      </w:pPr>
      <w:r w:rsidRPr="00466AC0">
        <w:t>Gender and age of the head of the household</w:t>
      </w:r>
    </w:p>
    <w:p w14:paraId="620CCDB4" w14:textId="77777777" w:rsidR="00193B55" w:rsidRPr="00466AC0" w:rsidRDefault="00193B55" w:rsidP="007E7BCB">
      <w:pPr>
        <w:pStyle w:val="MText"/>
        <w:numPr>
          <w:ilvl w:val="0"/>
          <w:numId w:val="8"/>
        </w:numPr>
      </w:pPr>
      <w:r w:rsidRPr="00466AC0">
        <w:t>Geographic location (rural/urban)</w:t>
      </w:r>
    </w:p>
    <w:p w14:paraId="203C6F3A" w14:textId="007DDA00" w:rsidR="00193B55" w:rsidRDefault="00193B55" w:rsidP="007E7BCB">
      <w:pPr>
        <w:pStyle w:val="MText"/>
        <w:numPr>
          <w:ilvl w:val="0"/>
          <w:numId w:val="8"/>
        </w:numPr>
      </w:pPr>
      <w:r w:rsidRPr="00466AC0">
        <w:t>Quintiles of the household welfare measures (total household expenditure or income)</w:t>
      </w:r>
      <w:r w:rsidR="00AC5DA0">
        <w:t xml:space="preserve">. See comments and limitations for </w:t>
      </w:r>
      <w:r w:rsidR="009804DB">
        <w:t>the sensitivity of the disaggregation to the choice of the welfare measure.</w:t>
      </w:r>
    </w:p>
    <w:p w14:paraId="7720D5AA" w14:textId="77777777" w:rsidR="007E7BCB" w:rsidRDefault="007E7BCB" w:rsidP="007E7BCB">
      <w:pPr>
        <w:pStyle w:val="MText"/>
        <w:ind w:left="720"/>
      </w:pPr>
    </w:p>
    <w:p w14:paraId="5E5E996F" w14:textId="77777777" w:rsidR="00193B55" w:rsidRPr="00466AC0" w:rsidRDefault="00193B55" w:rsidP="007E7BCB">
      <w:pPr>
        <w:pStyle w:val="MSubHeader"/>
      </w:pPr>
      <w:r w:rsidRPr="00466AC0">
        <w:t>Treatment of missing values:</w:t>
      </w:r>
    </w:p>
    <w:p w14:paraId="6D07576F" w14:textId="41B1C648" w:rsidR="00193B55" w:rsidRDefault="00193B55" w:rsidP="007E7BCB">
      <w:pPr>
        <w:pStyle w:val="MText"/>
      </w:pPr>
      <w:r w:rsidRPr="00466AC0">
        <w:t xml:space="preserve">At the country </w:t>
      </w:r>
      <w:r w:rsidR="009F5115" w:rsidRPr="00466AC0">
        <w:t xml:space="preserve">level </w:t>
      </w:r>
      <w:r w:rsidR="009F5115">
        <w:t>no</w:t>
      </w:r>
      <w:r w:rsidR="000C04D9">
        <w:t xml:space="preserve"> imputation is attempted</w:t>
      </w:r>
      <w:r w:rsidR="00EC75CE">
        <w:t xml:space="preserve"> to produce estimates</w:t>
      </w:r>
      <w:r w:rsidR="000C04D9">
        <w:t>.</w:t>
      </w:r>
      <w:r w:rsidR="008276FE">
        <w:t xml:space="preserve"> The p</w:t>
      </w:r>
      <w:r w:rsidR="008276FE" w:rsidRPr="008276FE">
        <w:t>roportion of the population with large household expenditure on health as a share of total household expenditure or income</w:t>
      </w:r>
      <w:r w:rsidR="008276FE">
        <w:t xml:space="preserve"> is estimated for all years for which a</w:t>
      </w:r>
      <w:r w:rsidR="00D92405">
        <w:t xml:space="preserve"> nationally representative survey on household budget</w:t>
      </w:r>
      <w:r w:rsidR="008276FE">
        <w:t>, household income and expenditure, socio-economic</w:t>
      </w:r>
      <w:r w:rsidR="00D92405">
        <w:t xml:space="preserve"> conditions</w:t>
      </w:r>
      <w:r w:rsidR="008276FE">
        <w:t xml:space="preserve"> or living standard</w:t>
      </w:r>
      <w:r w:rsidR="00D92405">
        <w:t>s</w:t>
      </w:r>
      <w:r w:rsidR="008276FE">
        <w:t xml:space="preserve"> is available</w:t>
      </w:r>
      <w:r w:rsidR="00D92405">
        <w:t xml:space="preserve"> with information on both total household expenditure or income and total household expenditure on health</w:t>
      </w:r>
      <w:r w:rsidR="008276FE">
        <w:t>. When there are multiple surveys over time for the same country a preference is given to</w:t>
      </w:r>
      <w:r w:rsidR="00EC75CE">
        <w:t xml:space="preserve"> estimates produced based on the same survey. A series of tests is performed to retain the best performing series (see collection process</w:t>
      </w:r>
      <w:r w:rsidR="00D92405">
        <w:t>).</w:t>
      </w:r>
    </w:p>
    <w:p w14:paraId="5C109058" w14:textId="77777777" w:rsidR="007E7BCB" w:rsidRPr="007E7BCB" w:rsidRDefault="007E7BCB" w:rsidP="007E7BCB">
      <w:pPr>
        <w:pStyle w:val="MSubHeader"/>
      </w:pPr>
    </w:p>
    <w:p w14:paraId="4DB22F4A" w14:textId="77777777" w:rsidR="00193B55" w:rsidRPr="007E7BCB" w:rsidRDefault="00193B55" w:rsidP="007E7BCB">
      <w:pPr>
        <w:pStyle w:val="MSubHeader"/>
      </w:pPr>
      <w:r w:rsidRPr="007E7BCB">
        <w:t>Regional aggregates:</w:t>
      </w:r>
    </w:p>
    <w:p w14:paraId="47CD0E5D" w14:textId="152D6920" w:rsidR="00193B55" w:rsidRPr="00466AC0" w:rsidRDefault="002D7EAC" w:rsidP="007E7BCB">
      <w:pPr>
        <w:pStyle w:val="MText"/>
      </w:pPr>
      <w:r>
        <w:t>To construct regional and global level estimates, when survey-based estimates are not available for the reference years of 2000, 2005 or 2010</w:t>
      </w:r>
      <w:r w:rsidR="00DD626B">
        <w:t xml:space="preserve"> all survey-based estimates within a 5 year window of the reference year</w:t>
      </w:r>
      <w:r>
        <w:t xml:space="preserve"> are “lined-up” by using a combination of interpolation, extrapolation, econometric modelling and imputation based on regional medians</w:t>
      </w:r>
      <w:r w:rsidR="007A7AAA">
        <w:t xml:space="preserve"> (</w:t>
      </w:r>
      <w:r>
        <w:t xml:space="preserve"> Wagstaff et al</w:t>
      </w:r>
      <w:r w:rsidR="007A7AAA">
        <w:t>.,</w:t>
      </w:r>
      <w:r>
        <w:t>2018</w:t>
      </w:r>
      <w:r w:rsidR="007A7AAA">
        <w:t xml:space="preserve">; </w:t>
      </w:r>
      <w:r>
        <w:t>chapter 2 of the 2017 WHO and World Bank report on tracking universal health care coverage</w:t>
      </w:r>
      <w:r w:rsidR="007A7AAA">
        <w:t>)</w:t>
      </w:r>
      <w:r>
        <w:t>.</w:t>
      </w:r>
    </w:p>
    <w:p w14:paraId="08E51A70" w14:textId="77777777" w:rsidR="007E7BCB" w:rsidRDefault="007E7BCB" w:rsidP="007E7BCB">
      <w:pPr>
        <w:pStyle w:val="MText"/>
      </w:pPr>
    </w:p>
    <w:p w14:paraId="20ACCF84" w14:textId="0A26ADC5" w:rsidR="00193B55" w:rsidRPr="00466AC0" w:rsidRDefault="00193B55" w:rsidP="007E7BCB">
      <w:pPr>
        <w:pStyle w:val="MText"/>
      </w:pPr>
      <w:r w:rsidRPr="00466AC0">
        <w:t xml:space="preserve">The World Bank and the World Health Organization use their own regional grouping, in addition to the regional breakdown proposed for the SDG by UNSD. </w:t>
      </w:r>
    </w:p>
    <w:p w14:paraId="5C052A43" w14:textId="77777777" w:rsidR="007E7BCB" w:rsidRDefault="007E7BCB" w:rsidP="00193B55">
      <w:pPr>
        <w:spacing w:after="200" w:line="276" w:lineRule="auto"/>
        <w:jc w:val="both"/>
        <w:rPr>
          <w:rFonts w:eastAsia="Times New Roman" w:cstheme="minorHAnsi"/>
          <w:b/>
          <w:bCs/>
          <w:color w:val="4A4A4A"/>
          <w:u w:val="single"/>
          <w:lang w:eastAsia="en-GB"/>
        </w:rPr>
      </w:pPr>
    </w:p>
    <w:p w14:paraId="20A1CA9B" w14:textId="5833F32F" w:rsidR="00193B55" w:rsidRPr="00466AC0" w:rsidRDefault="00193B55" w:rsidP="007E7BCB">
      <w:pPr>
        <w:pStyle w:val="MSubHeader"/>
      </w:pPr>
      <w:r w:rsidRPr="00466AC0">
        <w:t>Sources of discrepancies:</w:t>
      </w:r>
    </w:p>
    <w:p w14:paraId="79E65301" w14:textId="7ABB21E5" w:rsidR="00327CBA" w:rsidRDefault="00D233BF" w:rsidP="007E7BCB">
      <w:pPr>
        <w:pStyle w:val="MText"/>
      </w:pPr>
      <w:r>
        <w:t>Country level estimates are all based on nationally representative surveys</w:t>
      </w:r>
      <w:r w:rsidR="00327CBA">
        <w:t xml:space="preserve"> with information on both household total expenditure or income and household expenditure on health (see data sources</w:t>
      </w:r>
      <w:r w:rsidR="008A3B3C">
        <w:t>).</w:t>
      </w:r>
      <w:r w:rsidR="00B423F9">
        <w:t xml:space="preserve"> In </w:t>
      </w:r>
      <w:r w:rsidR="00327CBA">
        <w:t xml:space="preserve">most cases such </w:t>
      </w:r>
      <w:r w:rsidR="00C8036C">
        <w:t xml:space="preserve">data </w:t>
      </w:r>
      <w:r w:rsidR="00327CBA" w:rsidRPr="00327CBA">
        <w:t xml:space="preserve">come from non-standard household surveys </w:t>
      </w:r>
      <w:r w:rsidR="00C8036C">
        <w:t>and</w:t>
      </w:r>
      <w:r w:rsidR="00C66D60">
        <w:t xml:space="preserve">  </w:t>
      </w:r>
      <w:r w:rsidR="00F1296A">
        <w:t xml:space="preserve">ex-post </w:t>
      </w:r>
      <w:r w:rsidR="00193B55" w:rsidRPr="00466AC0">
        <w:t>standardization process</w:t>
      </w:r>
      <w:r w:rsidR="00F1296A">
        <w:t>es</w:t>
      </w:r>
      <w:r w:rsidR="00193B55" w:rsidRPr="00466AC0">
        <w:t xml:space="preserve"> </w:t>
      </w:r>
      <w:r w:rsidR="00C8036C">
        <w:t xml:space="preserve">can be </w:t>
      </w:r>
      <w:r w:rsidR="00193B55" w:rsidRPr="00466AC0">
        <w:t xml:space="preserve">designed to </w:t>
      </w:r>
      <w:r w:rsidR="00C8036C">
        <w:t>increase the degree of comparability</w:t>
      </w:r>
      <w:r w:rsidR="00193B55" w:rsidRPr="00466AC0">
        <w:t xml:space="preserve"> across countries. </w:t>
      </w:r>
      <w:r w:rsidR="00F1296A">
        <w:t>For instance, r</w:t>
      </w:r>
      <w:r w:rsidR="00193B55" w:rsidRPr="00466AC0">
        <w:t xml:space="preserve">egional teams from the World Bank produce </w:t>
      </w:r>
      <w:r w:rsidR="00C66D60">
        <w:t xml:space="preserve">standardized </w:t>
      </w:r>
      <w:r w:rsidR="00193B55" w:rsidRPr="00466AC0">
        <w:t>versions of raw datasets following common regional procedures</w:t>
      </w:r>
      <w:r w:rsidR="00F1296A">
        <w:t>:</w:t>
      </w:r>
      <w:r w:rsidR="00F1296A" w:rsidRPr="00466AC0">
        <w:t xml:space="preserve"> </w:t>
      </w:r>
      <w:r w:rsidR="00327CBA">
        <w:t>t</w:t>
      </w:r>
      <w:r w:rsidR="00327CBA" w:rsidRPr="00466AC0">
        <w:t xml:space="preserve">he </w:t>
      </w:r>
      <w:r w:rsidR="00193B55" w:rsidRPr="00466AC0">
        <w:t>ECAPOV</w:t>
      </w:r>
      <w:r w:rsidR="00F1296A">
        <w:t xml:space="preserve"> </w:t>
      </w:r>
      <w:r w:rsidR="00C66D60">
        <w:t>harmonized</w:t>
      </w:r>
      <w:r w:rsidR="00F1296A">
        <w:t xml:space="preserve"> datasets are based </w:t>
      </w:r>
      <w:r w:rsidR="00193B55" w:rsidRPr="00466AC0">
        <w:t xml:space="preserve"> on</w:t>
      </w:r>
      <w:r w:rsidR="00C66D60">
        <w:t xml:space="preserve"> the</w:t>
      </w:r>
      <w:r w:rsidR="00193B55" w:rsidRPr="00466AC0">
        <w:t xml:space="preserve"> </w:t>
      </w:r>
      <w:r w:rsidR="00C66D60" w:rsidRPr="00C66D60">
        <w:t>Living Standards Measurement Study</w:t>
      </w:r>
      <w:r w:rsidR="00C66D60">
        <w:t xml:space="preserve"> datasets</w:t>
      </w:r>
      <w:r w:rsidR="00C66D60" w:rsidRPr="00C66D60">
        <w:t xml:space="preserve"> – LSMS</w:t>
      </w:r>
      <w:r w:rsidR="00C66D60">
        <w:rPr>
          <w:rStyle w:val="FootnoteReference"/>
          <w:rFonts w:cstheme="minorHAnsi"/>
          <w:bCs/>
        </w:rPr>
        <w:footnoteReference w:id="8"/>
      </w:r>
      <w:r w:rsidR="00C66D60" w:rsidRPr="00C66D60">
        <w:t xml:space="preserve"> </w:t>
      </w:r>
      <w:r w:rsidR="00193B55" w:rsidRPr="00466AC0">
        <w:t xml:space="preserve"> or </w:t>
      </w:r>
      <w:r w:rsidR="00193B55" w:rsidRPr="00466AC0">
        <w:rPr>
          <w:rFonts w:eastAsia="TT15Ct00"/>
          <w:color w:val="404040" w:themeColor="text1" w:themeTint="BF"/>
        </w:rPr>
        <w:t>household budget surveys</w:t>
      </w:r>
      <w:r w:rsidR="00193B55" w:rsidRPr="00466AC0">
        <w:t xml:space="preserve"> (HBS) collected in the</w:t>
      </w:r>
      <w:r w:rsidR="00F1296A">
        <w:t xml:space="preserve"> World Bank’s</w:t>
      </w:r>
      <w:r w:rsidR="00193B55" w:rsidRPr="00466AC0">
        <w:t xml:space="preserve"> Europe and Central Asia region</w:t>
      </w:r>
      <w:r w:rsidR="00F02593">
        <w:t>;</w:t>
      </w:r>
      <w:r w:rsidR="00193B55" w:rsidRPr="00466AC0">
        <w:t xml:space="preserve"> the SHIP collection </w:t>
      </w:r>
      <w:r w:rsidR="00F02593">
        <w:t>results from a poverty program on harmonized household surveys in the World Bank’s African region, while the SHES collection was developed by the World Bank for the international comparison program</w:t>
      </w:r>
      <w:r w:rsidR="00327CBA">
        <w:rPr>
          <w:rStyle w:val="FootnoteReference"/>
          <w:rFonts w:cstheme="minorHAnsi"/>
          <w:bCs/>
        </w:rPr>
        <w:footnoteReference w:id="9"/>
      </w:r>
      <w:r w:rsidR="00193B55" w:rsidRPr="00466AC0">
        <w:t xml:space="preserve">. </w:t>
      </w:r>
      <w:r w:rsidR="00F02593">
        <w:t>The Luxembourg income study</w:t>
      </w:r>
      <w:r w:rsidR="00327CBA">
        <w:t xml:space="preserve"> (LIS)</w:t>
      </w:r>
      <w:r w:rsidR="00F02593">
        <w:t xml:space="preserve"> </w:t>
      </w:r>
      <w:r w:rsidR="00C66D60">
        <w:t>datasets</w:t>
      </w:r>
      <w:r w:rsidR="00F02593">
        <w:t xml:space="preserve"> results from effort to harmonize datasets from many high and middle-income countries</w:t>
      </w:r>
      <w:r w:rsidR="00327CBA">
        <w:rPr>
          <w:rStyle w:val="FootnoteReference"/>
          <w:rFonts w:cstheme="minorHAnsi"/>
          <w:bCs/>
        </w:rPr>
        <w:footnoteReference w:id="10"/>
      </w:r>
      <w:r w:rsidR="00F02593">
        <w:t xml:space="preserve">. </w:t>
      </w:r>
    </w:p>
    <w:p w14:paraId="140B3E22" w14:textId="77777777" w:rsidR="00327CBA" w:rsidRDefault="00327CBA" w:rsidP="007E7BCB">
      <w:pPr>
        <w:pStyle w:val="MText"/>
      </w:pPr>
    </w:p>
    <w:p w14:paraId="0E5B6011" w14:textId="77777777" w:rsidR="00193B55" w:rsidRDefault="00327CBA" w:rsidP="007E7BCB">
      <w:pPr>
        <w:pStyle w:val="MText"/>
      </w:pPr>
      <w:r>
        <w:t xml:space="preserve">In some cases the raw data is accessible to produce country level estimates. In some countries in addition to the raw data a standardized version of it is available and in other countries only the standardized version is. When multiple versions of the same survey </w:t>
      </w:r>
      <w:r w:rsidR="009804DB">
        <w:t>are</w:t>
      </w:r>
      <w:r>
        <w:t xml:space="preserve"> available the best performing in terms of a series of quality assurance test</w:t>
      </w:r>
      <w:r w:rsidR="009804DB">
        <w:t>s</w:t>
      </w:r>
      <w:r>
        <w:t xml:space="preserve"> is retained (see collection process). When a standardized version of a nationally designed survey instruments is chosen there are differences between </w:t>
      </w:r>
      <w:r w:rsidRPr="00B423F9">
        <w:t>expenditure variables generated using the raw data, and the expenditure variables generated using the harmonization procedures</w:t>
      </w:r>
      <w:r>
        <w:t xml:space="preserve"> which might result in different estimated incidence of the population with large household expenditure on health as a share of household total expenditure or income.</w:t>
      </w:r>
    </w:p>
    <w:p w14:paraId="62812B1D" w14:textId="77777777" w:rsidR="00AC773F" w:rsidRDefault="00AC773F" w:rsidP="009804DB">
      <w:pPr>
        <w:shd w:val="clear" w:color="auto" w:fill="FFFFFF"/>
        <w:spacing w:line="276" w:lineRule="auto"/>
        <w:jc w:val="both"/>
        <w:rPr>
          <w:rFonts w:eastAsia="Times New Roman" w:cstheme="minorHAnsi"/>
          <w:bCs/>
          <w:color w:val="4A4A4A"/>
          <w:sz w:val="21"/>
          <w:szCs w:val="21"/>
          <w:lang w:eastAsia="en-GB"/>
        </w:rPr>
      </w:pPr>
    </w:p>
    <w:p w14:paraId="105FE78E" w14:textId="77777777" w:rsidR="00193B55" w:rsidRPr="00B31ABD" w:rsidRDefault="00193B55" w:rsidP="007E7BCB">
      <w:pPr>
        <w:pStyle w:val="MHeader"/>
      </w:pPr>
      <w:bookmarkStart w:id="11" w:name="_Toc475009782"/>
      <w:bookmarkStart w:id="12" w:name="_Toc475009933"/>
      <w:r w:rsidRPr="00B31ABD">
        <w:t>Data Sources</w:t>
      </w:r>
      <w:bookmarkEnd w:id="11"/>
      <w:bookmarkEnd w:id="12"/>
    </w:p>
    <w:p w14:paraId="4A42FB44" w14:textId="77777777" w:rsidR="00193B55" w:rsidRPr="00466AC0" w:rsidRDefault="00193B55" w:rsidP="00193B55">
      <w:pPr>
        <w:shd w:val="clear" w:color="auto" w:fill="FFFFFF"/>
        <w:spacing w:line="276" w:lineRule="auto"/>
        <w:jc w:val="both"/>
        <w:rPr>
          <w:rFonts w:eastAsia="Times New Roman" w:cstheme="minorHAnsi"/>
          <w:b/>
          <w:bCs/>
          <w:color w:val="4A4A4A"/>
          <w:sz w:val="21"/>
          <w:szCs w:val="21"/>
          <w:lang w:eastAsia="en-GB"/>
        </w:rPr>
      </w:pPr>
    </w:p>
    <w:p w14:paraId="06AE40E4" w14:textId="77777777" w:rsidR="00193B55" w:rsidRPr="00466AC0" w:rsidRDefault="00193B55" w:rsidP="007E7BCB">
      <w:pPr>
        <w:pStyle w:val="MSubHeader"/>
      </w:pPr>
      <w:r w:rsidRPr="00466AC0">
        <w:t>Description:</w:t>
      </w:r>
    </w:p>
    <w:p w14:paraId="11C4E34C" w14:textId="64A7B4B2" w:rsidR="00D477DE" w:rsidRDefault="00193B55" w:rsidP="007E7BCB">
      <w:pPr>
        <w:pStyle w:val="MText"/>
        <w:rPr>
          <w:rFonts w:eastAsia="TT15Ct00"/>
        </w:rPr>
      </w:pPr>
      <w:r w:rsidRPr="00466AC0">
        <w:rPr>
          <w:rFonts w:eastAsia="TT15Ct00"/>
        </w:rPr>
        <w:t>The recommended data sources for the monitoring of the “Proportion of the population with large household expenditure on health as a share of total household expenditure or income” are</w:t>
      </w:r>
      <w:r w:rsidR="0046701D">
        <w:rPr>
          <w:rFonts w:eastAsia="TT15Ct00"/>
        </w:rPr>
        <w:t xml:space="preserve"> household surveys with information on both household consumption expenditure on health and total household consumption expenditures</w:t>
      </w:r>
      <w:r w:rsidR="006A4F09">
        <w:rPr>
          <w:rFonts w:eastAsia="TT15Ct00"/>
        </w:rPr>
        <w:t>, which</w:t>
      </w:r>
      <w:r w:rsidR="006A4F09" w:rsidRPr="006A4F09">
        <w:rPr>
          <w:rFonts w:eastAsia="TT15Ct00"/>
        </w:rPr>
        <w:t xml:space="preserve"> </w:t>
      </w:r>
      <w:r w:rsidR="006A4F09" w:rsidRPr="00466AC0">
        <w:rPr>
          <w:rFonts w:eastAsia="TT15Ct00"/>
        </w:rPr>
        <w:t xml:space="preserve">are routinely conducted </w:t>
      </w:r>
      <w:r w:rsidR="006A4F09">
        <w:rPr>
          <w:rFonts w:eastAsia="TT15Ct00"/>
        </w:rPr>
        <w:t>by national statistical offices</w:t>
      </w:r>
      <w:r w:rsidR="0046701D">
        <w:rPr>
          <w:rFonts w:eastAsia="TT15Ct00"/>
        </w:rPr>
        <w:t>. H</w:t>
      </w:r>
      <w:r w:rsidRPr="00466AC0">
        <w:rPr>
          <w:rFonts w:eastAsia="TT15Ct00"/>
        </w:rPr>
        <w:t>ousehold budget surveys (HBS)</w:t>
      </w:r>
      <w:r w:rsidR="0046701D">
        <w:rPr>
          <w:rFonts w:eastAsia="TT15Ct00"/>
        </w:rPr>
        <w:t xml:space="preserve"> and</w:t>
      </w:r>
      <w:r w:rsidRPr="00466AC0">
        <w:rPr>
          <w:rFonts w:eastAsia="TT15Ct00"/>
        </w:rPr>
        <w:t xml:space="preserve"> household income and expenditure surveys (HIES)</w:t>
      </w:r>
      <w:r w:rsidR="0046701D">
        <w:rPr>
          <w:rFonts w:eastAsia="TT15Ct00"/>
        </w:rPr>
        <w:t xml:space="preserve"> typically </w:t>
      </w:r>
      <w:r w:rsidR="00E7162E">
        <w:rPr>
          <w:rFonts w:eastAsia="TT15Ct00"/>
        </w:rPr>
        <w:t>collect these</w:t>
      </w:r>
      <w:r w:rsidR="0046701D">
        <w:rPr>
          <w:rFonts w:eastAsia="TT15Ct00"/>
        </w:rPr>
        <w:t xml:space="preserve"> as they are primarily conducted to provide inpu</w:t>
      </w:r>
      <w:r w:rsidR="00E7162E">
        <w:rPr>
          <w:rFonts w:eastAsia="TT15Ct00"/>
        </w:rPr>
        <w:t>ts</w:t>
      </w:r>
      <w:r w:rsidR="0046701D">
        <w:rPr>
          <w:rFonts w:eastAsia="TT15Ct00"/>
        </w:rPr>
        <w:t xml:space="preserve"> to the calculation of consumer price indices or the compilation of national accounts.</w:t>
      </w:r>
      <w:r w:rsidR="00E7162E">
        <w:rPr>
          <w:rFonts w:eastAsia="TT15Ct00"/>
        </w:rPr>
        <w:t xml:space="preserve"> Another potential source of information </w:t>
      </w:r>
      <w:r w:rsidR="006A4F09">
        <w:rPr>
          <w:rFonts w:eastAsia="TT15Ct00"/>
        </w:rPr>
        <w:t>is</w:t>
      </w:r>
      <w:r w:rsidRPr="00466AC0">
        <w:rPr>
          <w:rFonts w:eastAsia="TT15Ct00"/>
        </w:rPr>
        <w:t xml:space="preserve"> socio-economic or living standards surveys</w:t>
      </w:r>
      <w:r w:rsidR="006A4F09">
        <w:rPr>
          <w:rFonts w:eastAsia="TT15Ct00"/>
        </w:rPr>
        <w:t>;</w:t>
      </w:r>
      <w:r w:rsidR="00B31ABD">
        <w:rPr>
          <w:rFonts w:eastAsia="TT15Ct00"/>
        </w:rPr>
        <w:t xml:space="preserve"> </w:t>
      </w:r>
      <w:r w:rsidR="00E7162E">
        <w:rPr>
          <w:rFonts w:eastAsia="TT15Ct00"/>
        </w:rPr>
        <w:t>however</w:t>
      </w:r>
      <w:r w:rsidR="006A4F09">
        <w:rPr>
          <w:rFonts w:eastAsia="TT15Ct00"/>
        </w:rPr>
        <w:t>,</w:t>
      </w:r>
      <w:r w:rsidR="00E7162E">
        <w:rPr>
          <w:rFonts w:eastAsia="TT15Ct00"/>
        </w:rPr>
        <w:t xml:space="preserve"> s</w:t>
      </w:r>
      <w:r w:rsidR="002D56CC">
        <w:rPr>
          <w:rFonts w:eastAsia="TT15Ct00"/>
        </w:rPr>
        <w:t xml:space="preserve">ome </w:t>
      </w:r>
      <w:r w:rsidR="00E7162E">
        <w:rPr>
          <w:rFonts w:eastAsia="TT15Ct00"/>
        </w:rPr>
        <w:t>of these survey</w:t>
      </w:r>
      <w:r w:rsidR="006A4F09">
        <w:rPr>
          <w:rFonts w:eastAsia="TT15Ct00"/>
        </w:rPr>
        <w:t>s</w:t>
      </w:r>
      <w:r w:rsidR="00E7162E">
        <w:rPr>
          <w:rFonts w:eastAsia="TT15Ct00"/>
        </w:rPr>
        <w:t xml:space="preserve"> </w:t>
      </w:r>
      <w:r w:rsidR="002D1588">
        <w:rPr>
          <w:rFonts w:eastAsia="TT15Ct00"/>
        </w:rPr>
        <w:t>may not</w:t>
      </w:r>
      <w:r w:rsidR="00E7162E">
        <w:rPr>
          <w:rFonts w:eastAsia="TT15Ct00"/>
        </w:rPr>
        <w:t xml:space="preserve"> collect information on total household consumption expenditures</w:t>
      </w:r>
      <w:r w:rsidR="006A4F09">
        <w:rPr>
          <w:rFonts w:eastAsia="TT15Ct00"/>
        </w:rPr>
        <w:t xml:space="preserve"> – for example, </w:t>
      </w:r>
      <w:r w:rsidR="002D56CC">
        <w:rPr>
          <w:rFonts w:eastAsia="TT15Ct00"/>
        </w:rPr>
        <w:t>when a country measures poverty using income as the welfare measure</w:t>
      </w:r>
      <w:r w:rsidR="0046701D">
        <w:rPr>
          <w:rStyle w:val="FootnoteReference"/>
          <w:rFonts w:eastAsia="TT15Ct00" w:cstheme="minorHAnsi"/>
          <w:color w:val="404040" w:themeColor="text1" w:themeTint="BF"/>
        </w:rPr>
        <w:footnoteReference w:id="11"/>
      </w:r>
      <w:r w:rsidR="002D56CC">
        <w:rPr>
          <w:rFonts w:eastAsia="TT15Ct00"/>
        </w:rPr>
        <w:t>.</w:t>
      </w:r>
      <w:r w:rsidRPr="00466AC0">
        <w:rPr>
          <w:rFonts w:eastAsia="TT15Ct00"/>
        </w:rPr>
        <w:t xml:space="preserve"> </w:t>
      </w:r>
      <w:r w:rsidR="006A4F09">
        <w:rPr>
          <w:rFonts w:eastAsia="TT15Ct00"/>
        </w:rPr>
        <w:t>T</w:t>
      </w:r>
      <w:r w:rsidR="00E7162E">
        <w:rPr>
          <w:rFonts w:eastAsia="TT15Ct00"/>
        </w:rPr>
        <w:t xml:space="preserve">he </w:t>
      </w:r>
      <w:r w:rsidR="006A4F09">
        <w:rPr>
          <w:rFonts w:eastAsia="TT15Ct00"/>
        </w:rPr>
        <w:t>most important</w:t>
      </w:r>
      <w:r w:rsidR="00E7162E">
        <w:rPr>
          <w:rFonts w:eastAsia="TT15Ct00"/>
        </w:rPr>
        <w:t xml:space="preserve"> criteri</w:t>
      </w:r>
      <w:r w:rsidR="006A4F09">
        <w:rPr>
          <w:rFonts w:eastAsia="TT15Ct00"/>
        </w:rPr>
        <w:t xml:space="preserve">on for </w:t>
      </w:r>
      <w:r w:rsidR="00E7162E">
        <w:rPr>
          <w:rFonts w:eastAsia="TT15Ct00"/>
        </w:rPr>
        <w:t>select</w:t>
      </w:r>
      <w:r w:rsidR="006A4F09">
        <w:rPr>
          <w:rFonts w:eastAsia="TT15Ct00"/>
        </w:rPr>
        <w:t>ing</w:t>
      </w:r>
      <w:r w:rsidR="00E7162E">
        <w:rPr>
          <w:rFonts w:eastAsia="TT15Ct00"/>
        </w:rPr>
        <w:t xml:space="preserve"> a data source </w:t>
      </w:r>
      <w:r w:rsidR="006A4F09">
        <w:rPr>
          <w:rFonts w:eastAsia="TT15Ct00"/>
        </w:rPr>
        <w:t xml:space="preserve">to measure SDG indicator 3.8.2 </w:t>
      </w:r>
      <w:r w:rsidR="00E7162E">
        <w:rPr>
          <w:rFonts w:eastAsia="TT15Ct00"/>
        </w:rPr>
        <w:t>is the availability of both</w:t>
      </w:r>
      <w:r w:rsidR="00D477DE">
        <w:rPr>
          <w:rFonts w:eastAsia="TT15Ct00"/>
        </w:rPr>
        <w:t xml:space="preserve"> household consumption expenditure on health and total household consumption expenditures.</w:t>
      </w:r>
    </w:p>
    <w:p w14:paraId="10CBEEB4" w14:textId="77777777" w:rsidR="007E7BCB" w:rsidRDefault="007E7BCB" w:rsidP="007E7BCB">
      <w:pPr>
        <w:pStyle w:val="MText"/>
        <w:rPr>
          <w:rFonts w:eastAsia="TT15Ct00"/>
        </w:rPr>
      </w:pPr>
    </w:p>
    <w:p w14:paraId="4950A730" w14:textId="7A91214A" w:rsidR="009067EE" w:rsidRDefault="00D477DE" w:rsidP="007E7BCB">
      <w:pPr>
        <w:pStyle w:val="MText"/>
        <w:rPr>
          <w:rFonts w:eastAsia="TT15Ct00"/>
        </w:rPr>
      </w:pPr>
      <w:r>
        <w:rPr>
          <w:rFonts w:eastAsia="TT15Ct00"/>
        </w:rPr>
        <w:lastRenderedPageBreak/>
        <w:t>When socio-economic or living standards surveys are use</w:t>
      </w:r>
      <w:r w:rsidR="00D76961">
        <w:rPr>
          <w:rFonts w:eastAsia="TT15Ct00"/>
        </w:rPr>
        <w:t xml:space="preserve">d </w:t>
      </w:r>
      <w:r w:rsidR="006A4F09">
        <w:rPr>
          <w:rFonts w:eastAsia="TT15Ct00"/>
        </w:rPr>
        <w:t xml:space="preserve">to measure SDG indicator 3.8.2, </w:t>
      </w:r>
      <w:r>
        <w:rPr>
          <w:rFonts w:eastAsia="TT15Ct00"/>
        </w:rPr>
        <w:t>a</w:t>
      </w:r>
      <w:r w:rsidR="00193B55" w:rsidRPr="00466AC0">
        <w:rPr>
          <w:rFonts w:eastAsia="TT15Ct00"/>
        </w:rPr>
        <w:t xml:space="preserve">ny challenge for cross-country comparability of SDG Indicator 1.1.1 also applies to the monitoring of SDG indicator 3.8.2. </w:t>
      </w:r>
      <w:r>
        <w:rPr>
          <w:rFonts w:eastAsia="TT15Ct00"/>
        </w:rPr>
        <w:t xml:space="preserve"> For any type of household survey, g</w:t>
      </w:r>
      <w:r w:rsidR="00193B55" w:rsidRPr="00466AC0">
        <w:rPr>
          <w:rFonts w:eastAsia="TT15Ct00"/>
        </w:rPr>
        <w:t>iven the focus on household health expenditure there is a need to improve the current survey instruments for cross-country comparability. The World Health Organization is collaborating with different UN agencies and other important stakeholder to ensure this happens</w:t>
      </w:r>
      <w:r w:rsidR="00193B55">
        <w:rPr>
          <w:rStyle w:val="FootnoteReference"/>
          <w:rFonts w:eastAsia="TT15Ct00" w:cstheme="minorHAnsi"/>
          <w:color w:val="404040" w:themeColor="text1" w:themeTint="BF"/>
        </w:rPr>
        <w:footnoteReference w:id="12"/>
      </w:r>
      <w:r w:rsidR="00193B55" w:rsidRPr="00466AC0">
        <w:rPr>
          <w:rFonts w:eastAsia="TT15Ct00"/>
        </w:rPr>
        <w:t>.</w:t>
      </w:r>
    </w:p>
    <w:p w14:paraId="2CB7130A" w14:textId="77777777" w:rsidR="007E7BCB" w:rsidRDefault="007E7BCB" w:rsidP="007E7BCB">
      <w:pPr>
        <w:pStyle w:val="MText"/>
        <w:rPr>
          <w:rFonts w:eastAsia="TT15Ct00"/>
        </w:rPr>
      </w:pPr>
    </w:p>
    <w:p w14:paraId="362AA857" w14:textId="77777777" w:rsidR="00193B55" w:rsidRPr="00466AC0" w:rsidRDefault="00193B55" w:rsidP="007E7BCB">
      <w:pPr>
        <w:pStyle w:val="MSubHeader"/>
      </w:pPr>
      <w:r w:rsidRPr="00466AC0">
        <w:t>Collection process:</w:t>
      </w:r>
    </w:p>
    <w:p w14:paraId="28C025F5" w14:textId="77777777" w:rsidR="00193B55" w:rsidRPr="00466AC0" w:rsidRDefault="00193B55" w:rsidP="007E7BCB">
      <w:pPr>
        <w:pStyle w:val="MText"/>
      </w:pPr>
      <w:r w:rsidRPr="00466AC0">
        <w:t xml:space="preserve">WHO obtains household survey data from national statistical offices where the denominator and numerator of the health expenditure ratio is constructed following their own guidelines either directly by them or by WHO consultants. WHO works through its regional offices or country offices to </w:t>
      </w:r>
      <w:r w:rsidR="009804DB">
        <w:t>obtain access to data</w:t>
      </w:r>
      <w:r w:rsidRPr="00466AC0">
        <w:t>. No systematic adjustment is undertaken.</w:t>
      </w:r>
      <w:r w:rsidR="009804DB">
        <w:t xml:space="preserve"> </w:t>
      </w:r>
    </w:p>
    <w:p w14:paraId="6E7CFD45" w14:textId="0662238E" w:rsidR="00193B55" w:rsidRDefault="00193B55" w:rsidP="007E7BCB">
      <w:pPr>
        <w:pStyle w:val="MText"/>
      </w:pPr>
      <w:r w:rsidRPr="00466AC0">
        <w:t>The World Bank also typically receives data from National Statistical Offices (NSOs) directly. In other cases it uses NSO data received indirectly. For example, it receives data from Eurostat and from LIS (Luxemb</w:t>
      </w:r>
      <w:r w:rsidR="00C8036C">
        <w:t>o</w:t>
      </w:r>
      <w:r w:rsidRPr="00466AC0">
        <w:t xml:space="preserve">urg Income Study), who provide the World Bank NSO data they have received / harmonized. The Universidad Nacional de La Plata, Argentina and the World Bank jointly maintain the SEDLAC (Socio-Economic Database for Latin American and Caribbean) database that includes harmonized statistics on poverty and other distributional and social variables from 24 Latin American and Caribbean countries, based on microdata from household surveys conducted by NSOs. Data is obtained through country specific programs, including technical assistance programs and joint analytical and capacity building activities. The World Bank has relationships with NSOs on work programs involving statistical systems and data analysis. Poverty economists from the World Bank typically engage with NSOs broadly on poverty measurement and analysis as part of technical assistance activities.  </w:t>
      </w:r>
    </w:p>
    <w:p w14:paraId="7DFAA58C" w14:textId="77777777" w:rsidR="007E7BCB" w:rsidRPr="00466AC0" w:rsidRDefault="007E7BCB" w:rsidP="007E7BCB">
      <w:pPr>
        <w:pStyle w:val="MText"/>
      </w:pPr>
    </w:p>
    <w:p w14:paraId="4C0D3507" w14:textId="13ADD716" w:rsidR="00193B55" w:rsidRDefault="00193B55" w:rsidP="007E7BCB">
      <w:pPr>
        <w:pStyle w:val="MText"/>
      </w:pPr>
      <w:r w:rsidRPr="00466AC0">
        <w:t>The World Health Organization and the World Bank generate indicator 3.8.2 following the same approach</w:t>
      </w:r>
      <w:r w:rsidR="00F9547C">
        <w:t xml:space="preserve"> (see methodology)</w:t>
      </w:r>
      <w:r w:rsidRPr="00466AC0">
        <w:t>.</w:t>
      </w:r>
      <w:r w:rsidR="006321A7">
        <w:t xml:space="preserve"> </w:t>
      </w:r>
      <w:r w:rsidRPr="00466AC0">
        <w:t xml:space="preserve">Both institutions combine estimates at the meso-level. Eligibility of the estimates included in a joint </w:t>
      </w:r>
      <w:r w:rsidR="00F9547C">
        <w:t xml:space="preserve">global </w:t>
      </w:r>
      <w:r w:rsidRPr="00466AC0">
        <w:t>database for the production of regional and global estimates is based on the following quality checks:</w:t>
      </w:r>
    </w:p>
    <w:p w14:paraId="0F2117C6" w14:textId="77777777" w:rsidR="007E7BCB" w:rsidRPr="00466AC0" w:rsidRDefault="007E7BCB" w:rsidP="007E7BCB">
      <w:pPr>
        <w:pStyle w:val="MText"/>
      </w:pPr>
    </w:p>
    <w:p w14:paraId="31B83C37" w14:textId="77777777" w:rsidR="00193B55" w:rsidRPr="007E7BCB" w:rsidRDefault="00193B55" w:rsidP="007E7BCB">
      <w:pPr>
        <w:pStyle w:val="MText"/>
        <w:rPr>
          <w:i/>
          <w:iCs/>
        </w:rPr>
      </w:pPr>
      <w:r w:rsidRPr="007E7BCB">
        <w:rPr>
          <w:i/>
          <w:iCs/>
        </w:rPr>
        <w:t>For the denominator of the health expenditure ratio</w:t>
      </w:r>
    </w:p>
    <w:p w14:paraId="1ED62848" w14:textId="77777777" w:rsidR="00F94C23" w:rsidRDefault="00193B55" w:rsidP="007E7BCB">
      <w:pPr>
        <w:pStyle w:val="MText"/>
        <w:numPr>
          <w:ilvl w:val="0"/>
          <w:numId w:val="9"/>
        </w:numPr>
      </w:pPr>
      <w:r w:rsidRPr="00F94C23">
        <w:t>Compare the logarithm</w:t>
      </w:r>
      <w:r w:rsidR="00F9547C" w:rsidRPr="00F94C23">
        <w:t xml:space="preserve"> of</w:t>
      </w:r>
      <w:r w:rsidRPr="00F94C23">
        <w:t xml:space="preserve"> </w:t>
      </w:r>
      <w:r w:rsidR="00F9547C" w:rsidRPr="00F94C23">
        <w:t xml:space="preserve"> total </w:t>
      </w:r>
      <w:r w:rsidRPr="00F94C23">
        <w:t>per capita consumption</w:t>
      </w:r>
      <w:r w:rsidR="00F9547C" w:rsidRPr="00F94C23">
        <w:t xml:space="preserve"> in a benchmark source with the logarithm of total per capita consumption estimated from the survey. </w:t>
      </w:r>
      <w:r w:rsidR="00146A11" w:rsidRPr="00F94C23">
        <w:t xml:space="preserve"> </w:t>
      </w:r>
      <w:r w:rsidR="00F9547C" w:rsidRPr="00F94C23">
        <w:t>Both are expressed on a monthly basis in 2011 international (PPP) $. The benchmark source is taken from Povcalnet</w:t>
      </w:r>
      <w:r w:rsidR="00F9547C">
        <w:rPr>
          <w:rStyle w:val="FootnoteReference"/>
          <w:rFonts w:cstheme="minorHAnsi"/>
        </w:rPr>
        <w:footnoteReference w:id="13"/>
      </w:r>
      <w:r w:rsidR="00F9547C" w:rsidRPr="00F94C23">
        <w:t xml:space="preserve"> if available, and otherwise from the World Development Indicators (WDI)</w:t>
      </w:r>
      <w:r w:rsidR="00F9547C">
        <w:rPr>
          <w:rStyle w:val="FootnoteReference"/>
          <w:rFonts w:cstheme="minorHAnsi"/>
        </w:rPr>
        <w:footnoteReference w:id="14"/>
      </w:r>
      <w:r w:rsidR="00F9547C" w:rsidRPr="00F94C23">
        <w:t>, computed as the household final consumption expenditures in constant 2011 international divided by total population. When the difference between the logarithm of total per capita consumption in the benchmark source and the logarithm of the value estimated from the survey as a share of the logarithm of total per capita cons</w:t>
      </w:r>
      <w:r w:rsidR="00364AA2" w:rsidRPr="00F94C23">
        <w:t>umption in the benchmark is greater</w:t>
      </w:r>
      <w:r w:rsidR="00F9547C" w:rsidRPr="00F94C23">
        <w:t xml:space="preserve"> than 10% when the comparison is with PovcalNet and greater th</w:t>
      </w:r>
      <w:r w:rsidR="00364AA2" w:rsidRPr="00F94C23">
        <w:t>a</w:t>
      </w:r>
      <w:r w:rsidR="00F9547C" w:rsidRPr="00F94C23">
        <w:t>n 15% when the comparison is made with the WDI</w:t>
      </w:r>
      <w:r w:rsidR="00364AA2" w:rsidRPr="00F94C23">
        <w:t xml:space="preserve"> the survey point is identified as an outlier internationally in terms of consumption per capita. </w:t>
      </w:r>
    </w:p>
    <w:p w14:paraId="598A0A50" w14:textId="77777777" w:rsidR="00F94C23" w:rsidRDefault="00193B55" w:rsidP="007E7BCB">
      <w:pPr>
        <w:pStyle w:val="MText"/>
        <w:numPr>
          <w:ilvl w:val="0"/>
          <w:numId w:val="9"/>
        </w:numPr>
      </w:pPr>
      <w:r w:rsidRPr="00F94C23">
        <w:t xml:space="preserve">Compare the poverty headcount </w:t>
      </w:r>
      <w:r w:rsidR="00364AA2" w:rsidRPr="00F94C23">
        <w:t xml:space="preserve">estimated from the survey </w:t>
      </w:r>
      <w:r w:rsidRPr="00F94C23">
        <w:t>at</w:t>
      </w:r>
      <w:r w:rsidR="00364AA2" w:rsidRPr="00F94C23">
        <w:t xml:space="preserve"> the</w:t>
      </w:r>
      <w:r w:rsidRPr="00F94C23">
        <w:t xml:space="preserve"> </w:t>
      </w:r>
      <w:r w:rsidR="00C8036C" w:rsidRPr="00F94C23">
        <w:t>$</w:t>
      </w:r>
      <w:r w:rsidRPr="00F94C23">
        <w:t>1.90 a day</w:t>
      </w:r>
      <w:r w:rsidR="00146A11" w:rsidRPr="00F94C23">
        <w:t xml:space="preserve"> </w:t>
      </w:r>
      <w:r w:rsidR="00364AA2" w:rsidRPr="00F94C23">
        <w:t>poverty line</w:t>
      </w:r>
      <w:r w:rsidRPr="00F94C23">
        <w:t xml:space="preserve"> </w:t>
      </w:r>
      <w:r w:rsidR="00364AA2" w:rsidRPr="00F94C23">
        <w:t xml:space="preserve">in 2011 PPPs </w:t>
      </w:r>
      <w:r w:rsidRPr="00F94C23">
        <w:t xml:space="preserve">with </w:t>
      </w:r>
      <w:r w:rsidR="00364AA2" w:rsidRPr="00F94C23">
        <w:t xml:space="preserve">the poverty incidence reported in </w:t>
      </w:r>
      <w:r w:rsidRPr="00F94C23">
        <w:t xml:space="preserve">PovcalNet </w:t>
      </w:r>
      <w:r w:rsidR="00364AA2" w:rsidRPr="00F94C23">
        <w:t xml:space="preserve"> at the same poverty line </w:t>
      </w:r>
      <w:r w:rsidR="00364AA2" w:rsidRPr="00F94C23">
        <w:lastRenderedPageBreak/>
        <w:t>(benchmark value)</w:t>
      </w:r>
      <w:r w:rsidRPr="00F94C23">
        <w:t>.</w:t>
      </w:r>
      <w:r w:rsidR="00364AA2" w:rsidRPr="00F94C23">
        <w:t xml:space="preserve"> When the absolute difference between the benchmark value   and the survey estimate exceeds 10 percentage points the survey point is identified as an outlier in the incidence of extreme poverty and flagged for possible exclusion. </w:t>
      </w:r>
    </w:p>
    <w:p w14:paraId="502FA8E2" w14:textId="5132B6C7" w:rsidR="00193B55" w:rsidRPr="00F94C23" w:rsidRDefault="00146A11" w:rsidP="007E7BCB">
      <w:pPr>
        <w:pStyle w:val="MText"/>
        <w:numPr>
          <w:ilvl w:val="0"/>
          <w:numId w:val="9"/>
        </w:numPr>
      </w:pPr>
      <w:r w:rsidRPr="00F94C23">
        <w:t xml:space="preserve">Compare the poverty headcount </w:t>
      </w:r>
      <w:r w:rsidR="00364AA2" w:rsidRPr="00F94C23">
        <w:t xml:space="preserve">estimated from the survey at the </w:t>
      </w:r>
      <w:r w:rsidR="00C8036C" w:rsidRPr="00F94C23">
        <w:t>$</w:t>
      </w:r>
      <w:r w:rsidR="00364AA2" w:rsidRPr="00F94C23">
        <w:t>3.10 a da</w:t>
      </w:r>
      <w:r w:rsidR="00F94C23">
        <w:t>y</w:t>
      </w:r>
      <w:r w:rsidR="00364AA2" w:rsidRPr="00F94C23">
        <w:t xml:space="preserve"> poverty line in 2011 PPPs with the poverty incidence reported in PovcalNet at the same poverty line (benchmark value). When the absolute difference between the benchmark value   and the survey estimate exceeds 10 percentage points the survey point is identified as an outlier </w:t>
      </w:r>
      <w:r w:rsidR="001B13CD" w:rsidRPr="00F94C23">
        <w:t>in poverty headcount at $3.10 a day and</w:t>
      </w:r>
      <w:r w:rsidR="00364AA2" w:rsidRPr="00F94C23">
        <w:t xml:space="preserve"> flagged for possible exclusion.</w:t>
      </w:r>
    </w:p>
    <w:p w14:paraId="4F6EC449" w14:textId="77777777" w:rsidR="00AC773F" w:rsidRPr="00364AA2" w:rsidRDefault="00AC773F" w:rsidP="007E7BCB">
      <w:pPr>
        <w:pStyle w:val="MText"/>
      </w:pPr>
    </w:p>
    <w:p w14:paraId="676D0AB8" w14:textId="77777777" w:rsidR="00193B55" w:rsidRPr="00466AC0" w:rsidRDefault="00193B55" w:rsidP="007E7BCB">
      <w:pPr>
        <w:pStyle w:val="MText"/>
        <w:rPr>
          <w:i/>
          <w:iCs/>
        </w:rPr>
      </w:pPr>
      <w:r w:rsidRPr="00466AC0">
        <w:rPr>
          <w:i/>
          <w:iCs/>
        </w:rPr>
        <w:t>For the numerator of the health expenditure ratio</w:t>
      </w:r>
    </w:p>
    <w:p w14:paraId="5D412BC1" w14:textId="7984A683" w:rsidR="00193B55" w:rsidRPr="003821EB" w:rsidRDefault="00193B55" w:rsidP="007E7BCB">
      <w:pPr>
        <w:pStyle w:val="MText"/>
        <w:numPr>
          <w:ilvl w:val="0"/>
          <w:numId w:val="10"/>
        </w:numPr>
      </w:pPr>
      <w:r w:rsidRPr="00466AC0">
        <w:t xml:space="preserve">Compare the average health expenditure ratio in the survey to </w:t>
      </w:r>
      <w:r w:rsidR="001B13CD">
        <w:t>a benchmark</w:t>
      </w:r>
      <w:r w:rsidR="001B13CD" w:rsidRPr="00466AC0">
        <w:t xml:space="preserve"> </w:t>
      </w:r>
      <w:r w:rsidRPr="00466AC0">
        <w:t xml:space="preserve">average budget share constructed as the ratio of the </w:t>
      </w:r>
      <w:r w:rsidR="00C8036C">
        <w:t>aggregate</w:t>
      </w:r>
      <w:r w:rsidR="00C8036C" w:rsidRPr="00466AC0">
        <w:t xml:space="preserve"> </w:t>
      </w:r>
      <w:r w:rsidRPr="00466AC0">
        <w:t>measure of household out-of-pocket expenditures in current local currency</w:t>
      </w:r>
      <w:r w:rsidR="00C8036C">
        <w:t xml:space="preserve"> </w:t>
      </w:r>
      <w:r w:rsidRPr="00466AC0">
        <w:t xml:space="preserve">and </w:t>
      </w:r>
      <w:r w:rsidR="00C8036C">
        <w:t xml:space="preserve">aggregate </w:t>
      </w:r>
      <w:r w:rsidRPr="00466AC0">
        <w:t>household final consumption expenditure in current local currency</w:t>
      </w:r>
      <w:r w:rsidR="001B13CD">
        <w:t xml:space="preserve">.  When the absolute difference exceeds 5 percentage points the survey point is identified as an outlier in terms of household budget share spent on health and flagged for possible exclusion. </w:t>
      </w:r>
      <w:r w:rsidR="001B13CD" w:rsidRPr="001B13CD">
        <w:t xml:space="preserve">The macro-indicator of household out-of-pocket expenditures is available from the </w:t>
      </w:r>
      <w:hyperlink r:id="rId9" w:history="1">
        <w:r w:rsidR="001B13CD" w:rsidRPr="001B13CD">
          <w:rPr>
            <w:color w:val="0000FF" w:themeColor="hyperlink"/>
            <w:u w:val="single"/>
          </w:rPr>
          <w:t>Global Health Expenditure Database</w:t>
        </w:r>
      </w:hyperlink>
      <w:r w:rsidR="001B13CD" w:rsidRPr="001B13CD">
        <w:t xml:space="preserve"> (GHED)</w:t>
      </w:r>
      <w:r w:rsidR="001B13CD">
        <w:rPr>
          <w:rStyle w:val="FootnoteReference"/>
          <w:rFonts w:cstheme="minorHAnsi"/>
        </w:rPr>
        <w:footnoteReference w:id="15"/>
      </w:r>
      <w:r w:rsidR="001B13CD" w:rsidRPr="001B13CD">
        <w:t xml:space="preserve"> and the </w:t>
      </w:r>
      <w:hyperlink r:id="rId10" w:history="1">
        <w:r w:rsidR="001B13CD" w:rsidRPr="001B13CD">
          <w:rPr>
            <w:color w:val="0000FF" w:themeColor="hyperlink"/>
            <w:u w:val="single"/>
          </w:rPr>
          <w:t>World Development Indicators Database</w:t>
        </w:r>
      </w:hyperlink>
      <w:r w:rsidR="001B13CD" w:rsidRPr="001B13CD">
        <w:t xml:space="preserve"> (WDI)</w:t>
      </w:r>
      <w:r w:rsidR="001B13CD">
        <w:rPr>
          <w:rStyle w:val="FootnoteReference"/>
          <w:rFonts w:cstheme="minorHAnsi"/>
        </w:rPr>
        <w:footnoteReference w:id="16"/>
      </w:r>
      <w:r w:rsidR="001B13CD" w:rsidRPr="001B13CD">
        <w:t xml:space="preserve">. Information on household final consumption expenditure </w:t>
      </w:r>
      <w:r w:rsidR="000F61FD" w:rsidRPr="001B13CD">
        <w:t xml:space="preserve">is </w:t>
      </w:r>
      <w:r w:rsidR="000F61FD" w:rsidRPr="003821EB">
        <w:t>also</w:t>
      </w:r>
      <w:r w:rsidRPr="003821EB">
        <w:t xml:space="preserve"> extracted from WDI</w:t>
      </w:r>
      <w:r w:rsidR="000F61FD">
        <w:t xml:space="preserve"> (series code: </w:t>
      </w:r>
      <w:r w:rsidR="000F61FD">
        <w:rPr>
          <w:rFonts w:ascii="Arial" w:hAnsi="Arial" w:cs="Arial"/>
          <w:color w:val="666666"/>
          <w:sz w:val="20"/>
          <w:szCs w:val="20"/>
          <w:shd w:val="clear" w:color="auto" w:fill="FFFFFF"/>
        </w:rPr>
        <w:t>NE.CON.PRVT.CN</w:t>
      </w:r>
      <w:r w:rsidR="000F61FD">
        <w:t>)</w:t>
      </w:r>
      <w:r w:rsidRPr="003821EB">
        <w:t>.</w:t>
      </w:r>
    </w:p>
    <w:p w14:paraId="28386F12" w14:textId="77777777" w:rsidR="00193B55" w:rsidRPr="00466AC0" w:rsidRDefault="00193B55" w:rsidP="00193B55">
      <w:pPr>
        <w:shd w:val="clear" w:color="auto" w:fill="FFFFFF"/>
        <w:spacing w:line="276" w:lineRule="auto"/>
        <w:ind w:left="720"/>
        <w:contextualSpacing/>
        <w:jc w:val="both"/>
        <w:rPr>
          <w:rFonts w:eastAsia="Times New Roman" w:cstheme="minorHAnsi"/>
          <w:color w:val="4A4A4A"/>
          <w:sz w:val="21"/>
          <w:szCs w:val="21"/>
          <w:lang w:eastAsia="en-GB"/>
        </w:rPr>
      </w:pPr>
    </w:p>
    <w:p w14:paraId="219ACB09" w14:textId="77777777" w:rsidR="00F94C23" w:rsidRDefault="00193B55" w:rsidP="007E7BCB">
      <w:pPr>
        <w:pStyle w:val="MText"/>
        <w:rPr>
          <w:rFonts w:eastAsia="TT15Ct00"/>
          <w:color w:val="404040" w:themeColor="text1" w:themeTint="BF"/>
        </w:rPr>
      </w:pPr>
      <w:r w:rsidRPr="00466AC0">
        <w:t>These benchmarks are also used to decide between two estimates for those countries and those years for which both institutions have the same data source</w:t>
      </w:r>
      <w:r w:rsidR="00901041">
        <w:t>. For more information please refer to</w:t>
      </w:r>
      <w:r w:rsidR="00AC773F">
        <w:t xml:space="preserve"> </w:t>
      </w:r>
      <w:r w:rsidR="00901041" w:rsidRPr="001B13CD">
        <w:rPr>
          <w:rFonts w:eastAsia="TT15Ct00"/>
          <w:color w:val="404040" w:themeColor="text1" w:themeTint="BF"/>
        </w:rPr>
        <w:t xml:space="preserve">WHO and World Bank 2017 report on tracking universal health coverage   as well as Wagstaff </w:t>
      </w:r>
      <w:r w:rsidR="00901041">
        <w:rPr>
          <w:rFonts w:eastAsia="TT15Ct00"/>
          <w:color w:val="404040" w:themeColor="text1" w:themeTint="BF"/>
        </w:rPr>
        <w:t xml:space="preserve"> </w:t>
      </w:r>
      <w:r w:rsidR="00901041" w:rsidRPr="001B13CD">
        <w:rPr>
          <w:rFonts w:eastAsia="TT15Ct00"/>
          <w:color w:val="404040" w:themeColor="text1" w:themeTint="BF"/>
        </w:rPr>
        <w:t>et al 2018</w:t>
      </w:r>
      <w:r w:rsidR="00901041">
        <w:rPr>
          <w:rFonts w:eastAsia="TT15Ct00"/>
          <w:color w:val="404040" w:themeColor="text1" w:themeTint="BF"/>
        </w:rPr>
        <w:t xml:space="preserve">. </w:t>
      </w:r>
    </w:p>
    <w:p w14:paraId="1809C4DB" w14:textId="466C6B4E" w:rsidR="00193B55" w:rsidRDefault="00901041" w:rsidP="007E7BCB">
      <w:pPr>
        <w:pStyle w:val="MText"/>
      </w:pPr>
      <w:r>
        <w:t xml:space="preserve">At the end of the quality assurance process, </w:t>
      </w:r>
      <w:r w:rsidR="00193B55" w:rsidRPr="00466AC0">
        <w:t>WHO and the World Bank assemble non-duplicated estimates of the proportion of the population</w:t>
      </w:r>
      <w:r>
        <w:t xml:space="preserve"> with large household expenditure on health as a share of total household expenditure or income for each country. T</w:t>
      </w:r>
      <w:r w:rsidR="00193B55" w:rsidRPr="00466AC0">
        <w:t>he World Health Organization</w:t>
      </w:r>
      <w:r>
        <w:t xml:space="preserve"> then</w:t>
      </w:r>
      <w:r w:rsidR="00193B55" w:rsidRPr="00466AC0">
        <w:t xml:space="preserve"> undertakes a country consultation process. Following a WHO Executive Board resolution (EB107.R8) WHO is requested to do this before publishing estimates at country level on behalf of member states. For any given indicator, this process starts with WHO sending a formal request to ministries of health to nominate a focal point for the consultation on the indicator. Once member states nominate focal points, WHO then sends draft estimates and methodological descriptions to them.</w:t>
      </w:r>
      <w:r w:rsidR="006321A7">
        <w:t xml:space="preserve"> STATA codes are available to reproduce the estimates shared.</w:t>
      </w:r>
      <w:r w:rsidR="001A6691">
        <w:t xml:space="preserve"> </w:t>
      </w:r>
      <w:r w:rsidR="00193B55" w:rsidRPr="00466AC0">
        <w:t xml:space="preserve">The focal points then send </w:t>
      </w:r>
      <w:r w:rsidR="006321A7">
        <w:t xml:space="preserve">to </w:t>
      </w:r>
      <w:r w:rsidR="00193B55" w:rsidRPr="00466AC0">
        <w:t>WHO their comments, often including new data</w:t>
      </w:r>
      <w:r w:rsidR="006321A7">
        <w:t xml:space="preserve"> or revised country estimates</w:t>
      </w:r>
      <w:r w:rsidR="00193B55" w:rsidRPr="00466AC0">
        <w:t xml:space="preserve"> that are used to update the country estimates. </w:t>
      </w:r>
      <w:r w:rsidR="001A6691">
        <w:t>During the 2017 country consultation 13</w:t>
      </w:r>
      <w:r w:rsidR="00DF4A64">
        <w:t>7</w:t>
      </w:r>
      <w:r w:rsidR="001A6691">
        <w:t xml:space="preserve"> WHO Member States nominated focal points</w:t>
      </w:r>
      <w:r w:rsidR="003D7B60">
        <w:t>,</w:t>
      </w:r>
      <w:r w:rsidR="003D7B60" w:rsidRPr="003D7B60">
        <w:t xml:space="preserve"> 100 of these received draft estimates and information on the methodology; 37 received only information on me</w:t>
      </w:r>
      <w:r w:rsidR="007A7AAA">
        <w:t>thodology as no draft estimate</w:t>
      </w:r>
      <w:r w:rsidR="003D7B60" w:rsidRPr="003D7B60">
        <w:t xml:space="preserve"> was produced. Of the 57 WHO Member States without focal points nominated </w:t>
      </w:r>
      <w:r w:rsidR="007A7AAA">
        <w:t xml:space="preserve">estimates are available for </w:t>
      </w:r>
      <w:r w:rsidR="003D7B60" w:rsidRPr="003D7B60">
        <w:t>3</w:t>
      </w:r>
      <w:r w:rsidR="000D15F4">
        <w:t>2</w:t>
      </w:r>
      <w:r w:rsidR="003D7B60" w:rsidRPr="003D7B60">
        <w:t xml:space="preserve"> of them.</w:t>
      </w:r>
    </w:p>
    <w:p w14:paraId="485D6D25" w14:textId="77777777" w:rsidR="007E7BCB" w:rsidRPr="00466AC0" w:rsidRDefault="007E7BCB" w:rsidP="007E7BCB">
      <w:pPr>
        <w:pStyle w:val="MText"/>
      </w:pPr>
    </w:p>
    <w:p w14:paraId="49D1CBB1" w14:textId="350F0C3A" w:rsidR="001573C3" w:rsidRDefault="00193B55" w:rsidP="007E7BCB">
      <w:pPr>
        <w:pStyle w:val="MText"/>
      </w:pPr>
      <w:r w:rsidRPr="00466AC0">
        <w:t xml:space="preserve">In addition to </w:t>
      </w:r>
      <w:r w:rsidR="001A6691">
        <w:t>such</w:t>
      </w:r>
      <w:r w:rsidR="001A6691" w:rsidRPr="00466AC0">
        <w:t xml:space="preserve"> </w:t>
      </w:r>
      <w:r w:rsidRPr="00466AC0">
        <w:t>consultation, the World Health Organization and the World Bank regularly undertake training events on the measurement of lack of financial protection coverage, which involves participants from the Ministry of Health as well as from the National Statistical Office.</w:t>
      </w:r>
      <w:bookmarkStart w:id="13" w:name="_Toc475009783"/>
      <w:bookmarkStart w:id="14" w:name="_Toc475009934"/>
      <w:r w:rsidR="001A6691" w:rsidRPr="001A6691">
        <w:t xml:space="preserve"> </w:t>
      </w:r>
      <w:r w:rsidR="001A6691">
        <w:t xml:space="preserve">WHO has several regional and national collaborations ongoing to support the production of indicator 3.8.2 as it has been recently adopted it is not yet routinely produced by National Statistical Office despite the data being available and the methodology simple.  Results of such collaborations are not yet included in the database assembled </w:t>
      </w:r>
      <w:r w:rsidR="001A6691">
        <w:lastRenderedPageBreak/>
        <w:t>by WHO and the World Bank but estimates produced by a country will be subject to the same quality assurance process just described.</w:t>
      </w:r>
    </w:p>
    <w:p w14:paraId="1D54DDFF" w14:textId="77777777" w:rsidR="007E7BCB" w:rsidRDefault="007E7BCB" w:rsidP="007E7BCB">
      <w:pPr>
        <w:pStyle w:val="MText"/>
      </w:pPr>
    </w:p>
    <w:p w14:paraId="713DEF14" w14:textId="77777777" w:rsidR="00F94C23" w:rsidRDefault="00193B55" w:rsidP="007E7BCB">
      <w:pPr>
        <w:pStyle w:val="MHeader"/>
      </w:pPr>
      <w:r w:rsidRPr="00B31ABD">
        <w:t>Data Availability</w:t>
      </w:r>
      <w:bookmarkEnd w:id="13"/>
      <w:bookmarkEnd w:id="14"/>
    </w:p>
    <w:p w14:paraId="45B780B3" w14:textId="50687502" w:rsidR="00F94C23" w:rsidRDefault="00193B55" w:rsidP="007E7BCB">
      <w:pPr>
        <w:pStyle w:val="MText"/>
      </w:pPr>
      <w:r w:rsidRPr="00466AC0">
        <w:t xml:space="preserve">This indicator relies primarily on the same data sources that are used to monitor SDG indicator 1.1.1 with the additional requirement of the availability of information regarding health expenditures. Taking this into account, </w:t>
      </w:r>
      <w:r w:rsidR="00102004">
        <w:t>the World Bank and WHO have identified</w:t>
      </w:r>
      <w:r w:rsidR="00F04DDB">
        <w:t xml:space="preserve"> </w:t>
      </w:r>
      <w:r w:rsidR="00DD626B">
        <w:t xml:space="preserve">1566 </w:t>
      </w:r>
      <w:r w:rsidR="00F04DDB">
        <w:t>potentially suitable household sur</w:t>
      </w:r>
      <w:r w:rsidR="00DA74A7">
        <w:t xml:space="preserve">vey datasets from </w:t>
      </w:r>
      <w:r w:rsidR="00DD626B">
        <w:t xml:space="preserve">155 </w:t>
      </w:r>
      <w:r w:rsidR="00DA74A7">
        <w:t xml:space="preserve">countries. </w:t>
      </w:r>
      <w:r w:rsidR="00DD626B">
        <w:t>Some of these surveys were excluded because they were either inaccessible, lacked key variables required for the estimation of the proportion of the population with large household expenditures on health as a share of total household expenditure or income, they did not pass the quality assurance process or were not part of a consistent time series</w:t>
      </w:r>
      <w:r w:rsidR="00DD626B" w:rsidRPr="00DD626B">
        <w:t xml:space="preserve">. </w:t>
      </w:r>
      <w:r w:rsidR="0088341F" w:rsidRPr="0088341F">
        <w:t xml:space="preserve"> </w:t>
      </w:r>
      <w:r w:rsidR="00DD626B">
        <w:t>As of December 2017 a total of 553 datapoints from 132 countries or territories</w:t>
      </w:r>
      <w:r w:rsidR="00321B2D">
        <w:t xml:space="preserve"> spanning the period 1984-2015 </w:t>
      </w:r>
      <w:r w:rsidR="0088341F" w:rsidRPr="0088341F">
        <w:t>have been</w:t>
      </w:r>
      <w:r w:rsidR="00321B2D">
        <w:t xml:space="preserve"> used to produce SDG indicator 3.8.2 </w:t>
      </w:r>
      <w:r w:rsidR="0088341F" w:rsidRPr="0088341F">
        <w:t xml:space="preserve">. </w:t>
      </w:r>
      <w:r w:rsidR="00F04DDB">
        <w:t xml:space="preserve"> </w:t>
      </w:r>
      <w:r w:rsidR="00943562">
        <w:t xml:space="preserve"> </w:t>
      </w:r>
      <w:r w:rsidR="0088341F">
        <w:t xml:space="preserve"> </w:t>
      </w:r>
    </w:p>
    <w:p w14:paraId="361078ED" w14:textId="2BD11AE3" w:rsidR="00193B55" w:rsidRDefault="0088341F" w:rsidP="00E31B58">
      <w:pPr>
        <w:pStyle w:val="MText"/>
      </w:pPr>
      <w:r>
        <w:t>D</w:t>
      </w:r>
      <w:r w:rsidR="00193B55" w:rsidRPr="00466AC0">
        <w:t>ata availability measured in terms of the number of countries that WHO</w:t>
      </w:r>
      <w:r>
        <w:t xml:space="preserve"> and the World Bank</w:t>
      </w:r>
      <w:r w:rsidR="00892B96">
        <w:t xml:space="preserve"> have currently reviewed and </w:t>
      </w:r>
      <w:r w:rsidR="002B0655">
        <w:t>retained for the estimation of</w:t>
      </w:r>
      <w:r w:rsidR="00892B96">
        <w:t xml:space="preserve"> the “p</w:t>
      </w:r>
      <w:r w:rsidR="00892B96" w:rsidRPr="00892B96">
        <w:t>roportion of the population with large household expenditures on health as a share of total household expenditure or income</w:t>
      </w:r>
      <w:r w:rsidR="00892B96">
        <w:t>”</w:t>
      </w:r>
      <w:r w:rsidR="00892B96" w:rsidRPr="00892B96">
        <w:t xml:space="preserve"> </w:t>
      </w:r>
      <w:r w:rsidR="00193B55" w:rsidRPr="00466AC0">
        <w:t>is as follows for the most recent year:</w:t>
      </w:r>
    </w:p>
    <w:tbl>
      <w:tblPr>
        <w:tblW w:w="9390" w:type="dxa"/>
        <w:tblInd w:w="93" w:type="dxa"/>
        <w:tblLook w:val="04A0" w:firstRow="1" w:lastRow="0" w:firstColumn="1" w:lastColumn="0" w:noHBand="0" w:noVBand="1"/>
      </w:tblPr>
      <w:tblGrid>
        <w:gridCol w:w="3805"/>
        <w:gridCol w:w="851"/>
        <w:gridCol w:w="703"/>
        <w:gridCol w:w="876"/>
        <w:gridCol w:w="703"/>
        <w:gridCol w:w="876"/>
        <w:gridCol w:w="703"/>
        <w:gridCol w:w="876"/>
      </w:tblGrid>
      <w:tr w:rsidR="00943562" w:rsidRPr="00943562" w14:paraId="7446C7F2" w14:textId="77777777" w:rsidTr="00943562">
        <w:trPr>
          <w:trHeight w:val="720"/>
        </w:trPr>
        <w:tc>
          <w:tcPr>
            <w:tcW w:w="3805" w:type="dxa"/>
            <w:tcBorders>
              <w:top w:val="nil"/>
              <w:left w:val="nil"/>
              <w:bottom w:val="nil"/>
              <w:right w:val="nil"/>
            </w:tcBorders>
            <w:shd w:val="clear" w:color="auto" w:fill="auto"/>
            <w:noWrap/>
            <w:vAlign w:val="bottom"/>
            <w:hideMark/>
          </w:tcPr>
          <w:p w14:paraId="47DFAB96" w14:textId="77777777" w:rsidR="00943562" w:rsidRPr="00943562" w:rsidRDefault="00943562" w:rsidP="00E31B58">
            <w:pPr>
              <w:pStyle w:val="MText"/>
              <w:rPr>
                <w:lang w:val="en-US"/>
              </w:rPr>
            </w:pPr>
          </w:p>
        </w:tc>
        <w:tc>
          <w:tcPr>
            <w:tcW w:w="848" w:type="dxa"/>
            <w:tcBorders>
              <w:top w:val="nil"/>
              <w:left w:val="nil"/>
              <w:bottom w:val="nil"/>
              <w:right w:val="nil"/>
            </w:tcBorders>
            <w:shd w:val="clear" w:color="auto" w:fill="auto"/>
            <w:noWrap/>
            <w:vAlign w:val="bottom"/>
            <w:hideMark/>
          </w:tcPr>
          <w:p w14:paraId="6AC666D1" w14:textId="77777777" w:rsidR="00943562" w:rsidRPr="00943562" w:rsidRDefault="00943562" w:rsidP="00E31B58">
            <w:pPr>
              <w:pStyle w:val="MText"/>
              <w:rPr>
                <w:lang w:val="en-US"/>
              </w:rPr>
            </w:pPr>
          </w:p>
        </w:tc>
        <w:tc>
          <w:tcPr>
            <w:tcW w:w="4737" w:type="dxa"/>
            <w:gridSpan w:val="6"/>
            <w:tcBorders>
              <w:top w:val="nil"/>
              <w:left w:val="nil"/>
              <w:bottom w:val="single" w:sz="8" w:space="0" w:color="auto"/>
              <w:right w:val="nil"/>
            </w:tcBorders>
            <w:shd w:val="clear" w:color="auto" w:fill="auto"/>
            <w:vAlign w:val="center"/>
            <w:hideMark/>
          </w:tcPr>
          <w:p w14:paraId="58634B26" w14:textId="77777777" w:rsidR="00943562" w:rsidRPr="00943562" w:rsidRDefault="00943562" w:rsidP="00E31B58">
            <w:pPr>
              <w:pStyle w:val="MText"/>
              <w:rPr>
                <w:sz w:val="18"/>
                <w:szCs w:val="18"/>
                <w:lang w:val="en-US"/>
              </w:rPr>
            </w:pPr>
            <w:r w:rsidRPr="00943562">
              <w:rPr>
                <w:sz w:val="18"/>
                <w:szCs w:val="18"/>
                <w:lang w:val="en-US"/>
              </w:rPr>
              <w:t>Retained by WHO and the World Bank for the estimation of the "proportion of the population with large household expenditure on health as a share of total household expenditure or income"</w:t>
            </w:r>
          </w:p>
        </w:tc>
      </w:tr>
      <w:tr w:rsidR="00943562" w:rsidRPr="00943562" w14:paraId="0030DCCD" w14:textId="77777777" w:rsidTr="00943562">
        <w:trPr>
          <w:trHeight w:val="972"/>
        </w:trPr>
        <w:tc>
          <w:tcPr>
            <w:tcW w:w="3805" w:type="dxa"/>
            <w:tcBorders>
              <w:top w:val="nil"/>
              <w:left w:val="nil"/>
              <w:bottom w:val="single" w:sz="8" w:space="0" w:color="auto"/>
              <w:right w:val="nil"/>
            </w:tcBorders>
            <w:shd w:val="clear" w:color="auto" w:fill="auto"/>
            <w:vAlign w:val="center"/>
            <w:hideMark/>
          </w:tcPr>
          <w:p w14:paraId="5A717245" w14:textId="77777777" w:rsidR="00943562" w:rsidRPr="00943562" w:rsidRDefault="00943562" w:rsidP="00E31B58">
            <w:pPr>
              <w:pStyle w:val="MText"/>
              <w:rPr>
                <w:sz w:val="18"/>
                <w:szCs w:val="18"/>
                <w:lang w:val="en-US"/>
              </w:rPr>
            </w:pPr>
            <w:r w:rsidRPr="00943562">
              <w:rPr>
                <w:sz w:val="18"/>
                <w:szCs w:val="18"/>
                <w:lang w:val="en-US"/>
              </w:rPr>
              <w:t>SDG regional breakdown</w:t>
            </w:r>
          </w:p>
        </w:tc>
        <w:tc>
          <w:tcPr>
            <w:tcW w:w="848" w:type="dxa"/>
            <w:tcBorders>
              <w:top w:val="nil"/>
              <w:left w:val="nil"/>
              <w:bottom w:val="single" w:sz="8" w:space="0" w:color="auto"/>
              <w:right w:val="nil"/>
            </w:tcBorders>
            <w:shd w:val="clear" w:color="auto" w:fill="auto"/>
            <w:vAlign w:val="center"/>
            <w:hideMark/>
          </w:tcPr>
          <w:p w14:paraId="4D39955C" w14:textId="77777777" w:rsidR="00943562" w:rsidRPr="00943562" w:rsidRDefault="00943562" w:rsidP="00E31B58">
            <w:pPr>
              <w:pStyle w:val="MText"/>
              <w:rPr>
                <w:sz w:val="18"/>
                <w:szCs w:val="18"/>
                <w:lang w:val="en-US"/>
              </w:rPr>
            </w:pPr>
            <w:r w:rsidRPr="00943562">
              <w:rPr>
                <w:sz w:val="18"/>
                <w:szCs w:val="18"/>
                <w:lang w:val="en-US"/>
              </w:rPr>
              <w:t>Number of WHO Member States</w:t>
            </w:r>
          </w:p>
        </w:tc>
        <w:tc>
          <w:tcPr>
            <w:tcW w:w="1579" w:type="dxa"/>
            <w:gridSpan w:val="2"/>
            <w:tcBorders>
              <w:top w:val="single" w:sz="8" w:space="0" w:color="auto"/>
              <w:left w:val="nil"/>
              <w:bottom w:val="single" w:sz="8" w:space="0" w:color="auto"/>
              <w:right w:val="nil"/>
            </w:tcBorders>
            <w:shd w:val="clear" w:color="auto" w:fill="auto"/>
            <w:vAlign w:val="center"/>
            <w:hideMark/>
          </w:tcPr>
          <w:p w14:paraId="3523D186" w14:textId="77777777" w:rsidR="00943562" w:rsidRPr="00943562" w:rsidRDefault="00943562" w:rsidP="00E31B58">
            <w:pPr>
              <w:pStyle w:val="MText"/>
              <w:rPr>
                <w:sz w:val="18"/>
                <w:szCs w:val="18"/>
                <w:lang w:val="en-US"/>
              </w:rPr>
            </w:pPr>
            <w:r w:rsidRPr="00943562">
              <w:rPr>
                <w:sz w:val="18"/>
                <w:szCs w:val="18"/>
                <w:lang w:val="en-US"/>
              </w:rPr>
              <w:t>2005 or earlier</w:t>
            </w:r>
          </w:p>
        </w:tc>
        <w:tc>
          <w:tcPr>
            <w:tcW w:w="1579" w:type="dxa"/>
            <w:gridSpan w:val="2"/>
            <w:tcBorders>
              <w:top w:val="single" w:sz="8" w:space="0" w:color="auto"/>
              <w:left w:val="nil"/>
              <w:bottom w:val="single" w:sz="8" w:space="0" w:color="auto"/>
              <w:right w:val="nil"/>
            </w:tcBorders>
            <w:shd w:val="clear" w:color="auto" w:fill="auto"/>
            <w:vAlign w:val="center"/>
            <w:hideMark/>
          </w:tcPr>
          <w:p w14:paraId="3A29D91F" w14:textId="77777777" w:rsidR="00943562" w:rsidRPr="00943562" w:rsidRDefault="00943562" w:rsidP="00E31B58">
            <w:pPr>
              <w:pStyle w:val="MText"/>
              <w:rPr>
                <w:sz w:val="18"/>
                <w:szCs w:val="18"/>
                <w:lang w:val="en-US"/>
              </w:rPr>
            </w:pPr>
            <w:r w:rsidRPr="00943562">
              <w:rPr>
                <w:sz w:val="18"/>
                <w:szCs w:val="18"/>
                <w:lang w:val="en-US"/>
              </w:rPr>
              <w:t>2006-2015</w:t>
            </w:r>
          </w:p>
        </w:tc>
        <w:tc>
          <w:tcPr>
            <w:tcW w:w="1579" w:type="dxa"/>
            <w:gridSpan w:val="2"/>
            <w:tcBorders>
              <w:top w:val="single" w:sz="8" w:space="0" w:color="auto"/>
              <w:left w:val="nil"/>
              <w:bottom w:val="single" w:sz="8" w:space="0" w:color="auto"/>
              <w:right w:val="nil"/>
            </w:tcBorders>
            <w:shd w:val="clear" w:color="auto" w:fill="auto"/>
            <w:vAlign w:val="center"/>
            <w:hideMark/>
          </w:tcPr>
          <w:p w14:paraId="727B5320" w14:textId="77777777" w:rsidR="00943562" w:rsidRPr="00943562" w:rsidRDefault="00943562" w:rsidP="00E31B58">
            <w:pPr>
              <w:pStyle w:val="MText"/>
              <w:rPr>
                <w:sz w:val="18"/>
                <w:szCs w:val="18"/>
                <w:lang w:val="en-US"/>
              </w:rPr>
            </w:pPr>
            <w:r w:rsidRPr="00943562">
              <w:rPr>
                <w:sz w:val="18"/>
                <w:szCs w:val="18"/>
                <w:lang w:val="en-US"/>
              </w:rPr>
              <w:t>Total  per SDG region</w:t>
            </w:r>
          </w:p>
        </w:tc>
      </w:tr>
      <w:tr w:rsidR="00943562" w:rsidRPr="00943562" w14:paraId="51D1D5BF" w14:textId="77777777" w:rsidTr="00943562">
        <w:trPr>
          <w:trHeight w:val="300"/>
        </w:trPr>
        <w:tc>
          <w:tcPr>
            <w:tcW w:w="3805" w:type="dxa"/>
            <w:tcBorders>
              <w:top w:val="nil"/>
              <w:left w:val="nil"/>
              <w:bottom w:val="single" w:sz="8" w:space="0" w:color="auto"/>
              <w:right w:val="nil"/>
            </w:tcBorders>
            <w:shd w:val="clear" w:color="auto" w:fill="auto"/>
            <w:noWrap/>
            <w:vAlign w:val="center"/>
            <w:hideMark/>
          </w:tcPr>
          <w:p w14:paraId="6D9366C8" w14:textId="77777777" w:rsidR="00943562" w:rsidRPr="00943562" w:rsidRDefault="00943562" w:rsidP="00E31B58">
            <w:pPr>
              <w:pStyle w:val="MText"/>
              <w:rPr>
                <w:sz w:val="18"/>
                <w:szCs w:val="18"/>
                <w:lang w:val="en-US"/>
              </w:rPr>
            </w:pPr>
            <w:r w:rsidRPr="00943562">
              <w:rPr>
                <w:sz w:val="18"/>
                <w:szCs w:val="18"/>
                <w:lang w:val="en-US"/>
              </w:rPr>
              <w:t> </w:t>
            </w:r>
          </w:p>
        </w:tc>
        <w:tc>
          <w:tcPr>
            <w:tcW w:w="848" w:type="dxa"/>
            <w:tcBorders>
              <w:top w:val="nil"/>
              <w:left w:val="nil"/>
              <w:bottom w:val="single" w:sz="8" w:space="0" w:color="auto"/>
              <w:right w:val="nil"/>
            </w:tcBorders>
            <w:shd w:val="clear" w:color="auto" w:fill="auto"/>
            <w:noWrap/>
            <w:vAlign w:val="center"/>
            <w:hideMark/>
          </w:tcPr>
          <w:p w14:paraId="4ADAFD58" w14:textId="77777777" w:rsidR="00943562" w:rsidRPr="00943562" w:rsidRDefault="00943562" w:rsidP="00E31B58">
            <w:pPr>
              <w:pStyle w:val="MText"/>
              <w:rPr>
                <w:sz w:val="18"/>
                <w:szCs w:val="18"/>
                <w:lang w:val="en-US"/>
              </w:rPr>
            </w:pPr>
            <w:r w:rsidRPr="00943562">
              <w:rPr>
                <w:sz w:val="18"/>
                <w:szCs w:val="18"/>
                <w:lang w:val="en-US"/>
              </w:rPr>
              <w:t> </w:t>
            </w:r>
          </w:p>
        </w:tc>
        <w:tc>
          <w:tcPr>
            <w:tcW w:w="703" w:type="dxa"/>
            <w:tcBorders>
              <w:top w:val="nil"/>
              <w:left w:val="nil"/>
              <w:bottom w:val="single" w:sz="8" w:space="0" w:color="auto"/>
              <w:right w:val="nil"/>
            </w:tcBorders>
            <w:shd w:val="clear" w:color="auto" w:fill="auto"/>
            <w:noWrap/>
            <w:vAlign w:val="center"/>
            <w:hideMark/>
          </w:tcPr>
          <w:p w14:paraId="4E35F667" w14:textId="77777777" w:rsidR="00943562" w:rsidRPr="00943562" w:rsidRDefault="00943562" w:rsidP="00E31B58">
            <w:pPr>
              <w:pStyle w:val="MText"/>
              <w:rPr>
                <w:sz w:val="18"/>
                <w:szCs w:val="18"/>
                <w:lang w:val="en-US"/>
              </w:rPr>
            </w:pPr>
            <w:r w:rsidRPr="00943562">
              <w:rPr>
                <w:sz w:val="18"/>
                <w:szCs w:val="18"/>
                <w:lang w:val="en-US"/>
              </w:rPr>
              <w:t>(nb of MS)</w:t>
            </w:r>
          </w:p>
        </w:tc>
        <w:tc>
          <w:tcPr>
            <w:tcW w:w="876" w:type="dxa"/>
            <w:tcBorders>
              <w:top w:val="nil"/>
              <w:left w:val="nil"/>
              <w:bottom w:val="single" w:sz="8" w:space="0" w:color="auto"/>
              <w:right w:val="nil"/>
            </w:tcBorders>
            <w:shd w:val="clear" w:color="auto" w:fill="auto"/>
            <w:noWrap/>
            <w:vAlign w:val="center"/>
            <w:hideMark/>
          </w:tcPr>
          <w:p w14:paraId="073ABAAB" w14:textId="77777777" w:rsidR="00943562" w:rsidRPr="00943562" w:rsidRDefault="00943562" w:rsidP="00E31B58">
            <w:pPr>
              <w:pStyle w:val="MText"/>
              <w:rPr>
                <w:sz w:val="18"/>
                <w:szCs w:val="18"/>
                <w:lang w:val="en-US"/>
              </w:rPr>
            </w:pPr>
            <w:r w:rsidRPr="00943562">
              <w:rPr>
                <w:sz w:val="18"/>
                <w:szCs w:val="18"/>
                <w:lang w:val="en-US"/>
              </w:rPr>
              <w:t>(% by region)</w:t>
            </w:r>
          </w:p>
        </w:tc>
        <w:tc>
          <w:tcPr>
            <w:tcW w:w="703" w:type="dxa"/>
            <w:tcBorders>
              <w:top w:val="nil"/>
              <w:left w:val="nil"/>
              <w:bottom w:val="single" w:sz="8" w:space="0" w:color="auto"/>
              <w:right w:val="nil"/>
            </w:tcBorders>
            <w:shd w:val="clear" w:color="auto" w:fill="auto"/>
            <w:noWrap/>
            <w:vAlign w:val="center"/>
            <w:hideMark/>
          </w:tcPr>
          <w:p w14:paraId="7317DF26" w14:textId="77777777" w:rsidR="00943562" w:rsidRPr="00943562" w:rsidRDefault="00943562" w:rsidP="00E31B58">
            <w:pPr>
              <w:pStyle w:val="MText"/>
              <w:rPr>
                <w:sz w:val="18"/>
                <w:szCs w:val="18"/>
                <w:lang w:val="en-US"/>
              </w:rPr>
            </w:pPr>
            <w:r w:rsidRPr="00943562">
              <w:rPr>
                <w:sz w:val="18"/>
                <w:szCs w:val="18"/>
                <w:lang w:val="en-US"/>
              </w:rPr>
              <w:t>(nb of MS)</w:t>
            </w:r>
          </w:p>
        </w:tc>
        <w:tc>
          <w:tcPr>
            <w:tcW w:w="876" w:type="dxa"/>
            <w:tcBorders>
              <w:top w:val="nil"/>
              <w:left w:val="nil"/>
              <w:bottom w:val="single" w:sz="8" w:space="0" w:color="auto"/>
              <w:right w:val="nil"/>
            </w:tcBorders>
            <w:shd w:val="clear" w:color="auto" w:fill="auto"/>
            <w:noWrap/>
            <w:vAlign w:val="center"/>
            <w:hideMark/>
          </w:tcPr>
          <w:p w14:paraId="75D8BB5F" w14:textId="77777777" w:rsidR="00943562" w:rsidRPr="00943562" w:rsidRDefault="00943562" w:rsidP="00E31B58">
            <w:pPr>
              <w:pStyle w:val="MText"/>
              <w:rPr>
                <w:sz w:val="18"/>
                <w:szCs w:val="18"/>
                <w:lang w:val="en-US"/>
              </w:rPr>
            </w:pPr>
            <w:r w:rsidRPr="00943562">
              <w:rPr>
                <w:sz w:val="18"/>
                <w:szCs w:val="18"/>
                <w:lang w:val="en-US"/>
              </w:rPr>
              <w:t>(% by region)</w:t>
            </w:r>
          </w:p>
        </w:tc>
        <w:tc>
          <w:tcPr>
            <w:tcW w:w="703" w:type="dxa"/>
            <w:tcBorders>
              <w:top w:val="nil"/>
              <w:left w:val="nil"/>
              <w:bottom w:val="single" w:sz="8" w:space="0" w:color="auto"/>
              <w:right w:val="nil"/>
            </w:tcBorders>
            <w:shd w:val="clear" w:color="auto" w:fill="auto"/>
            <w:noWrap/>
            <w:vAlign w:val="center"/>
            <w:hideMark/>
          </w:tcPr>
          <w:p w14:paraId="16993469" w14:textId="77777777" w:rsidR="00943562" w:rsidRPr="00943562" w:rsidRDefault="00943562" w:rsidP="00E31B58">
            <w:pPr>
              <w:pStyle w:val="MText"/>
              <w:rPr>
                <w:sz w:val="18"/>
                <w:szCs w:val="18"/>
                <w:lang w:val="en-US"/>
              </w:rPr>
            </w:pPr>
            <w:r w:rsidRPr="00943562">
              <w:rPr>
                <w:sz w:val="18"/>
                <w:szCs w:val="18"/>
                <w:lang w:val="en-US"/>
              </w:rPr>
              <w:t>(nb of MS)</w:t>
            </w:r>
          </w:p>
        </w:tc>
        <w:tc>
          <w:tcPr>
            <w:tcW w:w="876" w:type="dxa"/>
            <w:tcBorders>
              <w:top w:val="nil"/>
              <w:left w:val="nil"/>
              <w:bottom w:val="single" w:sz="8" w:space="0" w:color="auto"/>
              <w:right w:val="nil"/>
            </w:tcBorders>
            <w:shd w:val="clear" w:color="auto" w:fill="auto"/>
            <w:noWrap/>
            <w:vAlign w:val="center"/>
            <w:hideMark/>
          </w:tcPr>
          <w:p w14:paraId="0E7C4E3B" w14:textId="77777777" w:rsidR="00943562" w:rsidRPr="00943562" w:rsidRDefault="00943562" w:rsidP="00E31B58">
            <w:pPr>
              <w:pStyle w:val="MText"/>
              <w:rPr>
                <w:sz w:val="18"/>
                <w:szCs w:val="18"/>
                <w:lang w:val="en-US"/>
              </w:rPr>
            </w:pPr>
            <w:r w:rsidRPr="00943562">
              <w:rPr>
                <w:sz w:val="18"/>
                <w:szCs w:val="18"/>
                <w:lang w:val="en-US"/>
              </w:rPr>
              <w:t>(% by region)</w:t>
            </w:r>
          </w:p>
        </w:tc>
      </w:tr>
      <w:tr w:rsidR="00943562" w:rsidRPr="00943562" w14:paraId="1D44CBD0" w14:textId="77777777" w:rsidTr="00943562">
        <w:trPr>
          <w:trHeight w:val="288"/>
        </w:trPr>
        <w:tc>
          <w:tcPr>
            <w:tcW w:w="3805" w:type="dxa"/>
            <w:tcBorders>
              <w:top w:val="nil"/>
              <w:left w:val="nil"/>
              <w:bottom w:val="nil"/>
              <w:right w:val="nil"/>
            </w:tcBorders>
            <w:shd w:val="clear" w:color="auto" w:fill="auto"/>
            <w:noWrap/>
            <w:vAlign w:val="center"/>
            <w:hideMark/>
          </w:tcPr>
          <w:p w14:paraId="7A01CF95" w14:textId="77777777" w:rsidR="00943562" w:rsidRPr="00943562" w:rsidRDefault="00943562" w:rsidP="00E31B58">
            <w:pPr>
              <w:pStyle w:val="MText"/>
              <w:rPr>
                <w:sz w:val="18"/>
                <w:szCs w:val="18"/>
                <w:lang w:val="en-US"/>
              </w:rPr>
            </w:pPr>
            <w:r w:rsidRPr="00943562">
              <w:rPr>
                <w:sz w:val="18"/>
                <w:szCs w:val="18"/>
                <w:lang w:val="en-US"/>
              </w:rPr>
              <w:t>Northern America (M49) and Europe (M49)</w:t>
            </w:r>
          </w:p>
        </w:tc>
        <w:tc>
          <w:tcPr>
            <w:tcW w:w="848" w:type="dxa"/>
            <w:tcBorders>
              <w:top w:val="nil"/>
              <w:left w:val="nil"/>
              <w:bottom w:val="nil"/>
              <w:right w:val="nil"/>
            </w:tcBorders>
            <w:shd w:val="clear" w:color="auto" w:fill="auto"/>
            <w:noWrap/>
            <w:vAlign w:val="center"/>
            <w:hideMark/>
          </w:tcPr>
          <w:p w14:paraId="3285871C" w14:textId="77777777" w:rsidR="00943562" w:rsidRPr="00943562" w:rsidRDefault="00943562" w:rsidP="00E31B58">
            <w:pPr>
              <w:pStyle w:val="MText"/>
              <w:rPr>
                <w:sz w:val="18"/>
                <w:szCs w:val="18"/>
                <w:lang w:val="en-US"/>
              </w:rPr>
            </w:pPr>
            <w:r w:rsidRPr="00943562">
              <w:rPr>
                <w:sz w:val="18"/>
                <w:szCs w:val="18"/>
                <w:lang w:val="en-US"/>
              </w:rPr>
              <w:t>44</w:t>
            </w:r>
          </w:p>
        </w:tc>
        <w:tc>
          <w:tcPr>
            <w:tcW w:w="703" w:type="dxa"/>
            <w:tcBorders>
              <w:top w:val="nil"/>
              <w:left w:val="nil"/>
              <w:bottom w:val="nil"/>
              <w:right w:val="nil"/>
            </w:tcBorders>
            <w:shd w:val="clear" w:color="auto" w:fill="auto"/>
            <w:noWrap/>
            <w:vAlign w:val="center"/>
            <w:hideMark/>
          </w:tcPr>
          <w:p w14:paraId="479CF9F0" w14:textId="77777777" w:rsidR="00943562" w:rsidRPr="00943562" w:rsidRDefault="00943562" w:rsidP="00E31B58">
            <w:pPr>
              <w:pStyle w:val="MText"/>
              <w:rPr>
                <w:sz w:val="18"/>
                <w:szCs w:val="18"/>
                <w:lang w:val="en-US"/>
              </w:rPr>
            </w:pPr>
            <w:r w:rsidRPr="00943562">
              <w:rPr>
                <w:sz w:val="18"/>
                <w:szCs w:val="18"/>
                <w:lang w:val="en-US"/>
              </w:rPr>
              <w:t>6</w:t>
            </w:r>
          </w:p>
        </w:tc>
        <w:tc>
          <w:tcPr>
            <w:tcW w:w="876" w:type="dxa"/>
            <w:tcBorders>
              <w:top w:val="nil"/>
              <w:left w:val="nil"/>
              <w:bottom w:val="nil"/>
              <w:right w:val="nil"/>
            </w:tcBorders>
            <w:shd w:val="clear" w:color="auto" w:fill="auto"/>
            <w:noWrap/>
            <w:vAlign w:val="center"/>
            <w:hideMark/>
          </w:tcPr>
          <w:p w14:paraId="6C2D51F0" w14:textId="77777777" w:rsidR="00943562" w:rsidRPr="00943562" w:rsidRDefault="00943562" w:rsidP="00E31B58">
            <w:pPr>
              <w:pStyle w:val="MText"/>
              <w:rPr>
                <w:sz w:val="18"/>
                <w:szCs w:val="18"/>
                <w:lang w:val="en-US"/>
              </w:rPr>
            </w:pPr>
            <w:r w:rsidRPr="00943562">
              <w:rPr>
                <w:sz w:val="18"/>
                <w:szCs w:val="18"/>
                <w:lang w:val="en-US"/>
              </w:rPr>
              <w:t>13.60%</w:t>
            </w:r>
          </w:p>
        </w:tc>
        <w:tc>
          <w:tcPr>
            <w:tcW w:w="703" w:type="dxa"/>
            <w:tcBorders>
              <w:top w:val="nil"/>
              <w:left w:val="nil"/>
              <w:bottom w:val="nil"/>
              <w:right w:val="nil"/>
            </w:tcBorders>
            <w:shd w:val="clear" w:color="auto" w:fill="auto"/>
            <w:noWrap/>
            <w:vAlign w:val="center"/>
            <w:hideMark/>
          </w:tcPr>
          <w:p w14:paraId="21AD57A7" w14:textId="77777777" w:rsidR="00943562" w:rsidRPr="00943562" w:rsidRDefault="00943562" w:rsidP="00E31B58">
            <w:pPr>
              <w:pStyle w:val="MText"/>
              <w:rPr>
                <w:sz w:val="18"/>
                <w:szCs w:val="18"/>
                <w:lang w:val="en-US"/>
              </w:rPr>
            </w:pPr>
            <w:r w:rsidRPr="00943562">
              <w:rPr>
                <w:sz w:val="18"/>
                <w:szCs w:val="18"/>
                <w:lang w:val="en-US"/>
              </w:rPr>
              <w:t>33</w:t>
            </w:r>
          </w:p>
        </w:tc>
        <w:tc>
          <w:tcPr>
            <w:tcW w:w="876" w:type="dxa"/>
            <w:tcBorders>
              <w:top w:val="nil"/>
              <w:left w:val="nil"/>
              <w:bottom w:val="nil"/>
              <w:right w:val="nil"/>
            </w:tcBorders>
            <w:shd w:val="clear" w:color="auto" w:fill="auto"/>
            <w:noWrap/>
            <w:vAlign w:val="center"/>
            <w:hideMark/>
          </w:tcPr>
          <w:p w14:paraId="12087810" w14:textId="77777777" w:rsidR="00943562" w:rsidRPr="00943562" w:rsidRDefault="00943562" w:rsidP="00E31B58">
            <w:pPr>
              <w:pStyle w:val="MText"/>
              <w:rPr>
                <w:b/>
                <w:bCs/>
                <w:sz w:val="18"/>
                <w:szCs w:val="18"/>
                <w:lang w:val="en-US"/>
              </w:rPr>
            </w:pPr>
            <w:r w:rsidRPr="00943562">
              <w:rPr>
                <w:b/>
                <w:bCs/>
                <w:sz w:val="18"/>
                <w:szCs w:val="18"/>
                <w:lang w:val="en-US"/>
              </w:rPr>
              <w:t>75.00%</w:t>
            </w:r>
          </w:p>
        </w:tc>
        <w:tc>
          <w:tcPr>
            <w:tcW w:w="703" w:type="dxa"/>
            <w:tcBorders>
              <w:top w:val="nil"/>
              <w:left w:val="nil"/>
              <w:bottom w:val="nil"/>
              <w:right w:val="nil"/>
            </w:tcBorders>
            <w:shd w:val="clear" w:color="auto" w:fill="auto"/>
            <w:noWrap/>
            <w:vAlign w:val="center"/>
            <w:hideMark/>
          </w:tcPr>
          <w:p w14:paraId="69F2C1D8" w14:textId="77777777" w:rsidR="00943562" w:rsidRPr="00943562" w:rsidRDefault="00943562" w:rsidP="00E31B58">
            <w:pPr>
              <w:pStyle w:val="MText"/>
              <w:rPr>
                <w:sz w:val="18"/>
                <w:szCs w:val="18"/>
                <w:lang w:val="en-US"/>
              </w:rPr>
            </w:pPr>
            <w:r w:rsidRPr="00943562">
              <w:rPr>
                <w:sz w:val="18"/>
                <w:szCs w:val="18"/>
                <w:lang w:val="en-US"/>
              </w:rPr>
              <w:t>39</w:t>
            </w:r>
          </w:p>
        </w:tc>
        <w:tc>
          <w:tcPr>
            <w:tcW w:w="876" w:type="dxa"/>
            <w:tcBorders>
              <w:top w:val="nil"/>
              <w:left w:val="nil"/>
              <w:bottom w:val="nil"/>
              <w:right w:val="nil"/>
            </w:tcBorders>
            <w:shd w:val="clear" w:color="auto" w:fill="auto"/>
            <w:noWrap/>
            <w:vAlign w:val="center"/>
            <w:hideMark/>
          </w:tcPr>
          <w:p w14:paraId="210378FA" w14:textId="77777777" w:rsidR="00943562" w:rsidRPr="00943562" w:rsidRDefault="00943562" w:rsidP="00E31B58">
            <w:pPr>
              <w:pStyle w:val="MText"/>
              <w:rPr>
                <w:b/>
                <w:bCs/>
                <w:sz w:val="18"/>
                <w:szCs w:val="18"/>
                <w:lang w:val="en-US"/>
              </w:rPr>
            </w:pPr>
            <w:r w:rsidRPr="00943562">
              <w:rPr>
                <w:b/>
                <w:bCs/>
                <w:sz w:val="18"/>
                <w:szCs w:val="18"/>
                <w:lang w:val="en-US"/>
              </w:rPr>
              <w:t>88.60%</w:t>
            </w:r>
          </w:p>
        </w:tc>
      </w:tr>
      <w:tr w:rsidR="00943562" w:rsidRPr="00943562" w14:paraId="145FA409" w14:textId="77777777" w:rsidTr="00943562">
        <w:trPr>
          <w:trHeight w:val="288"/>
        </w:trPr>
        <w:tc>
          <w:tcPr>
            <w:tcW w:w="3805" w:type="dxa"/>
            <w:tcBorders>
              <w:top w:val="nil"/>
              <w:left w:val="nil"/>
              <w:bottom w:val="nil"/>
              <w:right w:val="nil"/>
            </w:tcBorders>
            <w:shd w:val="clear" w:color="auto" w:fill="auto"/>
            <w:noWrap/>
            <w:vAlign w:val="center"/>
            <w:hideMark/>
          </w:tcPr>
          <w:p w14:paraId="734BBEDB" w14:textId="77777777" w:rsidR="00943562" w:rsidRPr="00943562" w:rsidRDefault="00943562" w:rsidP="00E31B58">
            <w:pPr>
              <w:pStyle w:val="MText"/>
              <w:rPr>
                <w:sz w:val="18"/>
                <w:szCs w:val="18"/>
                <w:lang w:val="en-US"/>
              </w:rPr>
            </w:pPr>
            <w:r w:rsidRPr="00943562">
              <w:rPr>
                <w:sz w:val="18"/>
                <w:szCs w:val="18"/>
                <w:lang w:val="en-US"/>
              </w:rPr>
              <w:t>Latin America and the Caribbean (MDG=M49)</w:t>
            </w:r>
          </w:p>
        </w:tc>
        <w:tc>
          <w:tcPr>
            <w:tcW w:w="848" w:type="dxa"/>
            <w:tcBorders>
              <w:top w:val="nil"/>
              <w:left w:val="nil"/>
              <w:bottom w:val="nil"/>
              <w:right w:val="nil"/>
            </w:tcBorders>
            <w:shd w:val="clear" w:color="auto" w:fill="auto"/>
            <w:noWrap/>
            <w:vAlign w:val="center"/>
            <w:hideMark/>
          </w:tcPr>
          <w:p w14:paraId="3BE5BEA9" w14:textId="77777777" w:rsidR="00943562" w:rsidRPr="00943562" w:rsidRDefault="00943562" w:rsidP="00E31B58">
            <w:pPr>
              <w:pStyle w:val="MText"/>
              <w:rPr>
                <w:sz w:val="18"/>
                <w:szCs w:val="18"/>
                <w:lang w:val="en-US"/>
              </w:rPr>
            </w:pPr>
            <w:r w:rsidRPr="00943562">
              <w:rPr>
                <w:sz w:val="18"/>
                <w:szCs w:val="18"/>
                <w:lang w:val="en-US"/>
              </w:rPr>
              <w:t>33</w:t>
            </w:r>
          </w:p>
        </w:tc>
        <w:tc>
          <w:tcPr>
            <w:tcW w:w="703" w:type="dxa"/>
            <w:tcBorders>
              <w:top w:val="nil"/>
              <w:left w:val="nil"/>
              <w:bottom w:val="nil"/>
              <w:right w:val="nil"/>
            </w:tcBorders>
            <w:shd w:val="clear" w:color="auto" w:fill="auto"/>
            <w:noWrap/>
            <w:vAlign w:val="center"/>
            <w:hideMark/>
          </w:tcPr>
          <w:p w14:paraId="77D030D5" w14:textId="77777777" w:rsidR="00943562" w:rsidRPr="00943562" w:rsidRDefault="00943562" w:rsidP="00E31B58">
            <w:pPr>
              <w:pStyle w:val="MText"/>
              <w:rPr>
                <w:sz w:val="18"/>
                <w:szCs w:val="18"/>
                <w:lang w:val="en-US"/>
              </w:rPr>
            </w:pPr>
            <w:r w:rsidRPr="00943562">
              <w:rPr>
                <w:sz w:val="18"/>
                <w:szCs w:val="18"/>
                <w:lang w:val="en-US"/>
              </w:rPr>
              <w:t>7</w:t>
            </w:r>
          </w:p>
        </w:tc>
        <w:tc>
          <w:tcPr>
            <w:tcW w:w="876" w:type="dxa"/>
            <w:tcBorders>
              <w:top w:val="nil"/>
              <w:left w:val="nil"/>
              <w:bottom w:val="nil"/>
              <w:right w:val="nil"/>
            </w:tcBorders>
            <w:shd w:val="clear" w:color="auto" w:fill="auto"/>
            <w:noWrap/>
            <w:vAlign w:val="center"/>
            <w:hideMark/>
          </w:tcPr>
          <w:p w14:paraId="08EE5A9C" w14:textId="77777777" w:rsidR="00943562" w:rsidRPr="00943562" w:rsidRDefault="00943562" w:rsidP="00E31B58">
            <w:pPr>
              <w:pStyle w:val="MText"/>
              <w:rPr>
                <w:sz w:val="18"/>
                <w:szCs w:val="18"/>
                <w:lang w:val="en-US"/>
              </w:rPr>
            </w:pPr>
            <w:r w:rsidRPr="00943562">
              <w:rPr>
                <w:sz w:val="18"/>
                <w:szCs w:val="18"/>
                <w:lang w:val="en-US"/>
              </w:rPr>
              <w:t>21.20%</w:t>
            </w:r>
          </w:p>
        </w:tc>
        <w:tc>
          <w:tcPr>
            <w:tcW w:w="703" w:type="dxa"/>
            <w:tcBorders>
              <w:top w:val="nil"/>
              <w:left w:val="nil"/>
              <w:bottom w:val="nil"/>
              <w:right w:val="nil"/>
            </w:tcBorders>
            <w:shd w:val="clear" w:color="auto" w:fill="auto"/>
            <w:noWrap/>
            <w:vAlign w:val="center"/>
            <w:hideMark/>
          </w:tcPr>
          <w:p w14:paraId="3B16D67C" w14:textId="77777777" w:rsidR="00943562" w:rsidRPr="00943562" w:rsidRDefault="00943562" w:rsidP="00E31B58">
            <w:pPr>
              <w:pStyle w:val="MText"/>
              <w:rPr>
                <w:sz w:val="18"/>
                <w:szCs w:val="18"/>
                <w:lang w:val="en-US"/>
              </w:rPr>
            </w:pPr>
            <w:r w:rsidRPr="00943562">
              <w:rPr>
                <w:sz w:val="18"/>
                <w:szCs w:val="18"/>
                <w:lang w:val="en-US"/>
              </w:rPr>
              <w:t>10</w:t>
            </w:r>
          </w:p>
        </w:tc>
        <w:tc>
          <w:tcPr>
            <w:tcW w:w="876" w:type="dxa"/>
            <w:tcBorders>
              <w:top w:val="nil"/>
              <w:left w:val="nil"/>
              <w:bottom w:val="nil"/>
              <w:right w:val="nil"/>
            </w:tcBorders>
            <w:shd w:val="clear" w:color="auto" w:fill="auto"/>
            <w:noWrap/>
            <w:vAlign w:val="center"/>
            <w:hideMark/>
          </w:tcPr>
          <w:p w14:paraId="762F1548" w14:textId="77777777" w:rsidR="00943562" w:rsidRPr="00943562" w:rsidRDefault="00943562" w:rsidP="00E31B58">
            <w:pPr>
              <w:pStyle w:val="MText"/>
              <w:rPr>
                <w:sz w:val="18"/>
                <w:szCs w:val="18"/>
                <w:lang w:val="en-US"/>
              </w:rPr>
            </w:pPr>
            <w:r w:rsidRPr="00943562">
              <w:rPr>
                <w:sz w:val="18"/>
                <w:szCs w:val="18"/>
                <w:lang w:val="en-US"/>
              </w:rPr>
              <w:t>30.30%</w:t>
            </w:r>
          </w:p>
        </w:tc>
        <w:tc>
          <w:tcPr>
            <w:tcW w:w="703" w:type="dxa"/>
            <w:tcBorders>
              <w:top w:val="nil"/>
              <w:left w:val="nil"/>
              <w:bottom w:val="nil"/>
              <w:right w:val="nil"/>
            </w:tcBorders>
            <w:shd w:val="clear" w:color="auto" w:fill="auto"/>
            <w:noWrap/>
            <w:vAlign w:val="center"/>
            <w:hideMark/>
          </w:tcPr>
          <w:p w14:paraId="07505AE1" w14:textId="77777777" w:rsidR="00943562" w:rsidRPr="00943562" w:rsidRDefault="00943562" w:rsidP="00E31B58">
            <w:pPr>
              <w:pStyle w:val="MText"/>
              <w:rPr>
                <w:sz w:val="18"/>
                <w:szCs w:val="18"/>
                <w:lang w:val="en-US"/>
              </w:rPr>
            </w:pPr>
            <w:r w:rsidRPr="00943562">
              <w:rPr>
                <w:sz w:val="18"/>
                <w:szCs w:val="18"/>
                <w:lang w:val="en-US"/>
              </w:rPr>
              <w:t>17</w:t>
            </w:r>
          </w:p>
        </w:tc>
        <w:tc>
          <w:tcPr>
            <w:tcW w:w="876" w:type="dxa"/>
            <w:tcBorders>
              <w:top w:val="nil"/>
              <w:left w:val="nil"/>
              <w:bottom w:val="nil"/>
              <w:right w:val="nil"/>
            </w:tcBorders>
            <w:shd w:val="clear" w:color="auto" w:fill="auto"/>
            <w:noWrap/>
            <w:vAlign w:val="center"/>
            <w:hideMark/>
          </w:tcPr>
          <w:p w14:paraId="30BB169F" w14:textId="77777777" w:rsidR="00943562" w:rsidRPr="00943562" w:rsidRDefault="00943562" w:rsidP="00E31B58">
            <w:pPr>
              <w:pStyle w:val="MText"/>
              <w:rPr>
                <w:b/>
                <w:bCs/>
                <w:sz w:val="18"/>
                <w:szCs w:val="18"/>
                <w:lang w:val="en-US"/>
              </w:rPr>
            </w:pPr>
            <w:r w:rsidRPr="00943562">
              <w:rPr>
                <w:b/>
                <w:bCs/>
                <w:sz w:val="18"/>
                <w:szCs w:val="18"/>
                <w:lang w:val="en-US"/>
              </w:rPr>
              <w:t>51.50%</w:t>
            </w:r>
          </w:p>
        </w:tc>
      </w:tr>
      <w:tr w:rsidR="00943562" w:rsidRPr="00943562" w14:paraId="6E8525C2" w14:textId="77777777" w:rsidTr="00943562">
        <w:trPr>
          <w:trHeight w:val="288"/>
        </w:trPr>
        <w:tc>
          <w:tcPr>
            <w:tcW w:w="3805" w:type="dxa"/>
            <w:tcBorders>
              <w:top w:val="nil"/>
              <w:left w:val="nil"/>
              <w:bottom w:val="nil"/>
              <w:right w:val="nil"/>
            </w:tcBorders>
            <w:shd w:val="clear" w:color="auto" w:fill="auto"/>
            <w:noWrap/>
            <w:vAlign w:val="center"/>
            <w:hideMark/>
          </w:tcPr>
          <w:p w14:paraId="3424B1AE" w14:textId="77777777" w:rsidR="00943562" w:rsidRPr="00943562" w:rsidRDefault="00943562" w:rsidP="00E31B58">
            <w:pPr>
              <w:pStyle w:val="MText"/>
              <w:rPr>
                <w:sz w:val="18"/>
                <w:szCs w:val="18"/>
                <w:lang w:val="en-US"/>
              </w:rPr>
            </w:pPr>
            <w:r w:rsidRPr="00943562">
              <w:rPr>
                <w:sz w:val="18"/>
                <w:szCs w:val="18"/>
                <w:lang w:val="en-US"/>
              </w:rPr>
              <w:t>Central Asia (M49) and Southern Asia (MDG=M49)</w:t>
            </w:r>
          </w:p>
        </w:tc>
        <w:tc>
          <w:tcPr>
            <w:tcW w:w="848" w:type="dxa"/>
            <w:tcBorders>
              <w:top w:val="nil"/>
              <w:left w:val="nil"/>
              <w:bottom w:val="nil"/>
              <w:right w:val="nil"/>
            </w:tcBorders>
            <w:shd w:val="clear" w:color="auto" w:fill="auto"/>
            <w:noWrap/>
            <w:vAlign w:val="center"/>
            <w:hideMark/>
          </w:tcPr>
          <w:p w14:paraId="7EC133D4" w14:textId="77777777" w:rsidR="00943562" w:rsidRPr="00943562" w:rsidRDefault="00943562" w:rsidP="00E31B58">
            <w:pPr>
              <w:pStyle w:val="MText"/>
              <w:rPr>
                <w:sz w:val="18"/>
                <w:szCs w:val="18"/>
                <w:lang w:val="en-US"/>
              </w:rPr>
            </w:pPr>
            <w:r w:rsidRPr="00943562">
              <w:rPr>
                <w:sz w:val="18"/>
                <w:szCs w:val="18"/>
                <w:lang w:val="en-US"/>
              </w:rPr>
              <w:t>14</w:t>
            </w:r>
          </w:p>
        </w:tc>
        <w:tc>
          <w:tcPr>
            <w:tcW w:w="703" w:type="dxa"/>
            <w:tcBorders>
              <w:top w:val="nil"/>
              <w:left w:val="nil"/>
              <w:bottom w:val="nil"/>
              <w:right w:val="nil"/>
            </w:tcBorders>
            <w:shd w:val="clear" w:color="auto" w:fill="auto"/>
            <w:noWrap/>
            <w:vAlign w:val="center"/>
            <w:hideMark/>
          </w:tcPr>
          <w:p w14:paraId="54EE4121" w14:textId="77777777" w:rsidR="00943562" w:rsidRPr="00943562" w:rsidRDefault="00943562" w:rsidP="00E31B58">
            <w:pPr>
              <w:pStyle w:val="MText"/>
              <w:rPr>
                <w:sz w:val="18"/>
                <w:szCs w:val="18"/>
                <w:lang w:val="en-US"/>
              </w:rPr>
            </w:pPr>
            <w:r w:rsidRPr="00943562">
              <w:rPr>
                <w:sz w:val="18"/>
                <w:szCs w:val="18"/>
                <w:lang w:val="en-US"/>
              </w:rPr>
              <w:t>0</w:t>
            </w:r>
          </w:p>
        </w:tc>
        <w:tc>
          <w:tcPr>
            <w:tcW w:w="876" w:type="dxa"/>
            <w:tcBorders>
              <w:top w:val="nil"/>
              <w:left w:val="nil"/>
              <w:bottom w:val="nil"/>
              <w:right w:val="nil"/>
            </w:tcBorders>
            <w:shd w:val="clear" w:color="auto" w:fill="auto"/>
            <w:noWrap/>
            <w:vAlign w:val="center"/>
            <w:hideMark/>
          </w:tcPr>
          <w:p w14:paraId="5345653B" w14:textId="77777777" w:rsidR="00943562" w:rsidRPr="00943562" w:rsidRDefault="00943562" w:rsidP="00E31B58">
            <w:pPr>
              <w:pStyle w:val="MText"/>
              <w:rPr>
                <w:sz w:val="18"/>
                <w:szCs w:val="18"/>
                <w:lang w:val="en-US"/>
              </w:rPr>
            </w:pPr>
            <w:r w:rsidRPr="00943562">
              <w:rPr>
                <w:sz w:val="18"/>
                <w:szCs w:val="18"/>
                <w:lang w:val="en-US"/>
              </w:rPr>
              <w:t>0.00%</w:t>
            </w:r>
          </w:p>
        </w:tc>
        <w:tc>
          <w:tcPr>
            <w:tcW w:w="703" w:type="dxa"/>
            <w:tcBorders>
              <w:top w:val="nil"/>
              <w:left w:val="nil"/>
              <w:bottom w:val="nil"/>
              <w:right w:val="nil"/>
            </w:tcBorders>
            <w:shd w:val="clear" w:color="auto" w:fill="auto"/>
            <w:noWrap/>
            <w:vAlign w:val="center"/>
            <w:hideMark/>
          </w:tcPr>
          <w:p w14:paraId="284964E6" w14:textId="77777777" w:rsidR="00943562" w:rsidRPr="00943562" w:rsidRDefault="00943562" w:rsidP="00E31B58">
            <w:pPr>
              <w:pStyle w:val="MText"/>
              <w:rPr>
                <w:sz w:val="18"/>
                <w:szCs w:val="18"/>
                <w:lang w:val="en-US"/>
              </w:rPr>
            </w:pPr>
            <w:r w:rsidRPr="00943562">
              <w:rPr>
                <w:sz w:val="18"/>
                <w:szCs w:val="18"/>
                <w:lang w:val="en-US"/>
              </w:rPr>
              <w:t>11</w:t>
            </w:r>
          </w:p>
        </w:tc>
        <w:tc>
          <w:tcPr>
            <w:tcW w:w="876" w:type="dxa"/>
            <w:tcBorders>
              <w:top w:val="nil"/>
              <w:left w:val="nil"/>
              <w:bottom w:val="nil"/>
              <w:right w:val="nil"/>
            </w:tcBorders>
            <w:shd w:val="clear" w:color="auto" w:fill="auto"/>
            <w:noWrap/>
            <w:vAlign w:val="center"/>
            <w:hideMark/>
          </w:tcPr>
          <w:p w14:paraId="22B08494" w14:textId="77777777" w:rsidR="00943562" w:rsidRPr="00943562" w:rsidRDefault="00943562" w:rsidP="00E31B58">
            <w:pPr>
              <w:pStyle w:val="MText"/>
              <w:rPr>
                <w:b/>
                <w:bCs/>
                <w:sz w:val="18"/>
                <w:szCs w:val="18"/>
                <w:lang w:val="en-US"/>
              </w:rPr>
            </w:pPr>
            <w:r w:rsidRPr="00943562">
              <w:rPr>
                <w:b/>
                <w:bCs/>
                <w:sz w:val="18"/>
                <w:szCs w:val="18"/>
                <w:lang w:val="en-US"/>
              </w:rPr>
              <w:t>78.60%</w:t>
            </w:r>
          </w:p>
        </w:tc>
        <w:tc>
          <w:tcPr>
            <w:tcW w:w="703" w:type="dxa"/>
            <w:tcBorders>
              <w:top w:val="nil"/>
              <w:left w:val="nil"/>
              <w:bottom w:val="nil"/>
              <w:right w:val="nil"/>
            </w:tcBorders>
            <w:shd w:val="clear" w:color="auto" w:fill="auto"/>
            <w:noWrap/>
            <w:vAlign w:val="center"/>
            <w:hideMark/>
          </w:tcPr>
          <w:p w14:paraId="68DADE01" w14:textId="77777777" w:rsidR="00943562" w:rsidRPr="00943562" w:rsidRDefault="00943562" w:rsidP="00E31B58">
            <w:pPr>
              <w:pStyle w:val="MText"/>
              <w:rPr>
                <w:sz w:val="18"/>
                <w:szCs w:val="18"/>
                <w:lang w:val="en-US"/>
              </w:rPr>
            </w:pPr>
            <w:r w:rsidRPr="00943562">
              <w:rPr>
                <w:sz w:val="18"/>
                <w:szCs w:val="18"/>
                <w:lang w:val="en-US"/>
              </w:rPr>
              <w:t>11</w:t>
            </w:r>
          </w:p>
        </w:tc>
        <w:tc>
          <w:tcPr>
            <w:tcW w:w="876" w:type="dxa"/>
            <w:tcBorders>
              <w:top w:val="nil"/>
              <w:left w:val="nil"/>
              <w:bottom w:val="nil"/>
              <w:right w:val="nil"/>
            </w:tcBorders>
            <w:shd w:val="clear" w:color="auto" w:fill="auto"/>
            <w:noWrap/>
            <w:vAlign w:val="center"/>
            <w:hideMark/>
          </w:tcPr>
          <w:p w14:paraId="2F83CE11" w14:textId="77777777" w:rsidR="00943562" w:rsidRPr="00943562" w:rsidRDefault="00943562" w:rsidP="00E31B58">
            <w:pPr>
              <w:pStyle w:val="MText"/>
              <w:rPr>
                <w:b/>
                <w:bCs/>
                <w:sz w:val="18"/>
                <w:szCs w:val="18"/>
                <w:lang w:val="en-US"/>
              </w:rPr>
            </w:pPr>
            <w:r w:rsidRPr="00943562">
              <w:rPr>
                <w:b/>
                <w:bCs/>
                <w:sz w:val="18"/>
                <w:szCs w:val="18"/>
                <w:lang w:val="en-US"/>
              </w:rPr>
              <w:t>78.60%</w:t>
            </w:r>
          </w:p>
        </w:tc>
      </w:tr>
      <w:tr w:rsidR="00943562" w:rsidRPr="00943562" w14:paraId="6D0A765A" w14:textId="77777777" w:rsidTr="00943562">
        <w:trPr>
          <w:trHeight w:val="288"/>
        </w:trPr>
        <w:tc>
          <w:tcPr>
            <w:tcW w:w="3805" w:type="dxa"/>
            <w:tcBorders>
              <w:top w:val="nil"/>
              <w:left w:val="nil"/>
              <w:bottom w:val="nil"/>
              <w:right w:val="nil"/>
            </w:tcBorders>
            <w:shd w:val="clear" w:color="auto" w:fill="auto"/>
            <w:noWrap/>
            <w:vAlign w:val="center"/>
            <w:hideMark/>
          </w:tcPr>
          <w:p w14:paraId="05067D8A" w14:textId="77777777" w:rsidR="00943562" w:rsidRPr="00943562" w:rsidRDefault="00943562" w:rsidP="00E31B58">
            <w:pPr>
              <w:pStyle w:val="MText"/>
              <w:rPr>
                <w:sz w:val="18"/>
                <w:szCs w:val="18"/>
                <w:lang w:val="en-US"/>
              </w:rPr>
            </w:pPr>
            <w:r w:rsidRPr="00943562">
              <w:rPr>
                <w:sz w:val="18"/>
                <w:szCs w:val="18"/>
                <w:lang w:val="en-US"/>
              </w:rPr>
              <w:t>Eastern Asia (M49) and South-eastern Asia (MDG=M49)</w:t>
            </w:r>
          </w:p>
        </w:tc>
        <w:tc>
          <w:tcPr>
            <w:tcW w:w="848" w:type="dxa"/>
            <w:tcBorders>
              <w:top w:val="nil"/>
              <w:left w:val="nil"/>
              <w:bottom w:val="nil"/>
              <w:right w:val="nil"/>
            </w:tcBorders>
            <w:shd w:val="clear" w:color="auto" w:fill="auto"/>
            <w:noWrap/>
            <w:vAlign w:val="center"/>
            <w:hideMark/>
          </w:tcPr>
          <w:p w14:paraId="650AC68F" w14:textId="77777777" w:rsidR="00943562" w:rsidRPr="00943562" w:rsidRDefault="00943562" w:rsidP="00E31B58">
            <w:pPr>
              <w:pStyle w:val="MText"/>
              <w:rPr>
                <w:sz w:val="18"/>
                <w:szCs w:val="18"/>
                <w:lang w:val="en-US"/>
              </w:rPr>
            </w:pPr>
            <w:r w:rsidRPr="00943562">
              <w:rPr>
                <w:sz w:val="18"/>
                <w:szCs w:val="18"/>
                <w:lang w:val="en-US"/>
              </w:rPr>
              <w:t>16</w:t>
            </w:r>
          </w:p>
        </w:tc>
        <w:tc>
          <w:tcPr>
            <w:tcW w:w="703" w:type="dxa"/>
            <w:tcBorders>
              <w:top w:val="nil"/>
              <w:left w:val="nil"/>
              <w:bottom w:val="nil"/>
              <w:right w:val="nil"/>
            </w:tcBorders>
            <w:shd w:val="clear" w:color="auto" w:fill="auto"/>
            <w:noWrap/>
            <w:vAlign w:val="center"/>
            <w:hideMark/>
          </w:tcPr>
          <w:p w14:paraId="69705B53" w14:textId="77777777" w:rsidR="00943562" w:rsidRPr="00943562" w:rsidRDefault="00943562" w:rsidP="00E31B58">
            <w:pPr>
              <w:pStyle w:val="MText"/>
              <w:rPr>
                <w:sz w:val="18"/>
                <w:szCs w:val="18"/>
                <w:lang w:val="en-US"/>
              </w:rPr>
            </w:pPr>
            <w:r w:rsidRPr="00943562">
              <w:rPr>
                <w:sz w:val="18"/>
                <w:szCs w:val="18"/>
                <w:lang w:val="en-US"/>
              </w:rPr>
              <w:t>2</w:t>
            </w:r>
          </w:p>
        </w:tc>
        <w:tc>
          <w:tcPr>
            <w:tcW w:w="876" w:type="dxa"/>
            <w:tcBorders>
              <w:top w:val="nil"/>
              <w:left w:val="nil"/>
              <w:bottom w:val="nil"/>
              <w:right w:val="nil"/>
            </w:tcBorders>
            <w:shd w:val="clear" w:color="auto" w:fill="auto"/>
            <w:noWrap/>
            <w:vAlign w:val="center"/>
            <w:hideMark/>
          </w:tcPr>
          <w:p w14:paraId="166C7744" w14:textId="77777777" w:rsidR="00943562" w:rsidRPr="00943562" w:rsidRDefault="00943562" w:rsidP="00E31B58">
            <w:pPr>
              <w:pStyle w:val="MText"/>
              <w:rPr>
                <w:sz w:val="18"/>
                <w:szCs w:val="18"/>
                <w:lang w:val="en-US"/>
              </w:rPr>
            </w:pPr>
            <w:r w:rsidRPr="00943562">
              <w:rPr>
                <w:sz w:val="18"/>
                <w:szCs w:val="18"/>
                <w:lang w:val="en-US"/>
              </w:rPr>
              <w:t>12.50%</w:t>
            </w:r>
          </w:p>
        </w:tc>
        <w:tc>
          <w:tcPr>
            <w:tcW w:w="703" w:type="dxa"/>
            <w:tcBorders>
              <w:top w:val="nil"/>
              <w:left w:val="nil"/>
              <w:bottom w:val="nil"/>
              <w:right w:val="nil"/>
            </w:tcBorders>
            <w:shd w:val="clear" w:color="auto" w:fill="auto"/>
            <w:noWrap/>
            <w:vAlign w:val="center"/>
            <w:hideMark/>
          </w:tcPr>
          <w:p w14:paraId="5A2825B2" w14:textId="77777777" w:rsidR="00943562" w:rsidRPr="00943562" w:rsidRDefault="00943562" w:rsidP="00E31B58">
            <w:pPr>
              <w:pStyle w:val="MText"/>
              <w:rPr>
                <w:sz w:val="18"/>
                <w:szCs w:val="18"/>
                <w:lang w:val="en-US"/>
              </w:rPr>
            </w:pPr>
            <w:r w:rsidRPr="00943562">
              <w:rPr>
                <w:sz w:val="18"/>
                <w:szCs w:val="18"/>
                <w:lang w:val="en-US"/>
              </w:rPr>
              <w:t>10</w:t>
            </w:r>
          </w:p>
        </w:tc>
        <w:tc>
          <w:tcPr>
            <w:tcW w:w="876" w:type="dxa"/>
            <w:tcBorders>
              <w:top w:val="nil"/>
              <w:left w:val="nil"/>
              <w:bottom w:val="nil"/>
              <w:right w:val="nil"/>
            </w:tcBorders>
            <w:shd w:val="clear" w:color="auto" w:fill="auto"/>
            <w:noWrap/>
            <w:vAlign w:val="center"/>
            <w:hideMark/>
          </w:tcPr>
          <w:p w14:paraId="513B0E21" w14:textId="77777777" w:rsidR="00943562" w:rsidRPr="00943562" w:rsidRDefault="00943562" w:rsidP="00E31B58">
            <w:pPr>
              <w:pStyle w:val="MText"/>
              <w:rPr>
                <w:b/>
                <w:bCs/>
                <w:sz w:val="18"/>
                <w:szCs w:val="18"/>
                <w:lang w:val="en-US"/>
              </w:rPr>
            </w:pPr>
            <w:r w:rsidRPr="00943562">
              <w:rPr>
                <w:b/>
                <w:bCs/>
                <w:sz w:val="18"/>
                <w:szCs w:val="18"/>
                <w:lang w:val="en-US"/>
              </w:rPr>
              <w:t>62.50%</w:t>
            </w:r>
          </w:p>
        </w:tc>
        <w:tc>
          <w:tcPr>
            <w:tcW w:w="703" w:type="dxa"/>
            <w:tcBorders>
              <w:top w:val="nil"/>
              <w:left w:val="nil"/>
              <w:bottom w:val="nil"/>
              <w:right w:val="nil"/>
            </w:tcBorders>
            <w:shd w:val="clear" w:color="auto" w:fill="auto"/>
            <w:noWrap/>
            <w:vAlign w:val="center"/>
            <w:hideMark/>
          </w:tcPr>
          <w:p w14:paraId="6199FA7A" w14:textId="77777777" w:rsidR="00943562" w:rsidRPr="00943562" w:rsidRDefault="00943562" w:rsidP="00E31B58">
            <w:pPr>
              <w:pStyle w:val="MText"/>
              <w:rPr>
                <w:sz w:val="18"/>
                <w:szCs w:val="18"/>
                <w:lang w:val="en-US"/>
              </w:rPr>
            </w:pPr>
            <w:r w:rsidRPr="00943562">
              <w:rPr>
                <w:sz w:val="18"/>
                <w:szCs w:val="18"/>
                <w:lang w:val="en-US"/>
              </w:rPr>
              <w:t>12</w:t>
            </w:r>
          </w:p>
        </w:tc>
        <w:tc>
          <w:tcPr>
            <w:tcW w:w="876" w:type="dxa"/>
            <w:tcBorders>
              <w:top w:val="nil"/>
              <w:left w:val="nil"/>
              <w:bottom w:val="nil"/>
              <w:right w:val="nil"/>
            </w:tcBorders>
            <w:shd w:val="clear" w:color="auto" w:fill="auto"/>
            <w:noWrap/>
            <w:vAlign w:val="center"/>
            <w:hideMark/>
          </w:tcPr>
          <w:p w14:paraId="6B2B0923" w14:textId="77777777" w:rsidR="00943562" w:rsidRPr="00943562" w:rsidRDefault="00943562" w:rsidP="00E31B58">
            <w:pPr>
              <w:pStyle w:val="MText"/>
              <w:rPr>
                <w:b/>
                <w:bCs/>
                <w:sz w:val="18"/>
                <w:szCs w:val="18"/>
                <w:lang w:val="en-US"/>
              </w:rPr>
            </w:pPr>
            <w:r w:rsidRPr="00943562">
              <w:rPr>
                <w:b/>
                <w:bCs/>
                <w:sz w:val="18"/>
                <w:szCs w:val="18"/>
                <w:lang w:val="en-US"/>
              </w:rPr>
              <w:t>75.00%</w:t>
            </w:r>
          </w:p>
        </w:tc>
      </w:tr>
      <w:tr w:rsidR="00943562" w:rsidRPr="00943562" w14:paraId="0995614D" w14:textId="77777777" w:rsidTr="00943562">
        <w:trPr>
          <w:trHeight w:val="288"/>
        </w:trPr>
        <w:tc>
          <w:tcPr>
            <w:tcW w:w="3805" w:type="dxa"/>
            <w:tcBorders>
              <w:top w:val="nil"/>
              <w:left w:val="nil"/>
              <w:bottom w:val="nil"/>
              <w:right w:val="nil"/>
            </w:tcBorders>
            <w:shd w:val="clear" w:color="auto" w:fill="auto"/>
            <w:noWrap/>
            <w:vAlign w:val="center"/>
            <w:hideMark/>
          </w:tcPr>
          <w:p w14:paraId="456B5773" w14:textId="77777777" w:rsidR="00943562" w:rsidRPr="00943562" w:rsidRDefault="00943562" w:rsidP="00E31B58">
            <w:pPr>
              <w:pStyle w:val="MText"/>
              <w:rPr>
                <w:sz w:val="18"/>
                <w:szCs w:val="18"/>
                <w:lang w:val="en-US"/>
              </w:rPr>
            </w:pPr>
            <w:r w:rsidRPr="00943562">
              <w:rPr>
                <w:sz w:val="18"/>
                <w:szCs w:val="18"/>
                <w:lang w:val="en-US"/>
              </w:rPr>
              <w:t>Western Asia (M49) and Northern Africa (M49)</w:t>
            </w:r>
          </w:p>
        </w:tc>
        <w:tc>
          <w:tcPr>
            <w:tcW w:w="848" w:type="dxa"/>
            <w:tcBorders>
              <w:top w:val="nil"/>
              <w:left w:val="nil"/>
              <w:bottom w:val="nil"/>
              <w:right w:val="nil"/>
            </w:tcBorders>
            <w:shd w:val="clear" w:color="auto" w:fill="auto"/>
            <w:noWrap/>
            <w:vAlign w:val="center"/>
            <w:hideMark/>
          </w:tcPr>
          <w:p w14:paraId="4206C140" w14:textId="77777777" w:rsidR="00943562" w:rsidRPr="00943562" w:rsidRDefault="00943562" w:rsidP="00E31B58">
            <w:pPr>
              <w:pStyle w:val="MText"/>
              <w:rPr>
                <w:sz w:val="18"/>
                <w:szCs w:val="18"/>
                <w:lang w:val="en-US"/>
              </w:rPr>
            </w:pPr>
            <w:r w:rsidRPr="00943562">
              <w:rPr>
                <w:sz w:val="18"/>
                <w:szCs w:val="18"/>
                <w:lang w:val="en-US"/>
              </w:rPr>
              <w:t>23</w:t>
            </w:r>
          </w:p>
        </w:tc>
        <w:tc>
          <w:tcPr>
            <w:tcW w:w="703" w:type="dxa"/>
            <w:tcBorders>
              <w:top w:val="nil"/>
              <w:left w:val="nil"/>
              <w:bottom w:val="nil"/>
              <w:right w:val="nil"/>
            </w:tcBorders>
            <w:shd w:val="clear" w:color="auto" w:fill="auto"/>
            <w:noWrap/>
            <w:vAlign w:val="center"/>
            <w:hideMark/>
          </w:tcPr>
          <w:p w14:paraId="1830925D" w14:textId="77777777" w:rsidR="00943562" w:rsidRPr="00943562" w:rsidRDefault="00943562" w:rsidP="00E31B58">
            <w:pPr>
              <w:pStyle w:val="MText"/>
              <w:rPr>
                <w:sz w:val="18"/>
                <w:szCs w:val="18"/>
                <w:lang w:val="en-US"/>
              </w:rPr>
            </w:pPr>
            <w:r w:rsidRPr="00943562">
              <w:rPr>
                <w:sz w:val="18"/>
                <w:szCs w:val="18"/>
                <w:lang w:val="en-US"/>
              </w:rPr>
              <w:t>4</w:t>
            </w:r>
          </w:p>
        </w:tc>
        <w:tc>
          <w:tcPr>
            <w:tcW w:w="876" w:type="dxa"/>
            <w:tcBorders>
              <w:top w:val="nil"/>
              <w:left w:val="nil"/>
              <w:bottom w:val="nil"/>
              <w:right w:val="nil"/>
            </w:tcBorders>
            <w:shd w:val="clear" w:color="auto" w:fill="auto"/>
            <w:noWrap/>
            <w:vAlign w:val="center"/>
            <w:hideMark/>
          </w:tcPr>
          <w:p w14:paraId="1A6BB2A9" w14:textId="77777777" w:rsidR="00943562" w:rsidRPr="00943562" w:rsidRDefault="00943562" w:rsidP="00E31B58">
            <w:pPr>
              <w:pStyle w:val="MText"/>
              <w:rPr>
                <w:sz w:val="18"/>
                <w:szCs w:val="18"/>
                <w:lang w:val="en-US"/>
              </w:rPr>
            </w:pPr>
            <w:r w:rsidRPr="00943562">
              <w:rPr>
                <w:sz w:val="18"/>
                <w:szCs w:val="18"/>
                <w:lang w:val="en-US"/>
              </w:rPr>
              <w:t>17.40%</w:t>
            </w:r>
          </w:p>
        </w:tc>
        <w:tc>
          <w:tcPr>
            <w:tcW w:w="703" w:type="dxa"/>
            <w:tcBorders>
              <w:top w:val="nil"/>
              <w:left w:val="nil"/>
              <w:bottom w:val="nil"/>
              <w:right w:val="nil"/>
            </w:tcBorders>
            <w:shd w:val="clear" w:color="auto" w:fill="auto"/>
            <w:noWrap/>
            <w:vAlign w:val="center"/>
            <w:hideMark/>
          </w:tcPr>
          <w:p w14:paraId="30B1ABB4" w14:textId="77777777" w:rsidR="00943562" w:rsidRPr="00943562" w:rsidRDefault="00943562" w:rsidP="00E31B58">
            <w:pPr>
              <w:pStyle w:val="MText"/>
              <w:rPr>
                <w:sz w:val="18"/>
                <w:szCs w:val="18"/>
                <w:lang w:val="en-US"/>
              </w:rPr>
            </w:pPr>
            <w:r w:rsidRPr="00943562">
              <w:rPr>
                <w:sz w:val="18"/>
                <w:szCs w:val="18"/>
                <w:lang w:val="en-US"/>
              </w:rPr>
              <w:t>9</w:t>
            </w:r>
          </w:p>
        </w:tc>
        <w:tc>
          <w:tcPr>
            <w:tcW w:w="876" w:type="dxa"/>
            <w:tcBorders>
              <w:top w:val="nil"/>
              <w:left w:val="nil"/>
              <w:bottom w:val="nil"/>
              <w:right w:val="nil"/>
            </w:tcBorders>
            <w:shd w:val="clear" w:color="auto" w:fill="auto"/>
            <w:noWrap/>
            <w:vAlign w:val="center"/>
            <w:hideMark/>
          </w:tcPr>
          <w:p w14:paraId="2B14D59C" w14:textId="77777777" w:rsidR="00943562" w:rsidRPr="00943562" w:rsidRDefault="00943562" w:rsidP="00E31B58">
            <w:pPr>
              <w:pStyle w:val="MText"/>
              <w:rPr>
                <w:sz w:val="18"/>
                <w:szCs w:val="18"/>
                <w:lang w:val="en-US"/>
              </w:rPr>
            </w:pPr>
            <w:r w:rsidRPr="00943562">
              <w:rPr>
                <w:sz w:val="18"/>
                <w:szCs w:val="18"/>
                <w:lang w:val="en-US"/>
              </w:rPr>
              <w:t>39.10%</w:t>
            </w:r>
          </w:p>
        </w:tc>
        <w:tc>
          <w:tcPr>
            <w:tcW w:w="703" w:type="dxa"/>
            <w:tcBorders>
              <w:top w:val="nil"/>
              <w:left w:val="nil"/>
              <w:bottom w:val="nil"/>
              <w:right w:val="nil"/>
            </w:tcBorders>
            <w:shd w:val="clear" w:color="auto" w:fill="auto"/>
            <w:noWrap/>
            <w:vAlign w:val="center"/>
            <w:hideMark/>
          </w:tcPr>
          <w:p w14:paraId="59538482" w14:textId="77777777" w:rsidR="00943562" w:rsidRPr="00943562" w:rsidRDefault="00943562" w:rsidP="00E31B58">
            <w:pPr>
              <w:pStyle w:val="MText"/>
              <w:rPr>
                <w:sz w:val="18"/>
                <w:szCs w:val="18"/>
                <w:lang w:val="en-US"/>
              </w:rPr>
            </w:pPr>
            <w:r w:rsidRPr="00943562">
              <w:rPr>
                <w:sz w:val="18"/>
                <w:szCs w:val="18"/>
                <w:lang w:val="en-US"/>
              </w:rPr>
              <w:t>13</w:t>
            </w:r>
          </w:p>
        </w:tc>
        <w:tc>
          <w:tcPr>
            <w:tcW w:w="876" w:type="dxa"/>
            <w:tcBorders>
              <w:top w:val="nil"/>
              <w:left w:val="nil"/>
              <w:bottom w:val="nil"/>
              <w:right w:val="nil"/>
            </w:tcBorders>
            <w:shd w:val="clear" w:color="auto" w:fill="auto"/>
            <w:noWrap/>
            <w:vAlign w:val="center"/>
            <w:hideMark/>
          </w:tcPr>
          <w:p w14:paraId="740F49F6" w14:textId="77777777" w:rsidR="00943562" w:rsidRPr="00943562" w:rsidRDefault="00943562" w:rsidP="00E31B58">
            <w:pPr>
              <w:pStyle w:val="MText"/>
              <w:rPr>
                <w:b/>
                <w:bCs/>
                <w:sz w:val="18"/>
                <w:szCs w:val="18"/>
                <w:lang w:val="en-US"/>
              </w:rPr>
            </w:pPr>
            <w:r w:rsidRPr="00943562">
              <w:rPr>
                <w:b/>
                <w:bCs/>
                <w:sz w:val="18"/>
                <w:szCs w:val="18"/>
                <w:lang w:val="en-US"/>
              </w:rPr>
              <w:t>56.50%</w:t>
            </w:r>
          </w:p>
        </w:tc>
      </w:tr>
      <w:tr w:rsidR="00943562" w:rsidRPr="00943562" w14:paraId="58C391E2" w14:textId="77777777" w:rsidTr="00943562">
        <w:trPr>
          <w:trHeight w:val="288"/>
        </w:trPr>
        <w:tc>
          <w:tcPr>
            <w:tcW w:w="3805" w:type="dxa"/>
            <w:tcBorders>
              <w:top w:val="nil"/>
              <w:left w:val="nil"/>
              <w:bottom w:val="nil"/>
              <w:right w:val="nil"/>
            </w:tcBorders>
            <w:shd w:val="clear" w:color="auto" w:fill="auto"/>
            <w:noWrap/>
            <w:vAlign w:val="center"/>
            <w:hideMark/>
          </w:tcPr>
          <w:p w14:paraId="42C26EE9" w14:textId="77777777" w:rsidR="00943562" w:rsidRPr="00943562" w:rsidRDefault="00943562" w:rsidP="00E31B58">
            <w:pPr>
              <w:pStyle w:val="MText"/>
              <w:rPr>
                <w:sz w:val="18"/>
                <w:szCs w:val="18"/>
                <w:lang w:val="en-US"/>
              </w:rPr>
            </w:pPr>
            <w:r w:rsidRPr="00943562">
              <w:rPr>
                <w:sz w:val="18"/>
                <w:szCs w:val="18"/>
                <w:lang w:val="en-US"/>
              </w:rPr>
              <w:t>Sub-Saharan Africa (M49)</w:t>
            </w:r>
          </w:p>
        </w:tc>
        <w:tc>
          <w:tcPr>
            <w:tcW w:w="848" w:type="dxa"/>
            <w:tcBorders>
              <w:top w:val="nil"/>
              <w:left w:val="nil"/>
              <w:bottom w:val="nil"/>
              <w:right w:val="nil"/>
            </w:tcBorders>
            <w:shd w:val="clear" w:color="auto" w:fill="auto"/>
            <w:noWrap/>
            <w:vAlign w:val="center"/>
            <w:hideMark/>
          </w:tcPr>
          <w:p w14:paraId="3825B35E" w14:textId="77777777" w:rsidR="00943562" w:rsidRPr="00943562" w:rsidRDefault="00943562" w:rsidP="00E31B58">
            <w:pPr>
              <w:pStyle w:val="MText"/>
              <w:rPr>
                <w:sz w:val="18"/>
                <w:szCs w:val="18"/>
                <w:lang w:val="en-US"/>
              </w:rPr>
            </w:pPr>
            <w:r w:rsidRPr="00943562">
              <w:rPr>
                <w:sz w:val="18"/>
                <w:szCs w:val="18"/>
                <w:lang w:val="en-US"/>
              </w:rPr>
              <w:t>48</w:t>
            </w:r>
          </w:p>
        </w:tc>
        <w:tc>
          <w:tcPr>
            <w:tcW w:w="703" w:type="dxa"/>
            <w:tcBorders>
              <w:top w:val="nil"/>
              <w:left w:val="nil"/>
              <w:bottom w:val="nil"/>
              <w:right w:val="nil"/>
            </w:tcBorders>
            <w:shd w:val="clear" w:color="auto" w:fill="auto"/>
            <w:noWrap/>
            <w:vAlign w:val="center"/>
            <w:hideMark/>
          </w:tcPr>
          <w:p w14:paraId="195EE502" w14:textId="77777777" w:rsidR="00943562" w:rsidRPr="00943562" w:rsidRDefault="00943562" w:rsidP="00E31B58">
            <w:pPr>
              <w:pStyle w:val="MText"/>
              <w:rPr>
                <w:sz w:val="18"/>
                <w:szCs w:val="18"/>
                <w:lang w:val="en-US"/>
              </w:rPr>
            </w:pPr>
            <w:r w:rsidRPr="00943562">
              <w:rPr>
                <w:sz w:val="18"/>
                <w:szCs w:val="18"/>
                <w:lang w:val="en-US"/>
              </w:rPr>
              <w:t>16</w:t>
            </w:r>
          </w:p>
        </w:tc>
        <w:tc>
          <w:tcPr>
            <w:tcW w:w="876" w:type="dxa"/>
            <w:tcBorders>
              <w:top w:val="nil"/>
              <w:left w:val="nil"/>
              <w:bottom w:val="nil"/>
              <w:right w:val="nil"/>
            </w:tcBorders>
            <w:shd w:val="clear" w:color="auto" w:fill="auto"/>
            <w:noWrap/>
            <w:vAlign w:val="center"/>
            <w:hideMark/>
          </w:tcPr>
          <w:p w14:paraId="6884389E" w14:textId="77777777" w:rsidR="00943562" w:rsidRPr="00943562" w:rsidRDefault="00943562" w:rsidP="00E31B58">
            <w:pPr>
              <w:pStyle w:val="MText"/>
              <w:rPr>
                <w:sz w:val="18"/>
                <w:szCs w:val="18"/>
                <w:lang w:val="en-US"/>
              </w:rPr>
            </w:pPr>
            <w:r w:rsidRPr="00943562">
              <w:rPr>
                <w:sz w:val="18"/>
                <w:szCs w:val="18"/>
                <w:lang w:val="en-US"/>
              </w:rPr>
              <w:t>33.30%</w:t>
            </w:r>
          </w:p>
        </w:tc>
        <w:tc>
          <w:tcPr>
            <w:tcW w:w="703" w:type="dxa"/>
            <w:tcBorders>
              <w:top w:val="nil"/>
              <w:left w:val="nil"/>
              <w:bottom w:val="nil"/>
              <w:right w:val="nil"/>
            </w:tcBorders>
            <w:shd w:val="clear" w:color="auto" w:fill="auto"/>
            <w:noWrap/>
            <w:vAlign w:val="center"/>
            <w:hideMark/>
          </w:tcPr>
          <w:p w14:paraId="337CFCC3" w14:textId="77777777" w:rsidR="00943562" w:rsidRPr="00943562" w:rsidRDefault="00943562" w:rsidP="00E31B58">
            <w:pPr>
              <w:pStyle w:val="MText"/>
              <w:rPr>
                <w:sz w:val="18"/>
                <w:szCs w:val="18"/>
                <w:lang w:val="en-US"/>
              </w:rPr>
            </w:pPr>
            <w:r w:rsidRPr="00943562">
              <w:rPr>
                <w:sz w:val="18"/>
                <w:szCs w:val="18"/>
                <w:lang w:val="en-US"/>
              </w:rPr>
              <w:t>21</w:t>
            </w:r>
          </w:p>
        </w:tc>
        <w:tc>
          <w:tcPr>
            <w:tcW w:w="876" w:type="dxa"/>
            <w:tcBorders>
              <w:top w:val="nil"/>
              <w:left w:val="nil"/>
              <w:bottom w:val="nil"/>
              <w:right w:val="nil"/>
            </w:tcBorders>
            <w:shd w:val="clear" w:color="auto" w:fill="auto"/>
            <w:noWrap/>
            <w:vAlign w:val="center"/>
            <w:hideMark/>
          </w:tcPr>
          <w:p w14:paraId="5CF985E0" w14:textId="77777777" w:rsidR="00943562" w:rsidRPr="00943562" w:rsidRDefault="00943562" w:rsidP="00E31B58">
            <w:pPr>
              <w:pStyle w:val="MText"/>
              <w:rPr>
                <w:sz w:val="18"/>
                <w:szCs w:val="18"/>
                <w:lang w:val="en-US"/>
              </w:rPr>
            </w:pPr>
            <w:r w:rsidRPr="00943562">
              <w:rPr>
                <w:sz w:val="18"/>
                <w:szCs w:val="18"/>
                <w:lang w:val="en-US"/>
              </w:rPr>
              <w:t>43.80%</w:t>
            </w:r>
          </w:p>
        </w:tc>
        <w:tc>
          <w:tcPr>
            <w:tcW w:w="703" w:type="dxa"/>
            <w:tcBorders>
              <w:top w:val="nil"/>
              <w:left w:val="nil"/>
              <w:bottom w:val="nil"/>
              <w:right w:val="nil"/>
            </w:tcBorders>
            <w:shd w:val="clear" w:color="auto" w:fill="auto"/>
            <w:noWrap/>
            <w:vAlign w:val="center"/>
            <w:hideMark/>
          </w:tcPr>
          <w:p w14:paraId="6B91D5B0" w14:textId="77777777" w:rsidR="00943562" w:rsidRPr="00943562" w:rsidRDefault="00943562" w:rsidP="00E31B58">
            <w:pPr>
              <w:pStyle w:val="MText"/>
              <w:rPr>
                <w:sz w:val="18"/>
                <w:szCs w:val="18"/>
                <w:lang w:val="en-US"/>
              </w:rPr>
            </w:pPr>
            <w:r w:rsidRPr="00943562">
              <w:rPr>
                <w:sz w:val="18"/>
                <w:szCs w:val="18"/>
                <w:lang w:val="en-US"/>
              </w:rPr>
              <w:t>37</w:t>
            </w:r>
          </w:p>
        </w:tc>
        <w:tc>
          <w:tcPr>
            <w:tcW w:w="876" w:type="dxa"/>
            <w:tcBorders>
              <w:top w:val="nil"/>
              <w:left w:val="nil"/>
              <w:bottom w:val="nil"/>
              <w:right w:val="nil"/>
            </w:tcBorders>
            <w:shd w:val="clear" w:color="auto" w:fill="auto"/>
            <w:noWrap/>
            <w:vAlign w:val="center"/>
            <w:hideMark/>
          </w:tcPr>
          <w:p w14:paraId="54BFAFAE" w14:textId="77777777" w:rsidR="00943562" w:rsidRPr="00943562" w:rsidRDefault="00943562" w:rsidP="00E31B58">
            <w:pPr>
              <w:pStyle w:val="MText"/>
              <w:rPr>
                <w:b/>
                <w:bCs/>
                <w:sz w:val="18"/>
                <w:szCs w:val="18"/>
                <w:lang w:val="en-US"/>
              </w:rPr>
            </w:pPr>
            <w:r w:rsidRPr="00943562">
              <w:rPr>
                <w:b/>
                <w:bCs/>
                <w:sz w:val="18"/>
                <w:szCs w:val="18"/>
                <w:lang w:val="en-US"/>
              </w:rPr>
              <w:t>77.10%</w:t>
            </w:r>
          </w:p>
        </w:tc>
      </w:tr>
      <w:tr w:rsidR="00943562" w:rsidRPr="00943562" w14:paraId="5F42AC2B" w14:textId="77777777" w:rsidTr="00943562">
        <w:trPr>
          <w:trHeight w:val="288"/>
        </w:trPr>
        <w:tc>
          <w:tcPr>
            <w:tcW w:w="3805" w:type="dxa"/>
            <w:tcBorders>
              <w:top w:val="nil"/>
              <w:left w:val="nil"/>
              <w:bottom w:val="nil"/>
              <w:right w:val="nil"/>
            </w:tcBorders>
            <w:shd w:val="clear" w:color="auto" w:fill="auto"/>
            <w:noWrap/>
            <w:vAlign w:val="center"/>
            <w:hideMark/>
          </w:tcPr>
          <w:p w14:paraId="61C0659D" w14:textId="77777777" w:rsidR="00943562" w:rsidRPr="00943562" w:rsidRDefault="00943562" w:rsidP="00E31B58">
            <w:pPr>
              <w:pStyle w:val="MText"/>
              <w:rPr>
                <w:sz w:val="18"/>
                <w:szCs w:val="18"/>
                <w:lang w:val="en-US"/>
              </w:rPr>
            </w:pPr>
            <w:r w:rsidRPr="00943562">
              <w:rPr>
                <w:sz w:val="18"/>
                <w:szCs w:val="18"/>
                <w:lang w:val="en-US"/>
              </w:rPr>
              <w:t>Australia and New Zealand (M49)</w:t>
            </w:r>
          </w:p>
        </w:tc>
        <w:tc>
          <w:tcPr>
            <w:tcW w:w="848" w:type="dxa"/>
            <w:tcBorders>
              <w:top w:val="nil"/>
              <w:left w:val="nil"/>
              <w:bottom w:val="nil"/>
              <w:right w:val="nil"/>
            </w:tcBorders>
            <w:shd w:val="clear" w:color="auto" w:fill="auto"/>
            <w:noWrap/>
            <w:vAlign w:val="center"/>
            <w:hideMark/>
          </w:tcPr>
          <w:p w14:paraId="2D07220F" w14:textId="77777777" w:rsidR="00943562" w:rsidRPr="00943562" w:rsidRDefault="00943562" w:rsidP="00E31B58">
            <w:pPr>
              <w:pStyle w:val="MText"/>
              <w:rPr>
                <w:sz w:val="18"/>
                <w:szCs w:val="18"/>
                <w:lang w:val="en-US"/>
              </w:rPr>
            </w:pPr>
            <w:r w:rsidRPr="00943562">
              <w:rPr>
                <w:sz w:val="18"/>
                <w:szCs w:val="18"/>
                <w:lang w:val="en-US"/>
              </w:rPr>
              <w:t>2</w:t>
            </w:r>
          </w:p>
        </w:tc>
        <w:tc>
          <w:tcPr>
            <w:tcW w:w="703" w:type="dxa"/>
            <w:tcBorders>
              <w:top w:val="nil"/>
              <w:left w:val="nil"/>
              <w:bottom w:val="nil"/>
              <w:right w:val="nil"/>
            </w:tcBorders>
            <w:shd w:val="clear" w:color="auto" w:fill="auto"/>
            <w:noWrap/>
            <w:vAlign w:val="center"/>
            <w:hideMark/>
          </w:tcPr>
          <w:p w14:paraId="05B2741E" w14:textId="77777777" w:rsidR="00943562" w:rsidRPr="00943562" w:rsidRDefault="00943562" w:rsidP="00E31B58">
            <w:pPr>
              <w:pStyle w:val="MText"/>
              <w:rPr>
                <w:sz w:val="18"/>
                <w:szCs w:val="18"/>
                <w:lang w:val="en-US"/>
              </w:rPr>
            </w:pPr>
            <w:r w:rsidRPr="00943562">
              <w:rPr>
                <w:sz w:val="18"/>
                <w:szCs w:val="18"/>
                <w:lang w:val="en-US"/>
              </w:rPr>
              <w:t>0</w:t>
            </w:r>
          </w:p>
        </w:tc>
        <w:tc>
          <w:tcPr>
            <w:tcW w:w="876" w:type="dxa"/>
            <w:tcBorders>
              <w:top w:val="nil"/>
              <w:left w:val="nil"/>
              <w:bottom w:val="nil"/>
              <w:right w:val="nil"/>
            </w:tcBorders>
            <w:shd w:val="clear" w:color="auto" w:fill="auto"/>
            <w:noWrap/>
            <w:vAlign w:val="center"/>
            <w:hideMark/>
          </w:tcPr>
          <w:p w14:paraId="2A1D4E22" w14:textId="77777777" w:rsidR="00943562" w:rsidRPr="00943562" w:rsidRDefault="00943562" w:rsidP="00E31B58">
            <w:pPr>
              <w:pStyle w:val="MText"/>
              <w:rPr>
                <w:sz w:val="18"/>
                <w:szCs w:val="18"/>
                <w:lang w:val="en-US"/>
              </w:rPr>
            </w:pPr>
            <w:r w:rsidRPr="00943562">
              <w:rPr>
                <w:sz w:val="18"/>
                <w:szCs w:val="18"/>
                <w:lang w:val="en-US"/>
              </w:rPr>
              <w:t>0.00%</w:t>
            </w:r>
          </w:p>
        </w:tc>
        <w:tc>
          <w:tcPr>
            <w:tcW w:w="703" w:type="dxa"/>
            <w:tcBorders>
              <w:top w:val="nil"/>
              <w:left w:val="nil"/>
              <w:bottom w:val="nil"/>
              <w:right w:val="nil"/>
            </w:tcBorders>
            <w:shd w:val="clear" w:color="auto" w:fill="auto"/>
            <w:noWrap/>
            <w:vAlign w:val="center"/>
            <w:hideMark/>
          </w:tcPr>
          <w:p w14:paraId="414B40C6" w14:textId="77777777" w:rsidR="00943562" w:rsidRPr="00943562" w:rsidRDefault="00943562" w:rsidP="00E31B58">
            <w:pPr>
              <w:pStyle w:val="MText"/>
              <w:rPr>
                <w:sz w:val="18"/>
                <w:szCs w:val="18"/>
                <w:lang w:val="en-US"/>
              </w:rPr>
            </w:pPr>
            <w:r w:rsidRPr="00943562">
              <w:rPr>
                <w:sz w:val="18"/>
                <w:szCs w:val="18"/>
                <w:lang w:val="en-US"/>
              </w:rPr>
              <w:t>1</w:t>
            </w:r>
          </w:p>
        </w:tc>
        <w:tc>
          <w:tcPr>
            <w:tcW w:w="876" w:type="dxa"/>
            <w:tcBorders>
              <w:top w:val="nil"/>
              <w:left w:val="nil"/>
              <w:bottom w:val="nil"/>
              <w:right w:val="nil"/>
            </w:tcBorders>
            <w:shd w:val="clear" w:color="auto" w:fill="auto"/>
            <w:noWrap/>
            <w:vAlign w:val="center"/>
            <w:hideMark/>
          </w:tcPr>
          <w:p w14:paraId="7F00BE46" w14:textId="77777777" w:rsidR="00943562" w:rsidRPr="00943562" w:rsidRDefault="00943562" w:rsidP="00E31B58">
            <w:pPr>
              <w:pStyle w:val="MText"/>
              <w:rPr>
                <w:b/>
                <w:bCs/>
                <w:sz w:val="18"/>
                <w:szCs w:val="18"/>
                <w:lang w:val="en-US"/>
              </w:rPr>
            </w:pPr>
            <w:r w:rsidRPr="00943562">
              <w:rPr>
                <w:b/>
                <w:bCs/>
                <w:sz w:val="18"/>
                <w:szCs w:val="18"/>
                <w:lang w:val="en-US"/>
              </w:rPr>
              <w:t>50.00%</w:t>
            </w:r>
          </w:p>
        </w:tc>
        <w:tc>
          <w:tcPr>
            <w:tcW w:w="703" w:type="dxa"/>
            <w:tcBorders>
              <w:top w:val="nil"/>
              <w:left w:val="nil"/>
              <w:bottom w:val="nil"/>
              <w:right w:val="nil"/>
            </w:tcBorders>
            <w:shd w:val="clear" w:color="auto" w:fill="auto"/>
            <w:noWrap/>
            <w:vAlign w:val="center"/>
            <w:hideMark/>
          </w:tcPr>
          <w:p w14:paraId="5A90752B" w14:textId="77777777" w:rsidR="00943562" w:rsidRPr="00943562" w:rsidRDefault="00943562" w:rsidP="00E31B58">
            <w:pPr>
              <w:pStyle w:val="MText"/>
              <w:rPr>
                <w:sz w:val="18"/>
                <w:szCs w:val="18"/>
                <w:lang w:val="en-US"/>
              </w:rPr>
            </w:pPr>
            <w:r w:rsidRPr="00943562">
              <w:rPr>
                <w:sz w:val="18"/>
                <w:szCs w:val="18"/>
                <w:lang w:val="en-US"/>
              </w:rPr>
              <w:t>1</w:t>
            </w:r>
          </w:p>
        </w:tc>
        <w:tc>
          <w:tcPr>
            <w:tcW w:w="876" w:type="dxa"/>
            <w:tcBorders>
              <w:top w:val="nil"/>
              <w:left w:val="nil"/>
              <w:bottom w:val="nil"/>
              <w:right w:val="nil"/>
            </w:tcBorders>
            <w:shd w:val="clear" w:color="auto" w:fill="auto"/>
            <w:noWrap/>
            <w:vAlign w:val="center"/>
            <w:hideMark/>
          </w:tcPr>
          <w:p w14:paraId="72EBE87B" w14:textId="77777777" w:rsidR="00943562" w:rsidRPr="00943562" w:rsidRDefault="00943562" w:rsidP="00E31B58">
            <w:pPr>
              <w:pStyle w:val="MText"/>
              <w:rPr>
                <w:b/>
                <w:bCs/>
                <w:sz w:val="18"/>
                <w:szCs w:val="18"/>
                <w:lang w:val="en-US"/>
              </w:rPr>
            </w:pPr>
            <w:r w:rsidRPr="00943562">
              <w:rPr>
                <w:b/>
                <w:bCs/>
                <w:sz w:val="18"/>
                <w:szCs w:val="18"/>
                <w:lang w:val="en-US"/>
              </w:rPr>
              <w:t>50.00%</w:t>
            </w:r>
          </w:p>
        </w:tc>
      </w:tr>
      <w:tr w:rsidR="00943562" w:rsidRPr="00943562" w14:paraId="57823188" w14:textId="77777777" w:rsidTr="00943562">
        <w:trPr>
          <w:trHeight w:val="300"/>
        </w:trPr>
        <w:tc>
          <w:tcPr>
            <w:tcW w:w="3805" w:type="dxa"/>
            <w:tcBorders>
              <w:top w:val="nil"/>
              <w:left w:val="nil"/>
              <w:bottom w:val="single" w:sz="8" w:space="0" w:color="auto"/>
              <w:right w:val="nil"/>
            </w:tcBorders>
            <w:shd w:val="clear" w:color="auto" w:fill="auto"/>
            <w:noWrap/>
            <w:vAlign w:val="center"/>
            <w:hideMark/>
          </w:tcPr>
          <w:p w14:paraId="1BD3E6A2" w14:textId="77777777" w:rsidR="00943562" w:rsidRPr="00943562" w:rsidRDefault="00943562" w:rsidP="00E31B58">
            <w:pPr>
              <w:pStyle w:val="MText"/>
              <w:rPr>
                <w:sz w:val="18"/>
                <w:szCs w:val="18"/>
                <w:lang w:val="en-US"/>
              </w:rPr>
            </w:pPr>
            <w:r w:rsidRPr="00943562">
              <w:rPr>
                <w:sz w:val="18"/>
                <w:szCs w:val="18"/>
                <w:lang w:val="en-US"/>
              </w:rPr>
              <w:t>Oceania (M49) excluding Australia and New Zealand (M49)</w:t>
            </w:r>
          </w:p>
        </w:tc>
        <w:tc>
          <w:tcPr>
            <w:tcW w:w="848" w:type="dxa"/>
            <w:tcBorders>
              <w:top w:val="nil"/>
              <w:left w:val="nil"/>
              <w:bottom w:val="single" w:sz="8" w:space="0" w:color="auto"/>
              <w:right w:val="nil"/>
            </w:tcBorders>
            <w:shd w:val="clear" w:color="auto" w:fill="auto"/>
            <w:noWrap/>
            <w:vAlign w:val="center"/>
            <w:hideMark/>
          </w:tcPr>
          <w:p w14:paraId="2B4395BE" w14:textId="77777777" w:rsidR="00943562" w:rsidRPr="00943562" w:rsidRDefault="00943562" w:rsidP="00E31B58">
            <w:pPr>
              <w:pStyle w:val="MText"/>
              <w:rPr>
                <w:sz w:val="18"/>
                <w:szCs w:val="18"/>
                <w:lang w:val="en-US"/>
              </w:rPr>
            </w:pPr>
            <w:r w:rsidRPr="00943562">
              <w:rPr>
                <w:sz w:val="18"/>
                <w:szCs w:val="18"/>
                <w:lang w:val="en-US"/>
              </w:rPr>
              <w:t>14</w:t>
            </w:r>
          </w:p>
        </w:tc>
        <w:tc>
          <w:tcPr>
            <w:tcW w:w="703" w:type="dxa"/>
            <w:tcBorders>
              <w:top w:val="nil"/>
              <w:left w:val="nil"/>
              <w:bottom w:val="single" w:sz="8" w:space="0" w:color="auto"/>
              <w:right w:val="nil"/>
            </w:tcBorders>
            <w:shd w:val="clear" w:color="auto" w:fill="auto"/>
            <w:noWrap/>
            <w:vAlign w:val="center"/>
            <w:hideMark/>
          </w:tcPr>
          <w:p w14:paraId="5AD45909" w14:textId="77777777" w:rsidR="00943562" w:rsidRPr="00943562" w:rsidRDefault="00943562" w:rsidP="00E31B58">
            <w:pPr>
              <w:pStyle w:val="MText"/>
              <w:rPr>
                <w:sz w:val="18"/>
                <w:szCs w:val="18"/>
                <w:lang w:val="en-US"/>
              </w:rPr>
            </w:pPr>
            <w:r w:rsidRPr="00943562">
              <w:rPr>
                <w:sz w:val="18"/>
                <w:szCs w:val="18"/>
                <w:lang w:val="en-US"/>
              </w:rPr>
              <w:t>1</w:t>
            </w:r>
          </w:p>
        </w:tc>
        <w:tc>
          <w:tcPr>
            <w:tcW w:w="876" w:type="dxa"/>
            <w:tcBorders>
              <w:top w:val="nil"/>
              <w:left w:val="nil"/>
              <w:bottom w:val="single" w:sz="8" w:space="0" w:color="auto"/>
              <w:right w:val="nil"/>
            </w:tcBorders>
            <w:shd w:val="clear" w:color="auto" w:fill="auto"/>
            <w:noWrap/>
            <w:vAlign w:val="center"/>
            <w:hideMark/>
          </w:tcPr>
          <w:p w14:paraId="1F68A542" w14:textId="77777777" w:rsidR="00943562" w:rsidRPr="00943562" w:rsidRDefault="00943562" w:rsidP="00E31B58">
            <w:pPr>
              <w:pStyle w:val="MText"/>
              <w:rPr>
                <w:sz w:val="18"/>
                <w:szCs w:val="18"/>
                <w:lang w:val="en-US"/>
              </w:rPr>
            </w:pPr>
            <w:r w:rsidRPr="00943562">
              <w:rPr>
                <w:sz w:val="18"/>
                <w:szCs w:val="18"/>
                <w:lang w:val="en-US"/>
              </w:rPr>
              <w:t>7.10%</w:t>
            </w:r>
          </w:p>
        </w:tc>
        <w:tc>
          <w:tcPr>
            <w:tcW w:w="703" w:type="dxa"/>
            <w:tcBorders>
              <w:top w:val="nil"/>
              <w:left w:val="nil"/>
              <w:bottom w:val="single" w:sz="8" w:space="0" w:color="auto"/>
              <w:right w:val="nil"/>
            </w:tcBorders>
            <w:shd w:val="clear" w:color="auto" w:fill="auto"/>
            <w:noWrap/>
            <w:vAlign w:val="center"/>
            <w:hideMark/>
          </w:tcPr>
          <w:p w14:paraId="0C98998A" w14:textId="77777777" w:rsidR="00943562" w:rsidRPr="00943562" w:rsidRDefault="00943562" w:rsidP="00E31B58">
            <w:pPr>
              <w:pStyle w:val="MText"/>
              <w:rPr>
                <w:sz w:val="18"/>
                <w:szCs w:val="18"/>
                <w:lang w:val="en-US"/>
              </w:rPr>
            </w:pPr>
            <w:r w:rsidRPr="00943562">
              <w:rPr>
                <w:sz w:val="18"/>
                <w:szCs w:val="18"/>
                <w:lang w:val="en-US"/>
              </w:rPr>
              <w:t>0</w:t>
            </w:r>
          </w:p>
        </w:tc>
        <w:tc>
          <w:tcPr>
            <w:tcW w:w="876" w:type="dxa"/>
            <w:tcBorders>
              <w:top w:val="nil"/>
              <w:left w:val="nil"/>
              <w:bottom w:val="single" w:sz="8" w:space="0" w:color="auto"/>
              <w:right w:val="nil"/>
            </w:tcBorders>
            <w:shd w:val="clear" w:color="auto" w:fill="auto"/>
            <w:noWrap/>
            <w:vAlign w:val="center"/>
            <w:hideMark/>
          </w:tcPr>
          <w:p w14:paraId="5546FE53" w14:textId="77777777" w:rsidR="00943562" w:rsidRPr="00943562" w:rsidRDefault="00943562" w:rsidP="00E31B58">
            <w:pPr>
              <w:pStyle w:val="MText"/>
              <w:rPr>
                <w:sz w:val="18"/>
                <w:szCs w:val="18"/>
                <w:lang w:val="en-US"/>
              </w:rPr>
            </w:pPr>
            <w:r w:rsidRPr="00943562">
              <w:rPr>
                <w:sz w:val="18"/>
                <w:szCs w:val="18"/>
                <w:lang w:val="en-US"/>
              </w:rPr>
              <w:t>0.00%</w:t>
            </w:r>
          </w:p>
        </w:tc>
        <w:tc>
          <w:tcPr>
            <w:tcW w:w="703" w:type="dxa"/>
            <w:tcBorders>
              <w:top w:val="nil"/>
              <w:left w:val="nil"/>
              <w:bottom w:val="single" w:sz="8" w:space="0" w:color="auto"/>
              <w:right w:val="nil"/>
            </w:tcBorders>
            <w:shd w:val="clear" w:color="auto" w:fill="auto"/>
            <w:noWrap/>
            <w:vAlign w:val="center"/>
            <w:hideMark/>
          </w:tcPr>
          <w:p w14:paraId="1F97A307" w14:textId="77777777" w:rsidR="00943562" w:rsidRPr="00943562" w:rsidRDefault="00943562" w:rsidP="00E31B58">
            <w:pPr>
              <w:pStyle w:val="MText"/>
              <w:rPr>
                <w:sz w:val="18"/>
                <w:szCs w:val="18"/>
                <w:lang w:val="en-US"/>
              </w:rPr>
            </w:pPr>
            <w:r w:rsidRPr="00943562">
              <w:rPr>
                <w:sz w:val="18"/>
                <w:szCs w:val="18"/>
                <w:lang w:val="en-US"/>
              </w:rPr>
              <w:t>1</w:t>
            </w:r>
          </w:p>
        </w:tc>
        <w:tc>
          <w:tcPr>
            <w:tcW w:w="876" w:type="dxa"/>
            <w:tcBorders>
              <w:top w:val="nil"/>
              <w:left w:val="nil"/>
              <w:bottom w:val="single" w:sz="8" w:space="0" w:color="auto"/>
              <w:right w:val="nil"/>
            </w:tcBorders>
            <w:shd w:val="clear" w:color="auto" w:fill="auto"/>
            <w:noWrap/>
            <w:vAlign w:val="center"/>
            <w:hideMark/>
          </w:tcPr>
          <w:p w14:paraId="1755F419" w14:textId="77777777" w:rsidR="00943562" w:rsidRPr="00943562" w:rsidRDefault="00943562" w:rsidP="00E31B58">
            <w:pPr>
              <w:pStyle w:val="MText"/>
              <w:rPr>
                <w:sz w:val="18"/>
                <w:szCs w:val="18"/>
                <w:lang w:val="en-US"/>
              </w:rPr>
            </w:pPr>
            <w:r w:rsidRPr="00943562">
              <w:rPr>
                <w:sz w:val="18"/>
                <w:szCs w:val="18"/>
                <w:lang w:val="en-US"/>
              </w:rPr>
              <w:t>7.10%</w:t>
            </w:r>
          </w:p>
        </w:tc>
      </w:tr>
      <w:tr w:rsidR="00943562" w:rsidRPr="00943562" w14:paraId="4D84CBA6" w14:textId="77777777" w:rsidTr="00943562">
        <w:trPr>
          <w:trHeight w:val="288"/>
        </w:trPr>
        <w:tc>
          <w:tcPr>
            <w:tcW w:w="3805" w:type="dxa"/>
            <w:tcBorders>
              <w:top w:val="nil"/>
              <w:left w:val="nil"/>
              <w:bottom w:val="nil"/>
              <w:right w:val="nil"/>
            </w:tcBorders>
            <w:shd w:val="clear" w:color="auto" w:fill="auto"/>
            <w:noWrap/>
            <w:vAlign w:val="bottom"/>
            <w:hideMark/>
          </w:tcPr>
          <w:p w14:paraId="38B30F11" w14:textId="77777777" w:rsidR="00943562" w:rsidRPr="00943562" w:rsidRDefault="00943562" w:rsidP="00E31B58">
            <w:pPr>
              <w:pStyle w:val="MText"/>
              <w:rPr>
                <w:lang w:val="en-US"/>
              </w:rPr>
            </w:pPr>
          </w:p>
        </w:tc>
        <w:tc>
          <w:tcPr>
            <w:tcW w:w="848" w:type="dxa"/>
            <w:tcBorders>
              <w:top w:val="nil"/>
              <w:left w:val="nil"/>
              <w:bottom w:val="nil"/>
              <w:right w:val="nil"/>
            </w:tcBorders>
            <w:shd w:val="clear" w:color="auto" w:fill="auto"/>
            <w:noWrap/>
            <w:vAlign w:val="center"/>
            <w:hideMark/>
          </w:tcPr>
          <w:p w14:paraId="4855BECA" w14:textId="77777777" w:rsidR="00943562" w:rsidRPr="00943562" w:rsidRDefault="00943562" w:rsidP="00E31B58">
            <w:pPr>
              <w:pStyle w:val="MText"/>
              <w:rPr>
                <w:sz w:val="18"/>
                <w:szCs w:val="18"/>
                <w:lang w:val="en-US"/>
              </w:rPr>
            </w:pPr>
            <w:r w:rsidRPr="00943562">
              <w:rPr>
                <w:sz w:val="18"/>
                <w:szCs w:val="18"/>
                <w:lang w:val="en-US"/>
              </w:rPr>
              <w:t>194</w:t>
            </w:r>
          </w:p>
        </w:tc>
        <w:tc>
          <w:tcPr>
            <w:tcW w:w="703" w:type="dxa"/>
            <w:tcBorders>
              <w:top w:val="nil"/>
              <w:left w:val="nil"/>
              <w:bottom w:val="nil"/>
              <w:right w:val="nil"/>
            </w:tcBorders>
            <w:shd w:val="clear" w:color="auto" w:fill="auto"/>
            <w:noWrap/>
            <w:vAlign w:val="center"/>
            <w:hideMark/>
          </w:tcPr>
          <w:p w14:paraId="1C852D64" w14:textId="77777777" w:rsidR="00943562" w:rsidRPr="00943562" w:rsidRDefault="00943562" w:rsidP="00E31B58">
            <w:pPr>
              <w:pStyle w:val="MText"/>
              <w:rPr>
                <w:sz w:val="18"/>
                <w:szCs w:val="18"/>
                <w:lang w:val="en-US"/>
              </w:rPr>
            </w:pPr>
            <w:r w:rsidRPr="00943562">
              <w:rPr>
                <w:sz w:val="18"/>
                <w:szCs w:val="18"/>
                <w:lang w:val="en-US"/>
              </w:rPr>
              <w:t>36</w:t>
            </w:r>
          </w:p>
        </w:tc>
        <w:tc>
          <w:tcPr>
            <w:tcW w:w="876" w:type="dxa"/>
            <w:tcBorders>
              <w:top w:val="nil"/>
              <w:left w:val="nil"/>
              <w:bottom w:val="nil"/>
              <w:right w:val="nil"/>
            </w:tcBorders>
            <w:shd w:val="clear" w:color="auto" w:fill="auto"/>
            <w:noWrap/>
            <w:vAlign w:val="center"/>
            <w:hideMark/>
          </w:tcPr>
          <w:p w14:paraId="3C2B1F48" w14:textId="77777777" w:rsidR="00943562" w:rsidRPr="00943562" w:rsidRDefault="00943562" w:rsidP="00E31B58">
            <w:pPr>
              <w:pStyle w:val="MText"/>
              <w:rPr>
                <w:sz w:val="18"/>
                <w:szCs w:val="18"/>
                <w:lang w:val="en-US"/>
              </w:rPr>
            </w:pPr>
            <w:r w:rsidRPr="00943562">
              <w:rPr>
                <w:sz w:val="18"/>
                <w:szCs w:val="18"/>
                <w:lang w:val="en-US"/>
              </w:rPr>
              <w:t>18.60%</w:t>
            </w:r>
          </w:p>
        </w:tc>
        <w:tc>
          <w:tcPr>
            <w:tcW w:w="703" w:type="dxa"/>
            <w:tcBorders>
              <w:top w:val="nil"/>
              <w:left w:val="nil"/>
              <w:bottom w:val="nil"/>
              <w:right w:val="nil"/>
            </w:tcBorders>
            <w:shd w:val="clear" w:color="auto" w:fill="auto"/>
            <w:noWrap/>
            <w:vAlign w:val="center"/>
            <w:hideMark/>
          </w:tcPr>
          <w:p w14:paraId="5D5BF1B5" w14:textId="77777777" w:rsidR="00943562" w:rsidRPr="00943562" w:rsidRDefault="00943562" w:rsidP="00E31B58">
            <w:pPr>
              <w:pStyle w:val="MText"/>
              <w:rPr>
                <w:sz w:val="18"/>
                <w:szCs w:val="18"/>
                <w:lang w:val="en-US"/>
              </w:rPr>
            </w:pPr>
            <w:r w:rsidRPr="00943562">
              <w:rPr>
                <w:sz w:val="18"/>
                <w:szCs w:val="18"/>
                <w:lang w:val="en-US"/>
              </w:rPr>
              <w:t>95</w:t>
            </w:r>
          </w:p>
        </w:tc>
        <w:tc>
          <w:tcPr>
            <w:tcW w:w="876" w:type="dxa"/>
            <w:tcBorders>
              <w:top w:val="nil"/>
              <w:left w:val="nil"/>
              <w:bottom w:val="nil"/>
              <w:right w:val="nil"/>
            </w:tcBorders>
            <w:shd w:val="clear" w:color="auto" w:fill="auto"/>
            <w:noWrap/>
            <w:vAlign w:val="center"/>
            <w:hideMark/>
          </w:tcPr>
          <w:p w14:paraId="2B54A3D1" w14:textId="77777777" w:rsidR="00943562" w:rsidRPr="00943562" w:rsidRDefault="00943562" w:rsidP="00E31B58">
            <w:pPr>
              <w:pStyle w:val="MText"/>
              <w:rPr>
                <w:sz w:val="18"/>
                <w:szCs w:val="18"/>
                <w:lang w:val="en-US"/>
              </w:rPr>
            </w:pPr>
            <w:r w:rsidRPr="00943562">
              <w:rPr>
                <w:sz w:val="18"/>
                <w:szCs w:val="18"/>
                <w:lang w:val="en-US"/>
              </w:rPr>
              <w:t>49.00%</w:t>
            </w:r>
          </w:p>
        </w:tc>
        <w:tc>
          <w:tcPr>
            <w:tcW w:w="703" w:type="dxa"/>
            <w:tcBorders>
              <w:top w:val="nil"/>
              <w:left w:val="nil"/>
              <w:bottom w:val="nil"/>
              <w:right w:val="nil"/>
            </w:tcBorders>
            <w:shd w:val="clear" w:color="auto" w:fill="auto"/>
            <w:noWrap/>
            <w:vAlign w:val="center"/>
            <w:hideMark/>
          </w:tcPr>
          <w:p w14:paraId="691D5474" w14:textId="77777777" w:rsidR="00943562" w:rsidRPr="00943562" w:rsidRDefault="00943562" w:rsidP="00E31B58">
            <w:pPr>
              <w:pStyle w:val="MText"/>
              <w:rPr>
                <w:sz w:val="18"/>
                <w:szCs w:val="18"/>
                <w:lang w:val="en-US"/>
              </w:rPr>
            </w:pPr>
            <w:r w:rsidRPr="00943562">
              <w:rPr>
                <w:sz w:val="18"/>
                <w:szCs w:val="18"/>
                <w:lang w:val="en-US"/>
              </w:rPr>
              <w:t>131</w:t>
            </w:r>
          </w:p>
        </w:tc>
        <w:tc>
          <w:tcPr>
            <w:tcW w:w="876" w:type="dxa"/>
            <w:tcBorders>
              <w:top w:val="nil"/>
              <w:left w:val="nil"/>
              <w:bottom w:val="nil"/>
              <w:right w:val="nil"/>
            </w:tcBorders>
            <w:shd w:val="clear" w:color="auto" w:fill="auto"/>
            <w:noWrap/>
            <w:vAlign w:val="center"/>
            <w:hideMark/>
          </w:tcPr>
          <w:p w14:paraId="253DC394" w14:textId="77777777" w:rsidR="00943562" w:rsidRPr="00943562" w:rsidRDefault="00943562" w:rsidP="00E31B58">
            <w:pPr>
              <w:pStyle w:val="MText"/>
              <w:rPr>
                <w:b/>
                <w:bCs/>
                <w:sz w:val="18"/>
                <w:szCs w:val="18"/>
                <w:lang w:val="en-US"/>
              </w:rPr>
            </w:pPr>
            <w:r w:rsidRPr="00943562">
              <w:rPr>
                <w:b/>
                <w:bCs/>
                <w:sz w:val="18"/>
                <w:szCs w:val="18"/>
                <w:lang w:val="en-US"/>
              </w:rPr>
              <w:t>67.50%</w:t>
            </w:r>
          </w:p>
        </w:tc>
      </w:tr>
    </w:tbl>
    <w:p w14:paraId="46CEC84E" w14:textId="77777777" w:rsidR="009E24D8" w:rsidRDefault="009E24D8" w:rsidP="00193B55">
      <w:pPr>
        <w:keepNext/>
        <w:keepLines/>
        <w:shd w:val="clear" w:color="auto" w:fill="FFFFFF"/>
        <w:spacing w:line="276" w:lineRule="auto"/>
        <w:jc w:val="both"/>
        <w:rPr>
          <w:rFonts w:eastAsia="Times New Roman" w:cstheme="minorHAnsi"/>
          <w:color w:val="4A4A4A"/>
          <w:sz w:val="21"/>
          <w:szCs w:val="21"/>
          <w:lang w:eastAsia="en-GB"/>
        </w:rPr>
      </w:pPr>
    </w:p>
    <w:p w14:paraId="5BCEFBA4" w14:textId="6985A019" w:rsidR="00321B2D" w:rsidRDefault="001A6691" w:rsidP="007E7BCB">
      <w:pPr>
        <w:pStyle w:val="MText"/>
        <w:rPr>
          <w:color w:val="404040" w:themeColor="text1" w:themeTint="BF"/>
        </w:rPr>
      </w:pPr>
      <w:r>
        <w:t>Overall d</w:t>
      </w:r>
      <w:r w:rsidR="00DA74A7">
        <w:t xml:space="preserve">ata availability covers at least 50% of all WHO member States in all M49 regions except for those </w:t>
      </w:r>
      <w:r>
        <w:t xml:space="preserve">in </w:t>
      </w:r>
      <w:r w:rsidR="00DA74A7">
        <w:t xml:space="preserve">Oceania (7.1%).  </w:t>
      </w:r>
      <w:r w:rsidR="00193B55" w:rsidRPr="00466AC0">
        <w:t xml:space="preserve">For </w:t>
      </w:r>
      <w:r w:rsidR="00193B55">
        <w:t xml:space="preserve">more </w:t>
      </w:r>
      <w:r w:rsidR="00B31ABD">
        <w:t>informati</w:t>
      </w:r>
      <w:r w:rsidR="00B31ABD" w:rsidRPr="00527688">
        <w:rPr>
          <w:color w:val="404040" w:themeColor="text1" w:themeTint="BF"/>
        </w:rPr>
        <w:t>on,</w:t>
      </w:r>
      <w:r w:rsidR="00193B55" w:rsidRPr="00527688">
        <w:rPr>
          <w:color w:val="404040" w:themeColor="text1" w:themeTint="BF"/>
        </w:rPr>
        <w:t xml:space="preserve"> please consult </w:t>
      </w:r>
      <w:r w:rsidR="00321B2D" w:rsidRPr="00321B2D">
        <w:rPr>
          <w:color w:val="404040" w:themeColor="text1" w:themeTint="BF"/>
        </w:rPr>
        <w:t>WHO and World Bank 2017 report on tracking universal health ; Wagstaff  et al 2018</w:t>
      </w:r>
      <w:r w:rsidR="00321B2D">
        <w:rPr>
          <w:color w:val="404040" w:themeColor="text1" w:themeTint="BF"/>
        </w:rPr>
        <w:t>.</w:t>
      </w:r>
    </w:p>
    <w:p w14:paraId="2E98996C" w14:textId="77777777" w:rsidR="00193B55" w:rsidRPr="00466AC0" w:rsidRDefault="00193B55" w:rsidP="00193B55">
      <w:pPr>
        <w:shd w:val="clear" w:color="auto" w:fill="FFFFFF"/>
        <w:spacing w:line="276" w:lineRule="auto"/>
        <w:jc w:val="both"/>
        <w:rPr>
          <w:rFonts w:eastAsia="Times New Roman" w:cstheme="minorHAnsi"/>
          <w:color w:val="4A4A4A"/>
          <w:sz w:val="21"/>
          <w:szCs w:val="21"/>
          <w:lang w:eastAsia="en-GB"/>
        </w:rPr>
      </w:pPr>
    </w:p>
    <w:p w14:paraId="2F428BB8" w14:textId="77777777" w:rsidR="00193B55" w:rsidRPr="00466AC0" w:rsidRDefault="00193B55" w:rsidP="007E7BCB">
      <w:pPr>
        <w:pStyle w:val="MSubHeader"/>
      </w:pPr>
      <w:r w:rsidRPr="00466AC0">
        <w:t>Time series:</w:t>
      </w:r>
    </w:p>
    <w:p w14:paraId="26F6D043" w14:textId="77777777" w:rsidR="00193B55" w:rsidRPr="00466AC0" w:rsidRDefault="00193B55" w:rsidP="007E7BCB">
      <w:pPr>
        <w:pStyle w:val="MText"/>
      </w:pPr>
      <w:r w:rsidRPr="00466AC0">
        <w:t>The frequency of such data is similar to the frequency of the data used to produced SDG indicator 1.1.1. It varies across countries but on average, this ranges from an annual 1 year basis to 3 to 5 years.</w:t>
      </w:r>
    </w:p>
    <w:p w14:paraId="18CF676C" w14:textId="77777777" w:rsidR="00F94C23" w:rsidRDefault="00F94C23" w:rsidP="00B31ABD">
      <w:pPr>
        <w:pBdr>
          <w:bottom w:val="single" w:sz="12" w:space="4" w:color="DDDDDD"/>
        </w:pBdr>
        <w:shd w:val="clear" w:color="auto" w:fill="FFFFFF"/>
        <w:spacing w:line="276" w:lineRule="auto"/>
        <w:outlineLvl w:val="2"/>
        <w:rPr>
          <w:rFonts w:eastAsia="Times New Roman" w:cs="Times New Roman"/>
          <w:color w:val="1C75BC"/>
          <w:sz w:val="36"/>
          <w:szCs w:val="36"/>
          <w:lang w:eastAsia="en-GB"/>
        </w:rPr>
      </w:pPr>
      <w:bookmarkStart w:id="15" w:name="_Toc475009784"/>
      <w:bookmarkStart w:id="16" w:name="_Toc475009935"/>
    </w:p>
    <w:p w14:paraId="5399684B" w14:textId="77777777" w:rsidR="00193B55" w:rsidRPr="00B31ABD" w:rsidRDefault="00193B55" w:rsidP="007E7BCB">
      <w:pPr>
        <w:pStyle w:val="MHeader"/>
      </w:pPr>
      <w:r w:rsidRPr="00B31ABD">
        <w:t>Calendar</w:t>
      </w:r>
      <w:bookmarkEnd w:id="15"/>
      <w:bookmarkEnd w:id="16"/>
    </w:p>
    <w:p w14:paraId="3F42E3CE" w14:textId="77777777" w:rsidR="00193B55" w:rsidRPr="00466AC0" w:rsidRDefault="00193B55" w:rsidP="00193B55">
      <w:pPr>
        <w:shd w:val="clear" w:color="auto" w:fill="FFFFFF"/>
        <w:spacing w:line="276" w:lineRule="auto"/>
        <w:jc w:val="both"/>
        <w:rPr>
          <w:rFonts w:eastAsia="Times New Roman" w:cstheme="minorHAnsi"/>
          <w:b/>
          <w:bCs/>
          <w:color w:val="4A4A4A"/>
          <w:sz w:val="21"/>
          <w:szCs w:val="21"/>
          <w:lang w:eastAsia="en-GB"/>
        </w:rPr>
      </w:pPr>
    </w:p>
    <w:p w14:paraId="042A3885" w14:textId="77777777" w:rsidR="00193B55" w:rsidRPr="00466AC0" w:rsidRDefault="00193B55" w:rsidP="007E7BCB">
      <w:pPr>
        <w:pStyle w:val="MSubHeader"/>
      </w:pPr>
      <w:r w:rsidRPr="00466AC0">
        <w:t>Data collection:</w:t>
      </w:r>
    </w:p>
    <w:p w14:paraId="62C70242" w14:textId="77C4B179" w:rsidR="00193B55" w:rsidRDefault="00193B55" w:rsidP="007E7BCB">
      <w:pPr>
        <w:pStyle w:val="MText"/>
      </w:pPr>
      <w:r w:rsidRPr="00466AC0">
        <w:t>Data collection follows a country’s plan to conduct household consumption expenditure surveys, household budget surveys and household income and expenditure survey.</w:t>
      </w:r>
    </w:p>
    <w:p w14:paraId="4FD958D4" w14:textId="77777777" w:rsidR="007E7BCB" w:rsidRPr="00466AC0" w:rsidRDefault="007E7BCB" w:rsidP="007E7BCB">
      <w:pPr>
        <w:pStyle w:val="MText"/>
        <w:rPr>
          <w:b/>
          <w:bCs/>
        </w:rPr>
      </w:pPr>
    </w:p>
    <w:p w14:paraId="07AE83CF" w14:textId="77777777" w:rsidR="00193B55" w:rsidRPr="00466AC0" w:rsidRDefault="00193B55" w:rsidP="007E7BCB">
      <w:pPr>
        <w:pStyle w:val="MSubHeader"/>
      </w:pPr>
      <w:r w:rsidRPr="00466AC0">
        <w:t>Data release:</w:t>
      </w:r>
    </w:p>
    <w:p w14:paraId="4541CBEC" w14:textId="6D40B584" w:rsidR="00943562" w:rsidRDefault="002B0655" w:rsidP="007E7BCB">
      <w:pPr>
        <w:pStyle w:val="MText"/>
      </w:pPr>
      <w:r>
        <w:t xml:space="preserve">Estimates on the proportion of the population with large household expenditure on health as a share of total household expenditure or income </w:t>
      </w:r>
      <w:r w:rsidR="007E7BCB">
        <w:t xml:space="preserve">was </w:t>
      </w:r>
      <w:r>
        <w:t xml:space="preserve">released </w:t>
      </w:r>
      <w:r w:rsidR="009E24D8">
        <w:t>on December</w:t>
      </w:r>
      <w:r>
        <w:t xml:space="preserve"> 2017. </w:t>
      </w:r>
      <w:r w:rsidR="00193B55" w:rsidRPr="00466AC0">
        <w:t xml:space="preserve">Going forward, new data will be added as more information is received from nominated focal points (see collection process). Updates </w:t>
      </w:r>
    </w:p>
    <w:p w14:paraId="29DF5AFA" w14:textId="77777777" w:rsidR="00F94C23" w:rsidRDefault="00193B55" w:rsidP="007E7BCB">
      <w:pPr>
        <w:pStyle w:val="MText"/>
      </w:pPr>
      <w:r w:rsidRPr="00466AC0">
        <w:t xml:space="preserve">of regional and global estimates are planned every two years. </w:t>
      </w:r>
      <w:r w:rsidR="00943562">
        <w:t xml:space="preserve"> </w:t>
      </w:r>
      <w:bookmarkStart w:id="17" w:name="_Toc475009785"/>
      <w:bookmarkStart w:id="18" w:name="_Toc475009936"/>
    </w:p>
    <w:p w14:paraId="5EE0AD4A" w14:textId="77777777" w:rsidR="00F94C23" w:rsidRDefault="00F94C23" w:rsidP="00F94C23">
      <w:pPr>
        <w:shd w:val="clear" w:color="auto" w:fill="FFFFFF"/>
        <w:spacing w:line="276" w:lineRule="auto"/>
        <w:rPr>
          <w:rFonts w:eastAsia="Times New Roman" w:cstheme="minorHAnsi"/>
          <w:color w:val="4A4A4A"/>
          <w:sz w:val="21"/>
          <w:szCs w:val="21"/>
          <w:lang w:eastAsia="en-GB"/>
        </w:rPr>
      </w:pPr>
    </w:p>
    <w:p w14:paraId="6725FB1F" w14:textId="78B1FA6A" w:rsidR="00193B55" w:rsidRPr="00B31ABD" w:rsidRDefault="00193B55" w:rsidP="007E7BCB">
      <w:pPr>
        <w:pStyle w:val="MHeader"/>
      </w:pPr>
      <w:r w:rsidRPr="00B31ABD">
        <w:t>Data providers</w:t>
      </w:r>
      <w:bookmarkEnd w:id="17"/>
      <w:bookmarkEnd w:id="18"/>
    </w:p>
    <w:p w14:paraId="371FD25E" w14:textId="77777777" w:rsidR="00193B55" w:rsidRPr="00466AC0" w:rsidRDefault="00193B55" w:rsidP="007E7BCB">
      <w:pPr>
        <w:pStyle w:val="MText"/>
      </w:pPr>
      <w:r w:rsidRPr="00466AC0">
        <w:t xml:space="preserve">National Statistical Offices in collaboration with Ministries of health. See data sources for further details. </w:t>
      </w:r>
    </w:p>
    <w:p w14:paraId="5AD62E86" w14:textId="77777777" w:rsidR="00193B55" w:rsidRPr="00466AC0" w:rsidRDefault="00193B55" w:rsidP="00193B55">
      <w:pPr>
        <w:shd w:val="clear" w:color="auto" w:fill="FFFFFF"/>
        <w:spacing w:line="276" w:lineRule="auto"/>
        <w:jc w:val="both"/>
        <w:rPr>
          <w:rFonts w:eastAsia="Times New Roman" w:cstheme="minorHAnsi"/>
          <w:color w:val="4A4A4A"/>
          <w:sz w:val="21"/>
          <w:szCs w:val="21"/>
          <w:lang w:eastAsia="en-GB"/>
        </w:rPr>
      </w:pPr>
    </w:p>
    <w:p w14:paraId="65C3A45E" w14:textId="77777777" w:rsidR="00193B55" w:rsidRPr="00B31ABD" w:rsidRDefault="00193B55" w:rsidP="007E7BCB">
      <w:pPr>
        <w:pStyle w:val="MHeader"/>
      </w:pPr>
      <w:bookmarkStart w:id="19" w:name="_Toc475009786"/>
      <w:bookmarkStart w:id="20" w:name="_Toc475009937"/>
      <w:r w:rsidRPr="00B31ABD">
        <w:t>Data compilers</w:t>
      </w:r>
      <w:bookmarkEnd w:id="19"/>
      <w:bookmarkEnd w:id="20"/>
    </w:p>
    <w:p w14:paraId="1D859440" w14:textId="77777777" w:rsidR="00193B55" w:rsidRPr="00466AC0" w:rsidRDefault="00193B55" w:rsidP="007E7BCB">
      <w:pPr>
        <w:pStyle w:val="MText"/>
      </w:pPr>
      <w:r w:rsidRPr="00466AC0">
        <w:t>The World Health Organization and the World Bank.</w:t>
      </w:r>
    </w:p>
    <w:p w14:paraId="28951685" w14:textId="77777777" w:rsidR="00193B55" w:rsidRPr="00466AC0" w:rsidRDefault="00193B55" w:rsidP="00193B55">
      <w:pPr>
        <w:shd w:val="clear" w:color="auto" w:fill="FFFFFF"/>
        <w:spacing w:line="276" w:lineRule="auto"/>
        <w:jc w:val="both"/>
        <w:rPr>
          <w:rFonts w:eastAsia="Times New Roman" w:cstheme="minorHAnsi"/>
          <w:color w:val="4A4A4A"/>
          <w:sz w:val="21"/>
          <w:szCs w:val="21"/>
          <w:lang w:eastAsia="en-GB"/>
        </w:rPr>
      </w:pPr>
    </w:p>
    <w:p w14:paraId="7A8DB9CA" w14:textId="77777777" w:rsidR="00193B55" w:rsidRPr="00CA6EB1" w:rsidRDefault="00193B55" w:rsidP="007E7BCB">
      <w:pPr>
        <w:pStyle w:val="MHeader"/>
        <w:rPr>
          <w:lang w:val="es-ES"/>
        </w:rPr>
      </w:pPr>
      <w:bookmarkStart w:id="21" w:name="_Toc475009787"/>
      <w:bookmarkStart w:id="22" w:name="_Toc475009938"/>
      <w:r w:rsidRPr="00CA6EB1">
        <w:rPr>
          <w:lang w:val="es-ES"/>
        </w:rPr>
        <w:t>References</w:t>
      </w:r>
      <w:bookmarkEnd w:id="21"/>
      <w:bookmarkEnd w:id="22"/>
    </w:p>
    <w:p w14:paraId="2A1D738B" w14:textId="6C64E897" w:rsidR="00B31ABD" w:rsidRPr="00CA6EB1" w:rsidRDefault="00193B55" w:rsidP="003821EB">
      <w:pPr>
        <w:shd w:val="clear" w:color="auto" w:fill="FFFFFF"/>
        <w:spacing w:line="276" w:lineRule="auto"/>
        <w:jc w:val="both"/>
        <w:rPr>
          <w:rFonts w:eastAsia="Times New Roman" w:cstheme="minorHAnsi"/>
          <w:b/>
          <w:bCs/>
          <w:color w:val="404040" w:themeColor="text1" w:themeTint="BF"/>
          <w:sz w:val="21"/>
          <w:szCs w:val="21"/>
          <w:u w:val="single"/>
          <w:lang w:val="es-ES" w:eastAsia="en-GB"/>
        </w:rPr>
      </w:pPr>
      <w:r w:rsidRPr="00CA6EB1">
        <w:rPr>
          <w:rFonts w:eastAsia="Times New Roman" w:cstheme="minorHAnsi"/>
          <w:b/>
          <w:bCs/>
          <w:color w:val="404040" w:themeColor="text1" w:themeTint="BF"/>
          <w:sz w:val="21"/>
          <w:szCs w:val="21"/>
          <w:lang w:val="es-ES" w:eastAsia="en-GB"/>
        </w:rPr>
        <w:t>URL:</w:t>
      </w:r>
      <w:r w:rsidR="003821EB" w:rsidRPr="007E7BCB">
        <w:rPr>
          <w:lang w:val="es-ES"/>
        </w:rPr>
        <w:t xml:space="preserve"> </w:t>
      </w:r>
      <w:hyperlink r:id="rId11" w:history="1">
        <w:r w:rsidR="003821EB" w:rsidRPr="007E7BCB">
          <w:rPr>
            <w:rStyle w:val="Hyperlink"/>
            <w:lang w:val="es-ES"/>
          </w:rPr>
          <w:t>http://apps.who.int/gho/cabinet/uhc.jsp</w:t>
        </w:r>
      </w:hyperlink>
      <w:r w:rsidR="003821EB" w:rsidRPr="007E7BCB">
        <w:rPr>
          <w:lang w:val="es-ES"/>
        </w:rPr>
        <w:t xml:space="preserve">; </w:t>
      </w:r>
      <w:r w:rsidR="001741A0" w:rsidRPr="007E7BCB">
        <w:rPr>
          <w:lang w:val="es-ES"/>
        </w:rPr>
        <w:t xml:space="preserve"> </w:t>
      </w:r>
      <w:hyperlink r:id="rId12" w:history="1">
        <w:r w:rsidR="00D20E66" w:rsidRPr="007E7BCB">
          <w:rPr>
            <w:rStyle w:val="Hyperlink"/>
            <w:lang w:val="es-ES"/>
          </w:rPr>
          <w:t>http://datatopics.worldbank.org/universal-health-coverage/</w:t>
        </w:r>
      </w:hyperlink>
      <w:r w:rsidR="00D20E66" w:rsidRPr="007E7BCB">
        <w:rPr>
          <w:lang w:val="es-ES"/>
        </w:rPr>
        <w:t xml:space="preserve"> </w:t>
      </w:r>
    </w:p>
    <w:p w14:paraId="46E66A65" w14:textId="77777777" w:rsidR="00193B55" w:rsidRPr="00CA6EB1" w:rsidRDefault="00193B55" w:rsidP="00193B55">
      <w:pPr>
        <w:shd w:val="clear" w:color="auto" w:fill="FFFFFF"/>
        <w:spacing w:line="276" w:lineRule="auto"/>
        <w:jc w:val="both"/>
        <w:rPr>
          <w:rFonts w:eastAsia="Times New Roman" w:cstheme="minorHAnsi"/>
          <w:color w:val="404040" w:themeColor="text1" w:themeTint="BF"/>
          <w:sz w:val="21"/>
          <w:szCs w:val="21"/>
          <w:lang w:val="es-ES" w:eastAsia="en-GB"/>
        </w:rPr>
      </w:pPr>
    </w:p>
    <w:p w14:paraId="108C88CC" w14:textId="77777777" w:rsidR="00193B55" w:rsidRDefault="00193B55" w:rsidP="00193B55">
      <w:pPr>
        <w:shd w:val="clear" w:color="auto" w:fill="FFFFFF"/>
        <w:spacing w:line="276" w:lineRule="auto"/>
        <w:jc w:val="both"/>
        <w:rPr>
          <w:rFonts w:eastAsia="Times New Roman" w:cstheme="minorHAnsi"/>
          <w:b/>
          <w:bCs/>
          <w:color w:val="404040" w:themeColor="text1" w:themeTint="BF"/>
          <w:sz w:val="21"/>
          <w:szCs w:val="21"/>
          <w:lang w:eastAsia="en-GB"/>
        </w:rPr>
      </w:pPr>
      <w:r w:rsidRPr="00527688">
        <w:rPr>
          <w:rFonts w:eastAsia="Times New Roman" w:cstheme="minorHAnsi"/>
          <w:b/>
          <w:bCs/>
          <w:color w:val="404040" w:themeColor="text1" w:themeTint="BF"/>
          <w:sz w:val="21"/>
          <w:szCs w:val="21"/>
          <w:lang w:eastAsia="en-GB"/>
        </w:rPr>
        <w:t>References:</w:t>
      </w:r>
    </w:p>
    <w:p w14:paraId="786FB97A" w14:textId="77777777" w:rsidR="00943562" w:rsidRDefault="009E24D8" w:rsidP="007E7BCB">
      <w:pPr>
        <w:pStyle w:val="MText"/>
        <w:numPr>
          <w:ilvl w:val="0"/>
          <w:numId w:val="10"/>
        </w:numPr>
      </w:pPr>
      <w:r w:rsidRPr="00943562">
        <w:t>Chapter 2</w:t>
      </w:r>
      <w:r w:rsidR="00532100" w:rsidRPr="00943562">
        <w:t xml:space="preserve"> on</w:t>
      </w:r>
      <w:r w:rsidR="00EF00EE" w:rsidRPr="00943562">
        <w:t xml:space="preserve"> Financial protection</w:t>
      </w:r>
      <w:r w:rsidRPr="00943562">
        <w:t xml:space="preserve"> in “Tracking universal health coverage: 2017 global monitoring report”, World Health Organization and International Bank for Reconstruction and Development/  The World Bank; 2017;</w:t>
      </w:r>
      <w:r w:rsidR="00943562">
        <w:t xml:space="preserve"> </w:t>
      </w:r>
      <w:r w:rsidRPr="00943562">
        <w:t xml:space="preserve"> </w:t>
      </w:r>
      <w:r w:rsidR="00943562">
        <w:t xml:space="preserve"> </w:t>
      </w:r>
    </w:p>
    <w:p w14:paraId="7A68C75B" w14:textId="32CC696A" w:rsidR="009E24D8" w:rsidRDefault="00E95866" w:rsidP="00943562">
      <w:pPr>
        <w:pStyle w:val="ListParagraph"/>
        <w:shd w:val="clear" w:color="auto" w:fill="FFFFFF"/>
        <w:jc w:val="both"/>
        <w:rPr>
          <w:rStyle w:val="Hyperlink"/>
          <w:rFonts w:eastAsia="Times New Roman" w:cstheme="minorHAnsi"/>
          <w:sz w:val="21"/>
          <w:szCs w:val="21"/>
          <w:lang w:eastAsia="en-GB"/>
        </w:rPr>
      </w:pPr>
      <w:hyperlink r:id="rId13" w:history="1">
        <w:r w:rsidR="00943562" w:rsidRPr="00943562">
          <w:rPr>
            <w:rStyle w:val="Hyperlink"/>
            <w:rFonts w:eastAsia="Times New Roman" w:cstheme="minorHAnsi"/>
            <w:sz w:val="21"/>
            <w:szCs w:val="21"/>
            <w:lang w:eastAsia="en-GB"/>
          </w:rPr>
          <w:t>http://www.who.int/healthinfo/universal_health_coverage/report/2017/en/</w:t>
        </w:r>
      </w:hyperlink>
      <w:r w:rsidR="003821EB" w:rsidRPr="00943562">
        <w:rPr>
          <w:rFonts w:eastAsia="Times New Roman" w:cstheme="minorHAnsi"/>
          <w:color w:val="4A4A4A"/>
          <w:sz w:val="21"/>
          <w:szCs w:val="21"/>
          <w:lang w:eastAsia="en-GB"/>
        </w:rPr>
        <w:t xml:space="preserve">; </w:t>
      </w:r>
      <w:r w:rsidR="00943562">
        <w:rPr>
          <w:rFonts w:eastAsia="Times New Roman" w:cstheme="minorHAnsi"/>
          <w:color w:val="4A4A4A"/>
          <w:sz w:val="21"/>
          <w:szCs w:val="21"/>
          <w:lang w:eastAsia="en-GB"/>
        </w:rPr>
        <w:t xml:space="preserve"> </w:t>
      </w:r>
      <w:hyperlink r:id="rId14" w:history="1">
        <w:r w:rsidR="00943562" w:rsidRPr="00943562">
          <w:rPr>
            <w:rStyle w:val="Hyperlink"/>
            <w:rFonts w:eastAsia="Times New Roman" w:cstheme="minorHAnsi"/>
            <w:sz w:val="21"/>
            <w:szCs w:val="21"/>
            <w:lang w:eastAsia="en-GB"/>
          </w:rPr>
          <w:t>http://www.worldbank.org/en/topic/universalhealthcoverage/publication/tracking-universal-health-coverage-2017-global-monitoring-report</w:t>
        </w:r>
      </w:hyperlink>
    </w:p>
    <w:p w14:paraId="060B51B9" w14:textId="03164A2A" w:rsidR="00D20E66" w:rsidRPr="00943562" w:rsidRDefault="00E95866" w:rsidP="00943562">
      <w:pPr>
        <w:pStyle w:val="ListParagraph"/>
        <w:shd w:val="clear" w:color="auto" w:fill="FFFFFF"/>
        <w:jc w:val="both"/>
        <w:rPr>
          <w:rFonts w:eastAsia="Times New Roman" w:cstheme="minorHAnsi"/>
          <w:color w:val="4A4A4A"/>
          <w:sz w:val="21"/>
          <w:szCs w:val="21"/>
          <w:lang w:eastAsia="en-GB"/>
        </w:rPr>
      </w:pPr>
      <w:hyperlink r:id="rId15" w:history="1">
        <w:r w:rsidR="00D20E66" w:rsidRPr="00CC20D2">
          <w:rPr>
            <w:rStyle w:val="Hyperlink"/>
            <w:rFonts w:eastAsia="Times New Roman" w:cstheme="minorHAnsi"/>
            <w:sz w:val="21"/>
            <w:szCs w:val="21"/>
            <w:lang w:eastAsia="en-GB"/>
          </w:rPr>
          <w:t>http://www.who.int/health_financing/topics/financial-protection/en/</w:t>
        </w:r>
      </w:hyperlink>
      <w:r w:rsidR="00D20E66">
        <w:rPr>
          <w:rFonts w:eastAsia="Times New Roman" w:cstheme="minorHAnsi"/>
          <w:color w:val="4A4A4A"/>
          <w:sz w:val="21"/>
          <w:szCs w:val="21"/>
          <w:lang w:eastAsia="en-GB"/>
        </w:rPr>
        <w:t xml:space="preserve"> </w:t>
      </w:r>
    </w:p>
    <w:p w14:paraId="20B4F8AE" w14:textId="2CC5E8CA" w:rsidR="00532100" w:rsidRPr="00943562" w:rsidRDefault="00532100" w:rsidP="00943562">
      <w:pPr>
        <w:pStyle w:val="ListParagraph"/>
        <w:numPr>
          <w:ilvl w:val="0"/>
          <w:numId w:val="6"/>
        </w:numPr>
        <w:shd w:val="clear" w:color="auto" w:fill="FFFFFF"/>
        <w:jc w:val="both"/>
        <w:rPr>
          <w:rFonts w:eastAsia="Times New Roman" w:cstheme="minorHAnsi"/>
          <w:color w:val="4A4A4A"/>
          <w:sz w:val="21"/>
          <w:szCs w:val="21"/>
          <w:lang w:eastAsia="en-GB"/>
        </w:rPr>
      </w:pPr>
      <w:r w:rsidRPr="007E7BCB">
        <w:rPr>
          <w:rStyle w:val="MTextChar"/>
          <w:rFonts w:eastAsiaTheme="minorEastAsia"/>
        </w:rPr>
        <w:t xml:space="preserve">Wagstaff, A., Flores, G., Hsu J., Smitz, M-F., Chepynoga, K., Buisman, L.R., van Wilgenburg, K.  and Eozenou, P.,  (2018), “Progress on catastrophic health spending in 133 countries: a retrospective observational study”, the Lancet Global Health, volume 6, issue 2, e169-e179.  </w:t>
      </w:r>
      <w:hyperlink r:id="rId16" w:history="1">
        <w:r w:rsidR="00943562" w:rsidRPr="00943562">
          <w:rPr>
            <w:rStyle w:val="Hyperlink"/>
            <w:rFonts w:eastAsia="Times New Roman" w:cstheme="minorHAnsi"/>
            <w:sz w:val="21"/>
            <w:szCs w:val="21"/>
            <w:lang w:eastAsia="en-GB"/>
          </w:rPr>
          <w:t>http://dx.doi.org/10.1016/S2214-109X(17)30429-1</w:t>
        </w:r>
      </w:hyperlink>
    </w:p>
    <w:p w14:paraId="0B095507" w14:textId="77777777" w:rsidR="009E24D8" w:rsidRPr="00527688" w:rsidRDefault="009E24D8" w:rsidP="007E7BCB">
      <w:pPr>
        <w:pStyle w:val="MText"/>
      </w:pPr>
    </w:p>
    <w:p w14:paraId="000F9AE1" w14:textId="2DC1CF15" w:rsidR="00193B55" w:rsidRDefault="00193B55" w:rsidP="007E7BCB">
      <w:pPr>
        <w:pStyle w:val="MText"/>
        <w:rPr>
          <w:i/>
          <w:iCs/>
        </w:rPr>
      </w:pPr>
      <w:r w:rsidRPr="00527688">
        <w:rPr>
          <w:i/>
          <w:iCs/>
        </w:rPr>
        <w:t>On underlying approaches behind the current definition of large health expenditures as a share of total household consumption or income:</w:t>
      </w:r>
    </w:p>
    <w:p w14:paraId="7F323204" w14:textId="77777777" w:rsidR="007E7BCB" w:rsidRPr="00527688" w:rsidRDefault="007E7BCB" w:rsidP="00193B55">
      <w:pPr>
        <w:shd w:val="clear" w:color="auto" w:fill="FFFFFF"/>
        <w:spacing w:line="276" w:lineRule="auto"/>
        <w:jc w:val="both"/>
        <w:rPr>
          <w:rFonts w:eastAsia="Times New Roman" w:cstheme="minorHAnsi"/>
          <w:i/>
          <w:iCs/>
          <w:color w:val="404040" w:themeColor="text1" w:themeTint="BF"/>
          <w:sz w:val="21"/>
          <w:szCs w:val="21"/>
          <w:lang w:eastAsia="en-GB"/>
        </w:rPr>
      </w:pPr>
    </w:p>
    <w:p w14:paraId="71B55917" w14:textId="77777777" w:rsidR="00193B55" w:rsidRPr="007E7BCB" w:rsidRDefault="00193B55" w:rsidP="00193B55">
      <w:pPr>
        <w:numPr>
          <w:ilvl w:val="0"/>
          <w:numId w:val="3"/>
        </w:numPr>
        <w:shd w:val="clear" w:color="auto" w:fill="FFFFFF"/>
        <w:spacing w:after="200" w:line="276" w:lineRule="auto"/>
        <w:contextualSpacing/>
        <w:jc w:val="both"/>
        <w:rPr>
          <w:rFonts w:eastAsia="Times New Roman" w:cstheme="minorHAnsi"/>
          <w:color w:val="404040" w:themeColor="text1" w:themeTint="BF"/>
          <w:sz w:val="21"/>
          <w:szCs w:val="21"/>
          <w:lang w:eastAsia="en-GB"/>
        </w:rPr>
      </w:pPr>
      <w:r w:rsidRPr="007E7BCB">
        <w:rPr>
          <w:rFonts w:eastAsia="Times New Roman" w:cstheme="minorHAnsi"/>
          <w:color w:val="404040" w:themeColor="text1" w:themeTint="BF"/>
          <w:sz w:val="21"/>
          <w:szCs w:val="21"/>
          <w:lang w:eastAsia="en-GB"/>
        </w:rPr>
        <w:lastRenderedPageBreak/>
        <w:t xml:space="preserve">Chapter 18 of “Analysing health equity using household survey data”. Washington, DC: World Bank Group; 2008, </w:t>
      </w:r>
      <w:hyperlink r:id="rId17" w:history="1">
        <w:r w:rsidRPr="007E7BCB">
          <w:rPr>
            <w:rStyle w:val="Hyperlink"/>
            <w:sz w:val="21"/>
            <w:szCs w:val="21"/>
          </w:rPr>
          <w:t>http://www.worldbank.org/en/topic/health/publication/analyzing-health-equity-using-household-survey-data</w:t>
        </w:r>
      </w:hyperlink>
      <w:r w:rsidRPr="007E7BCB">
        <w:rPr>
          <w:rFonts w:eastAsia="Times New Roman" w:cstheme="minorHAnsi"/>
          <w:color w:val="404040" w:themeColor="text1" w:themeTint="BF"/>
          <w:sz w:val="21"/>
          <w:szCs w:val="21"/>
          <w:lang w:eastAsia="en-GB"/>
        </w:rPr>
        <w:t xml:space="preserve">  </w:t>
      </w:r>
    </w:p>
    <w:p w14:paraId="2D6249C0" w14:textId="77777777" w:rsidR="007E7BCB" w:rsidRDefault="007E7BCB" w:rsidP="00193B55">
      <w:pPr>
        <w:shd w:val="clear" w:color="auto" w:fill="FFFFFF"/>
        <w:spacing w:line="276" w:lineRule="auto"/>
        <w:jc w:val="both"/>
        <w:rPr>
          <w:rFonts w:eastAsia="Times New Roman" w:cstheme="minorHAnsi"/>
          <w:i/>
          <w:iCs/>
          <w:color w:val="404040" w:themeColor="text1" w:themeTint="BF"/>
          <w:sz w:val="21"/>
          <w:szCs w:val="21"/>
          <w:lang w:eastAsia="en-GB"/>
        </w:rPr>
      </w:pPr>
    </w:p>
    <w:p w14:paraId="5527BFC4" w14:textId="43B5B80B" w:rsidR="00193B55" w:rsidRPr="007E7BCB" w:rsidRDefault="00193B55" w:rsidP="00193B55">
      <w:pPr>
        <w:shd w:val="clear" w:color="auto" w:fill="FFFFFF"/>
        <w:spacing w:line="276" w:lineRule="auto"/>
        <w:jc w:val="both"/>
        <w:rPr>
          <w:rFonts w:eastAsia="Times New Roman" w:cstheme="minorHAnsi"/>
          <w:i/>
          <w:iCs/>
          <w:color w:val="404040" w:themeColor="text1" w:themeTint="BF"/>
          <w:sz w:val="21"/>
          <w:szCs w:val="21"/>
          <w:lang w:eastAsia="en-GB"/>
        </w:rPr>
      </w:pPr>
      <w:r w:rsidRPr="007E7BCB">
        <w:rPr>
          <w:rFonts w:eastAsia="Times New Roman" w:cstheme="minorHAnsi"/>
          <w:i/>
          <w:iCs/>
          <w:color w:val="404040" w:themeColor="text1" w:themeTint="BF"/>
          <w:sz w:val="21"/>
          <w:szCs w:val="21"/>
          <w:lang w:eastAsia="en-GB"/>
        </w:rPr>
        <w:t xml:space="preserve">For the definition of health expenditures </w:t>
      </w:r>
    </w:p>
    <w:p w14:paraId="70F4A5C8" w14:textId="77777777" w:rsidR="00193B55" w:rsidRPr="00527688" w:rsidRDefault="00E95866" w:rsidP="00193B55">
      <w:pPr>
        <w:numPr>
          <w:ilvl w:val="0"/>
          <w:numId w:val="3"/>
        </w:numPr>
        <w:shd w:val="clear" w:color="auto" w:fill="FFFFFF"/>
        <w:spacing w:after="200" w:line="276" w:lineRule="auto"/>
        <w:contextualSpacing/>
        <w:jc w:val="both"/>
        <w:rPr>
          <w:rFonts w:eastAsia="Times New Roman" w:cstheme="minorHAnsi"/>
          <w:color w:val="404040" w:themeColor="text1" w:themeTint="BF"/>
          <w:sz w:val="21"/>
          <w:szCs w:val="21"/>
          <w:lang w:eastAsia="en-GB"/>
        </w:rPr>
      </w:pPr>
      <w:hyperlink r:id="rId18" w:history="1">
        <w:r w:rsidR="00193B55" w:rsidRPr="00960A4B">
          <w:rPr>
            <w:rStyle w:val="Hyperlink"/>
            <w:sz w:val="18"/>
            <w:szCs w:val="18"/>
          </w:rPr>
          <w:t>http://www.oecd-ilibrary.org/social-issues-migration-health/a-system-of-health-accounts/classification-of-health-care-financing-schemes-icha-hf_9789264116016-9-en</w:t>
        </w:r>
      </w:hyperlink>
      <w:r w:rsidR="00960A4B">
        <w:rPr>
          <w:rFonts w:eastAsia="Times New Roman" w:cstheme="minorHAnsi"/>
          <w:color w:val="404040" w:themeColor="text1" w:themeTint="BF"/>
          <w:sz w:val="21"/>
          <w:szCs w:val="21"/>
          <w:u w:val="single"/>
          <w:lang w:eastAsia="en-GB"/>
        </w:rPr>
        <w:t xml:space="preserve"> </w:t>
      </w:r>
    </w:p>
    <w:p w14:paraId="4DD8BE74" w14:textId="77777777" w:rsidR="007E7BCB" w:rsidRDefault="007E7BCB" w:rsidP="00193B55">
      <w:pPr>
        <w:shd w:val="clear" w:color="auto" w:fill="FFFFFF"/>
        <w:spacing w:line="276" w:lineRule="auto"/>
        <w:jc w:val="both"/>
        <w:rPr>
          <w:rFonts w:eastAsia="Times New Roman" w:cstheme="minorHAnsi"/>
          <w:i/>
          <w:iCs/>
          <w:color w:val="404040" w:themeColor="text1" w:themeTint="BF"/>
          <w:sz w:val="21"/>
          <w:szCs w:val="21"/>
          <w:lang w:eastAsia="en-GB"/>
        </w:rPr>
      </w:pPr>
    </w:p>
    <w:p w14:paraId="7488D2DA" w14:textId="2EB416BB" w:rsidR="00193B55" w:rsidRPr="00527688" w:rsidRDefault="00193B55" w:rsidP="00193B55">
      <w:pPr>
        <w:shd w:val="clear" w:color="auto" w:fill="FFFFFF"/>
        <w:spacing w:line="276" w:lineRule="auto"/>
        <w:jc w:val="both"/>
        <w:rPr>
          <w:rFonts w:eastAsia="Times New Roman" w:cstheme="minorHAnsi"/>
          <w:i/>
          <w:iCs/>
          <w:color w:val="404040" w:themeColor="text1" w:themeTint="BF"/>
          <w:sz w:val="21"/>
          <w:szCs w:val="21"/>
          <w:lang w:eastAsia="en-GB"/>
        </w:rPr>
      </w:pPr>
      <w:r w:rsidRPr="00527688">
        <w:rPr>
          <w:rFonts w:eastAsia="Times New Roman" w:cstheme="minorHAnsi"/>
          <w:i/>
          <w:iCs/>
          <w:color w:val="404040" w:themeColor="text1" w:themeTint="BF"/>
          <w:sz w:val="21"/>
          <w:szCs w:val="21"/>
          <w:lang w:eastAsia="en-GB"/>
        </w:rPr>
        <w:t>For the components of health expenditures</w:t>
      </w:r>
    </w:p>
    <w:p w14:paraId="400DF64C" w14:textId="77777777" w:rsidR="00193B55" w:rsidRPr="00527688" w:rsidRDefault="00193B55" w:rsidP="00B31ABD">
      <w:pPr>
        <w:numPr>
          <w:ilvl w:val="0"/>
          <w:numId w:val="3"/>
        </w:numPr>
        <w:shd w:val="clear" w:color="auto" w:fill="FFFFFF"/>
        <w:spacing w:after="200" w:line="276" w:lineRule="auto"/>
        <w:contextualSpacing/>
        <w:jc w:val="both"/>
        <w:rPr>
          <w:rFonts w:eastAsia="Times New Roman" w:cstheme="minorHAnsi"/>
          <w:color w:val="404040" w:themeColor="text1" w:themeTint="BF"/>
          <w:sz w:val="21"/>
          <w:szCs w:val="21"/>
          <w:lang w:eastAsia="en-GB"/>
        </w:rPr>
      </w:pPr>
      <w:r w:rsidRPr="00527688">
        <w:rPr>
          <w:rFonts w:eastAsia="Times New Roman" w:cstheme="minorHAnsi"/>
          <w:color w:val="404040" w:themeColor="text1" w:themeTint="BF"/>
          <w:sz w:val="21"/>
          <w:szCs w:val="21"/>
          <w:lang w:eastAsia="en-GB"/>
        </w:rPr>
        <w:t xml:space="preserve">division 06 of the UN Classification of Individual Consumption According to Purpose (COICOP) </w:t>
      </w:r>
      <w:hyperlink r:id="rId19" w:history="1">
        <w:r w:rsidR="009E24D8" w:rsidRPr="00E002ED">
          <w:rPr>
            <w:rStyle w:val="Hyperlink"/>
            <w:sz w:val="18"/>
            <w:szCs w:val="18"/>
          </w:rPr>
          <w:t>https://unstats.un.org/unsd/class/revisions/coicop_revision.asp</w:t>
        </w:r>
      </w:hyperlink>
      <w:r w:rsidR="009E24D8">
        <w:rPr>
          <w:color w:val="404040" w:themeColor="text1" w:themeTint="BF"/>
          <w:sz w:val="18"/>
          <w:szCs w:val="18"/>
        </w:rPr>
        <w:t xml:space="preserve">; </w:t>
      </w:r>
      <w:hyperlink r:id="rId20" w:history="1">
        <w:r w:rsidRPr="00960A4B">
          <w:rPr>
            <w:rStyle w:val="Hyperlink"/>
            <w:sz w:val="18"/>
            <w:szCs w:val="18"/>
          </w:rPr>
          <w:t>http://unstats.un.org/unsd/cr/registry/regcs.asp?Cl=5&amp;Lg=1&amp;Co=06.1</w:t>
        </w:r>
      </w:hyperlink>
      <w:r w:rsidR="00960A4B">
        <w:rPr>
          <w:rFonts w:eastAsia="Times New Roman" w:cstheme="minorHAnsi"/>
          <w:color w:val="404040" w:themeColor="text1" w:themeTint="BF"/>
          <w:sz w:val="21"/>
          <w:szCs w:val="21"/>
          <w:u w:val="single"/>
          <w:lang w:eastAsia="en-GB"/>
        </w:rPr>
        <w:t xml:space="preserve"> </w:t>
      </w:r>
    </w:p>
    <w:p w14:paraId="72AE9A3F" w14:textId="77777777" w:rsidR="00193B55" w:rsidRPr="00527688" w:rsidRDefault="00193B55" w:rsidP="00193B55">
      <w:pPr>
        <w:shd w:val="clear" w:color="auto" w:fill="FFFFFF"/>
        <w:spacing w:line="276" w:lineRule="auto"/>
        <w:ind w:left="720"/>
        <w:contextualSpacing/>
        <w:jc w:val="both"/>
        <w:rPr>
          <w:rFonts w:eastAsia="Times New Roman" w:cstheme="minorHAnsi"/>
          <w:color w:val="404040" w:themeColor="text1" w:themeTint="BF"/>
          <w:sz w:val="21"/>
          <w:szCs w:val="21"/>
          <w:lang w:eastAsia="en-GB"/>
        </w:rPr>
      </w:pPr>
    </w:p>
    <w:p w14:paraId="2F605E85" w14:textId="77777777" w:rsidR="00193B55" w:rsidRPr="00B31ABD" w:rsidRDefault="00193B55" w:rsidP="007E7BCB">
      <w:pPr>
        <w:pStyle w:val="MHeader"/>
      </w:pPr>
      <w:bookmarkStart w:id="23" w:name="_Toc475009788"/>
      <w:bookmarkStart w:id="24" w:name="_Toc475009939"/>
      <w:r w:rsidRPr="00B31ABD">
        <w:t>Related indicators as of February 2020</w:t>
      </w:r>
      <w:bookmarkEnd w:id="23"/>
      <w:bookmarkEnd w:id="24"/>
    </w:p>
    <w:p w14:paraId="7FE252BD" w14:textId="1B62AE5D" w:rsidR="000144A5" w:rsidRDefault="00B31ABD" w:rsidP="007E7BCB">
      <w:pPr>
        <w:pStyle w:val="MText"/>
      </w:pPr>
      <w:r w:rsidRPr="00527688">
        <w:t>SDG indicators</w:t>
      </w:r>
      <w:r w:rsidR="00193B55" w:rsidRPr="00527688">
        <w:t>: 3.8.1; 1.1.1 and 1.2.1</w:t>
      </w:r>
    </w:p>
    <w:sectPr w:rsidR="000144A5">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8156C" w14:textId="77777777" w:rsidR="00E95866" w:rsidRDefault="00E95866" w:rsidP="00193B55">
      <w:r>
        <w:separator/>
      </w:r>
    </w:p>
  </w:endnote>
  <w:endnote w:type="continuationSeparator" w:id="0">
    <w:p w14:paraId="36F576EC" w14:textId="77777777" w:rsidR="00E95866" w:rsidRDefault="00E95866" w:rsidP="00193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T15Ct00">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86770" w14:textId="77777777" w:rsidR="0020117B" w:rsidRDefault="002011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450B6" w14:textId="77777777" w:rsidR="009E24D8" w:rsidRDefault="009E24D8" w:rsidP="009E24D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C5783" w14:textId="77777777" w:rsidR="0020117B" w:rsidRDefault="002011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9C090" w14:textId="77777777" w:rsidR="00E95866" w:rsidRDefault="00E95866" w:rsidP="00193B55">
      <w:r>
        <w:separator/>
      </w:r>
    </w:p>
  </w:footnote>
  <w:footnote w:type="continuationSeparator" w:id="0">
    <w:p w14:paraId="39AF0BD0" w14:textId="77777777" w:rsidR="00E95866" w:rsidRDefault="00E95866" w:rsidP="00193B55">
      <w:r>
        <w:continuationSeparator/>
      </w:r>
    </w:p>
  </w:footnote>
  <w:footnote w:id="1">
    <w:p w14:paraId="072E8F6A" w14:textId="77777777" w:rsidR="009E24D8" w:rsidRPr="00B31ABD" w:rsidRDefault="009E24D8" w:rsidP="00193B55">
      <w:pPr>
        <w:pStyle w:val="FootnoteText"/>
        <w:rPr>
          <w:color w:val="404040" w:themeColor="text1" w:themeTint="BF"/>
          <w:sz w:val="18"/>
          <w:szCs w:val="18"/>
        </w:rPr>
      </w:pPr>
      <w:r w:rsidRPr="00A34414">
        <w:rPr>
          <w:rStyle w:val="FootnoteReference"/>
          <w:color w:val="404040" w:themeColor="text1" w:themeTint="BF"/>
          <w:sz w:val="18"/>
          <w:szCs w:val="18"/>
        </w:rPr>
        <w:footnoteRef/>
      </w:r>
      <w:r w:rsidRPr="00B31ABD">
        <w:rPr>
          <w:color w:val="404040" w:themeColor="text1" w:themeTint="BF"/>
          <w:sz w:val="18"/>
          <w:szCs w:val="18"/>
        </w:rPr>
        <w:t xml:space="preserve"> </w:t>
      </w:r>
      <w:hyperlink r:id="rId1" w:history="1">
        <w:r w:rsidRPr="00960A4B">
          <w:rPr>
            <w:rStyle w:val="Hyperlink"/>
            <w:sz w:val="18"/>
            <w:szCs w:val="18"/>
          </w:rPr>
          <w:t>http://www.oecd-ilibrary.org/social-issues-migration-health/a-system-of-health-accounts/classification-of-health-care-financing-schemes-icha-hf_9789264116016-9-en</w:t>
        </w:r>
      </w:hyperlink>
      <w:r w:rsidR="00960A4B">
        <w:rPr>
          <w:rStyle w:val="Hyperlink"/>
          <w:rFonts w:eastAsia="Times New Roman" w:cs="Times New Roman"/>
          <w:color w:val="404040" w:themeColor="text1" w:themeTint="BF"/>
          <w:sz w:val="18"/>
          <w:szCs w:val="18"/>
          <w:lang w:eastAsia="en-GB"/>
        </w:rPr>
        <w:t xml:space="preserve">  </w:t>
      </w:r>
    </w:p>
  </w:footnote>
  <w:footnote w:id="2">
    <w:p w14:paraId="20408A7C" w14:textId="77777777" w:rsidR="004123A2" w:rsidRPr="00B31ABD" w:rsidRDefault="004123A2" w:rsidP="004123A2">
      <w:pPr>
        <w:pStyle w:val="FootnoteText"/>
      </w:pPr>
      <w:r w:rsidRPr="00A34414">
        <w:rPr>
          <w:rStyle w:val="FootnoteReference"/>
          <w:color w:val="404040" w:themeColor="text1" w:themeTint="BF"/>
          <w:sz w:val="18"/>
          <w:szCs w:val="18"/>
        </w:rPr>
        <w:footnoteRef/>
      </w:r>
      <w:r w:rsidRPr="00B31ABD">
        <w:rPr>
          <w:color w:val="404040" w:themeColor="text1" w:themeTint="BF"/>
          <w:sz w:val="18"/>
          <w:szCs w:val="18"/>
        </w:rPr>
        <w:t xml:space="preserve"> </w:t>
      </w:r>
      <w:r>
        <w:rPr>
          <w:color w:val="404040" w:themeColor="text1" w:themeTint="BF"/>
          <w:sz w:val="18"/>
          <w:szCs w:val="18"/>
        </w:rPr>
        <w:t xml:space="preserve">Agenda item 3(l) available at </w:t>
      </w:r>
      <w:hyperlink r:id="rId2" w:history="1">
        <w:r w:rsidRPr="00E002ED">
          <w:rPr>
            <w:rStyle w:val="Hyperlink"/>
            <w:sz w:val="18"/>
            <w:szCs w:val="18"/>
          </w:rPr>
          <w:t>https://unstats.un.org/unsd/statcom/49th-session/documents/</w:t>
        </w:r>
      </w:hyperlink>
      <w:r>
        <w:rPr>
          <w:color w:val="404040" w:themeColor="text1" w:themeTint="BF"/>
          <w:sz w:val="18"/>
          <w:szCs w:val="18"/>
        </w:rPr>
        <w:t xml:space="preserve">; </w:t>
      </w:r>
      <w:hyperlink r:id="rId3" w:history="1">
        <w:r w:rsidRPr="00960A4B">
          <w:rPr>
            <w:rStyle w:val="Hyperlink"/>
            <w:sz w:val="18"/>
            <w:szCs w:val="18"/>
          </w:rPr>
          <w:t>http://unstats.un.org/unsd/cr/registry/regcs.asp?Cl=5&amp;Lg=1&amp;Co=06.1</w:t>
        </w:r>
      </w:hyperlink>
      <w:r w:rsidR="00960A4B" w:rsidRPr="00960A4B">
        <w:rPr>
          <w:rStyle w:val="Hyperlink"/>
          <w:sz w:val="18"/>
          <w:szCs w:val="18"/>
        </w:rPr>
        <w:t xml:space="preserve"> </w:t>
      </w:r>
    </w:p>
  </w:footnote>
  <w:footnote w:id="3">
    <w:p w14:paraId="670D7AA1" w14:textId="77777777" w:rsidR="009E24D8" w:rsidRPr="00B31ABD" w:rsidRDefault="009E24D8" w:rsidP="00193B55">
      <w:pPr>
        <w:pStyle w:val="FootnoteText"/>
        <w:rPr>
          <w:color w:val="404040" w:themeColor="text1" w:themeTint="BF"/>
          <w:sz w:val="18"/>
          <w:szCs w:val="18"/>
        </w:rPr>
      </w:pPr>
      <w:r w:rsidRPr="00A34414">
        <w:rPr>
          <w:rStyle w:val="FootnoteReference"/>
          <w:color w:val="404040" w:themeColor="text1" w:themeTint="BF"/>
          <w:sz w:val="18"/>
          <w:szCs w:val="18"/>
        </w:rPr>
        <w:footnoteRef/>
      </w:r>
      <w:r w:rsidRPr="00B31ABD">
        <w:rPr>
          <w:color w:val="404040" w:themeColor="text1" w:themeTint="BF"/>
          <w:sz w:val="18"/>
          <w:szCs w:val="18"/>
        </w:rPr>
        <w:t xml:space="preserve"> </w:t>
      </w:r>
      <w:hyperlink r:id="rId4" w:history="1">
        <w:r w:rsidRPr="00960A4B">
          <w:rPr>
            <w:rStyle w:val="Hyperlink"/>
            <w:sz w:val="18"/>
            <w:szCs w:val="18"/>
          </w:rPr>
          <w:t>http://www.ilo.org/public/english/bureau/stat/download/17thicls/r2hies.pdf</w:t>
        </w:r>
      </w:hyperlink>
      <w:r w:rsidR="00960A4B">
        <w:rPr>
          <w:rStyle w:val="Hyperlink"/>
          <w:color w:val="404040" w:themeColor="text1" w:themeTint="BF"/>
          <w:sz w:val="18"/>
          <w:szCs w:val="18"/>
        </w:rPr>
        <w:t xml:space="preserve"> </w:t>
      </w:r>
      <w:r w:rsidRPr="00B31ABD">
        <w:rPr>
          <w:color w:val="404040" w:themeColor="text1" w:themeTint="BF"/>
          <w:sz w:val="18"/>
          <w:szCs w:val="18"/>
        </w:rPr>
        <w:t xml:space="preserve"> </w:t>
      </w:r>
    </w:p>
  </w:footnote>
  <w:footnote w:id="4">
    <w:p w14:paraId="0B266C8D" w14:textId="77777777" w:rsidR="009E24D8" w:rsidRPr="00B31ABD" w:rsidRDefault="009E24D8" w:rsidP="00193B55">
      <w:pPr>
        <w:pStyle w:val="FootnoteText"/>
        <w:rPr>
          <w:sz w:val="14"/>
          <w:szCs w:val="14"/>
        </w:rPr>
      </w:pPr>
      <w:r w:rsidRPr="00A34414">
        <w:rPr>
          <w:rStyle w:val="FootnoteReference"/>
          <w:color w:val="404040" w:themeColor="text1" w:themeTint="BF"/>
          <w:sz w:val="18"/>
          <w:szCs w:val="18"/>
        </w:rPr>
        <w:footnoteRef/>
      </w:r>
      <w:r w:rsidRPr="00B31ABD">
        <w:rPr>
          <w:color w:val="404040" w:themeColor="text1" w:themeTint="BF"/>
          <w:sz w:val="18"/>
          <w:szCs w:val="18"/>
        </w:rPr>
        <w:t xml:space="preserve"> </w:t>
      </w:r>
      <w:hyperlink r:id="rId5" w:history="1">
        <w:r w:rsidRPr="00960A4B">
          <w:rPr>
            <w:rStyle w:val="Hyperlink"/>
            <w:sz w:val="18"/>
            <w:szCs w:val="18"/>
          </w:rPr>
          <w:t>http://unstats.un.org/sdgs/metadata/files/Metadata-01-01-01a.pdf</w:t>
        </w:r>
      </w:hyperlink>
      <w:r w:rsidRPr="00B31ABD">
        <w:rPr>
          <w:color w:val="404040" w:themeColor="text1" w:themeTint="BF"/>
          <w:sz w:val="18"/>
          <w:szCs w:val="18"/>
        </w:rPr>
        <w:t xml:space="preserve"> </w:t>
      </w:r>
      <w:r w:rsidR="00960A4B">
        <w:rPr>
          <w:color w:val="404040" w:themeColor="text1" w:themeTint="BF"/>
          <w:sz w:val="18"/>
          <w:szCs w:val="18"/>
        </w:rPr>
        <w:t xml:space="preserve"> </w:t>
      </w:r>
    </w:p>
  </w:footnote>
  <w:footnote w:id="5">
    <w:p w14:paraId="5C1F0C93" w14:textId="77777777" w:rsidR="00283D1E" w:rsidRDefault="00283D1E" w:rsidP="00283D1E">
      <w:pPr>
        <w:pStyle w:val="FootnoteText"/>
      </w:pPr>
      <w:r>
        <w:rPr>
          <w:rStyle w:val="FootnoteReference"/>
        </w:rPr>
        <w:footnoteRef/>
      </w:r>
      <w:r>
        <w:t xml:space="preserve"> </w:t>
      </w:r>
      <w:r w:rsidRPr="00283D1E">
        <w:rPr>
          <w:rStyle w:val="Hyperlink"/>
          <w:color w:val="404040" w:themeColor="text1" w:themeTint="BF"/>
          <w:sz w:val="18"/>
          <w:szCs w:val="18"/>
        </w:rPr>
        <w:t>Chapter 2 in</w:t>
      </w:r>
      <w:r>
        <w:t xml:space="preserve"> </w:t>
      </w:r>
      <w:r w:rsidRPr="00283D1E">
        <w:rPr>
          <w:rStyle w:val="Hyperlink"/>
          <w:color w:val="404040" w:themeColor="text1" w:themeTint="BF"/>
          <w:sz w:val="18"/>
          <w:szCs w:val="18"/>
        </w:rPr>
        <w:t>“Tracking universal health coverage: 2017 global monitoring report”, World Health Organization and International Bank for Reconstruction and Development/  The World Bank; 2017</w:t>
      </w:r>
      <w:r w:rsidRPr="000C04D9">
        <w:t>;</w:t>
      </w:r>
      <w:r>
        <w:t xml:space="preserve"> </w:t>
      </w:r>
      <w:hyperlink r:id="rId6" w:history="1">
        <w:r w:rsidRPr="00960A4B">
          <w:rPr>
            <w:rStyle w:val="Hyperlink"/>
            <w:sz w:val="18"/>
            <w:szCs w:val="18"/>
          </w:rPr>
          <w:t>http://www.who.int/healthinfo/indicators/2015/en/</w:t>
        </w:r>
      </w:hyperlink>
      <w:r w:rsidR="00960A4B">
        <w:rPr>
          <w:rStyle w:val="Hyperlink"/>
          <w:color w:val="404040" w:themeColor="text1" w:themeTint="BF"/>
          <w:sz w:val="18"/>
          <w:szCs w:val="18"/>
        </w:rPr>
        <w:t xml:space="preserve"> </w:t>
      </w:r>
      <w:r w:rsidRPr="00A34414">
        <w:rPr>
          <w:color w:val="404040" w:themeColor="text1" w:themeTint="BF"/>
          <w:sz w:val="18"/>
          <w:szCs w:val="18"/>
        </w:rPr>
        <w:t xml:space="preserve">; </w:t>
      </w:r>
    </w:p>
  </w:footnote>
  <w:footnote w:id="6">
    <w:p w14:paraId="2E325BD0" w14:textId="77777777" w:rsidR="003821EB" w:rsidRPr="00A34414" w:rsidRDefault="003821EB" w:rsidP="00283D1E">
      <w:pPr>
        <w:pStyle w:val="FootnoteText"/>
        <w:rPr>
          <w:color w:val="404040" w:themeColor="text1" w:themeTint="BF"/>
          <w:sz w:val="18"/>
          <w:szCs w:val="18"/>
        </w:rPr>
      </w:pPr>
      <w:r w:rsidRPr="00A34414">
        <w:rPr>
          <w:rStyle w:val="FootnoteReference"/>
          <w:color w:val="404040" w:themeColor="text1" w:themeTint="BF"/>
          <w:sz w:val="18"/>
          <w:szCs w:val="18"/>
        </w:rPr>
        <w:footnoteRef/>
      </w:r>
      <w:r w:rsidRPr="00A34414">
        <w:rPr>
          <w:rFonts w:cstheme="minorHAnsi"/>
          <w:color w:val="404040" w:themeColor="text1" w:themeTint="BF"/>
          <w:sz w:val="18"/>
          <w:szCs w:val="18"/>
        </w:rPr>
        <w:t xml:space="preserve">Xu, K., Evans, D. B., Carrin, G., Aguilar-Rivera, A. M., Musgrove, P., and Evans, T. (2007), “Protecting Households From Catastrophic Health Spending,” </w:t>
      </w:r>
      <w:r w:rsidRPr="00A34414">
        <w:rPr>
          <w:rFonts w:cstheme="minorHAnsi"/>
          <w:i/>
          <w:iCs/>
          <w:color w:val="404040" w:themeColor="text1" w:themeTint="BF"/>
          <w:sz w:val="18"/>
          <w:szCs w:val="18"/>
        </w:rPr>
        <w:t>Health Affairs</w:t>
      </w:r>
      <w:r w:rsidRPr="00A34414">
        <w:rPr>
          <w:rFonts w:cstheme="minorHAnsi"/>
          <w:color w:val="404040" w:themeColor="text1" w:themeTint="BF"/>
          <w:sz w:val="18"/>
          <w:szCs w:val="18"/>
        </w:rPr>
        <w:t xml:space="preserve">, 26, 972–983. Xu, L., Evans, D., Kawabata, K., Zeramdini, R., Klavus, J., and Murray, C. (2003), “Households Catastrophic Health Expenditure: A Multi-Country Analysis,” </w:t>
      </w:r>
      <w:r w:rsidRPr="00A34414">
        <w:rPr>
          <w:rFonts w:cstheme="minorHAnsi"/>
          <w:i/>
          <w:iCs/>
          <w:color w:val="404040" w:themeColor="text1" w:themeTint="BF"/>
          <w:sz w:val="18"/>
          <w:szCs w:val="18"/>
        </w:rPr>
        <w:t>The Lancet</w:t>
      </w:r>
      <w:r w:rsidRPr="00A34414">
        <w:rPr>
          <w:rFonts w:cstheme="minorHAnsi"/>
          <w:color w:val="404040" w:themeColor="text1" w:themeTint="BF"/>
          <w:sz w:val="18"/>
          <w:szCs w:val="18"/>
        </w:rPr>
        <w:t xml:space="preserve">, 326, 111–117. </w:t>
      </w:r>
    </w:p>
  </w:footnote>
  <w:footnote w:id="7">
    <w:p w14:paraId="5CF9106E" w14:textId="77777777" w:rsidR="009E24D8" w:rsidRPr="00A34414" w:rsidRDefault="009E24D8" w:rsidP="00283D1E">
      <w:pPr>
        <w:pStyle w:val="FootnoteText"/>
        <w:rPr>
          <w:color w:val="404040" w:themeColor="text1" w:themeTint="BF"/>
          <w:sz w:val="18"/>
          <w:szCs w:val="18"/>
        </w:rPr>
      </w:pPr>
      <w:r w:rsidRPr="00A34414">
        <w:rPr>
          <w:rStyle w:val="FootnoteReference"/>
          <w:color w:val="404040" w:themeColor="text1" w:themeTint="BF"/>
          <w:sz w:val="18"/>
          <w:szCs w:val="18"/>
        </w:rPr>
        <w:footnoteRef/>
      </w:r>
      <w:r w:rsidRPr="00A34414">
        <w:rPr>
          <w:color w:val="404040" w:themeColor="text1" w:themeTint="BF"/>
          <w:sz w:val="18"/>
          <w:szCs w:val="18"/>
        </w:rPr>
        <w:t xml:space="preserve"> </w:t>
      </w:r>
      <w:hyperlink r:id="rId7" w:history="1">
        <w:r w:rsidRPr="00960A4B">
          <w:rPr>
            <w:rStyle w:val="Hyperlink"/>
            <w:sz w:val="18"/>
            <w:szCs w:val="18"/>
          </w:rPr>
          <w:t>http://www.euro.who.int/en/health-topics/Health-systems/health-systems-financing/publications/clusters/universal-health-coverage-financial-protection</w:t>
        </w:r>
      </w:hyperlink>
      <w:r w:rsidR="00283D1E" w:rsidRPr="00960A4B">
        <w:rPr>
          <w:rStyle w:val="Hyperlink"/>
        </w:rPr>
        <w:t>;</w:t>
      </w:r>
      <w:hyperlink r:id="rId8" w:history="1">
        <w:r w:rsidR="00283D1E" w:rsidRPr="00960A4B">
          <w:rPr>
            <w:rStyle w:val="Hyperlink"/>
            <w:sz w:val="18"/>
            <w:szCs w:val="18"/>
          </w:rPr>
          <w:t>http://applications.emro.who.int/dsaf/EMROPUB_2016_EN_19169.pdf?ua=1</w:t>
        </w:r>
      </w:hyperlink>
      <w:r w:rsidR="00283D1E" w:rsidRPr="00960A4B">
        <w:rPr>
          <w:rStyle w:val="Hyperlink"/>
        </w:rPr>
        <w:t xml:space="preserve"> ; </w:t>
      </w:r>
      <w:hyperlink r:id="rId9" w:history="1">
        <w:r w:rsidR="00283D1E" w:rsidRPr="00960A4B">
          <w:rPr>
            <w:rStyle w:val="Hyperlink"/>
            <w:sz w:val="18"/>
            <w:szCs w:val="18"/>
          </w:rPr>
          <w:t>http://apps.searo.who.int/uhc</w:t>
        </w:r>
      </w:hyperlink>
      <w:hyperlink r:id="rId10" w:history="1">
        <w:r w:rsidR="00283D1E" w:rsidRPr="00960A4B">
          <w:rPr>
            <w:rStyle w:val="Hyperlink"/>
            <w:sz w:val="18"/>
            <w:szCs w:val="18"/>
          </w:rPr>
          <w:t>http://www.paho.org/hq/index.php?option=com_content&amp;view=article&amp;id=11065%3A2015-universal-health-coverage-latin-america-caribbean&amp;catid=3316%3Apublications&amp;Itemid=3562&amp;lang=en</w:t>
        </w:r>
      </w:hyperlink>
    </w:p>
  </w:footnote>
  <w:footnote w:id="8">
    <w:p w14:paraId="59F82BF1" w14:textId="77777777" w:rsidR="009E24D8" w:rsidRPr="00960A4B" w:rsidRDefault="009E24D8" w:rsidP="00960A4B">
      <w:pPr>
        <w:pStyle w:val="FootnoteText"/>
        <w:rPr>
          <w:rStyle w:val="Hyperlink"/>
          <w:sz w:val="18"/>
          <w:szCs w:val="18"/>
        </w:rPr>
      </w:pPr>
      <w:r>
        <w:rPr>
          <w:rStyle w:val="FootnoteReference"/>
        </w:rPr>
        <w:footnoteRef/>
      </w:r>
      <w:r>
        <w:t xml:space="preserve"> </w:t>
      </w:r>
      <w:r w:rsidR="00960A4B" w:rsidRPr="00960A4B">
        <w:rPr>
          <w:rStyle w:val="Hyperlink"/>
          <w:sz w:val="18"/>
          <w:szCs w:val="18"/>
        </w:rPr>
        <w:t>http://econ.worldbank.org/WBSITE/EXTERNAL/EXTDEC/EXTRESEARCH/EXTLSMS/0,,contentMDK:21610833~pagePK:64168427~piPK:64168435~theSitePK:3358997,00.html</w:t>
      </w:r>
    </w:p>
  </w:footnote>
  <w:footnote w:id="9">
    <w:p w14:paraId="20BAB08B" w14:textId="77777777" w:rsidR="009E24D8" w:rsidRPr="00960A4B" w:rsidRDefault="009E24D8">
      <w:pPr>
        <w:pStyle w:val="FootnoteText"/>
        <w:rPr>
          <w:rStyle w:val="Hyperlink"/>
          <w:sz w:val="18"/>
          <w:szCs w:val="18"/>
        </w:rPr>
      </w:pPr>
      <w:r w:rsidRPr="00960A4B">
        <w:rPr>
          <w:rStyle w:val="Hyperlink"/>
          <w:sz w:val="18"/>
          <w:szCs w:val="18"/>
        </w:rPr>
        <w:footnoteRef/>
      </w:r>
      <w:r w:rsidRPr="00960A4B">
        <w:rPr>
          <w:rStyle w:val="Hyperlink"/>
          <w:sz w:val="18"/>
          <w:szCs w:val="18"/>
        </w:rPr>
        <w:t xml:space="preserve"> A detailed documentation describing the harmonization procedures is available from the accompanying pdf documents</w:t>
      </w:r>
    </w:p>
  </w:footnote>
  <w:footnote w:id="10">
    <w:p w14:paraId="35137EDE" w14:textId="77777777" w:rsidR="009E24D8" w:rsidRPr="00960A4B" w:rsidRDefault="009E24D8">
      <w:pPr>
        <w:pStyle w:val="FootnoteText"/>
        <w:rPr>
          <w:rStyle w:val="Hyperlink"/>
          <w:sz w:val="18"/>
          <w:szCs w:val="18"/>
        </w:rPr>
      </w:pPr>
      <w:r w:rsidRPr="00960A4B">
        <w:rPr>
          <w:rStyle w:val="Hyperlink"/>
          <w:sz w:val="18"/>
          <w:szCs w:val="18"/>
        </w:rPr>
        <w:footnoteRef/>
      </w:r>
      <w:r w:rsidRPr="00960A4B">
        <w:rPr>
          <w:rStyle w:val="Hyperlink"/>
          <w:sz w:val="18"/>
          <w:szCs w:val="18"/>
        </w:rPr>
        <w:t xml:space="preserve"> http://www.lisdatacenter.org/</w:t>
      </w:r>
    </w:p>
  </w:footnote>
  <w:footnote w:id="11">
    <w:p w14:paraId="47F6D13B" w14:textId="77777777" w:rsidR="009E24D8" w:rsidRDefault="009E24D8">
      <w:pPr>
        <w:pStyle w:val="FootnoteText"/>
      </w:pPr>
      <w:r w:rsidRPr="00960A4B">
        <w:rPr>
          <w:rStyle w:val="Hyperlink"/>
          <w:sz w:val="18"/>
          <w:szCs w:val="18"/>
        </w:rPr>
        <w:footnoteRef/>
      </w:r>
      <w:r w:rsidRPr="00960A4B">
        <w:rPr>
          <w:rStyle w:val="Hyperlink"/>
          <w:sz w:val="18"/>
          <w:szCs w:val="18"/>
        </w:rPr>
        <w:t xml:space="preserve"> </w:t>
      </w:r>
      <w:hyperlink r:id="rId11" w:history="1">
        <w:r w:rsidRPr="00960A4B">
          <w:rPr>
            <w:rStyle w:val="Hyperlink"/>
            <w:sz w:val="18"/>
            <w:szCs w:val="18"/>
          </w:rPr>
          <w:t>http://unstats.un.org/sdgs/metadata/files/Metadata-01-01-01a.pdf</w:t>
        </w:r>
      </w:hyperlink>
    </w:p>
  </w:footnote>
  <w:footnote w:id="12">
    <w:p w14:paraId="62C5A251" w14:textId="77777777" w:rsidR="009E24D8" w:rsidRPr="00C4496A" w:rsidRDefault="009E24D8" w:rsidP="00960A4B">
      <w:pPr>
        <w:pStyle w:val="FootnoteText"/>
        <w:rPr>
          <w:sz w:val="18"/>
          <w:szCs w:val="18"/>
          <w:lang w:val="en-US"/>
        </w:rPr>
      </w:pPr>
      <w:r w:rsidRPr="00391348">
        <w:rPr>
          <w:rStyle w:val="FootnoteReference"/>
          <w:color w:val="404040" w:themeColor="text1" w:themeTint="BF"/>
          <w:sz w:val="18"/>
          <w:szCs w:val="18"/>
        </w:rPr>
        <w:footnoteRef/>
      </w:r>
      <w:r w:rsidRPr="00391348">
        <w:rPr>
          <w:color w:val="404040" w:themeColor="text1" w:themeTint="BF"/>
          <w:sz w:val="18"/>
          <w:szCs w:val="18"/>
        </w:rPr>
        <w:t xml:space="preserve"> </w:t>
      </w:r>
      <w:r w:rsidRPr="00391348">
        <w:rPr>
          <w:rFonts w:eastAsia="TT15Ct00" w:cstheme="minorHAnsi"/>
          <w:color w:val="404040" w:themeColor="text1" w:themeTint="BF"/>
          <w:sz w:val="18"/>
          <w:szCs w:val="18"/>
        </w:rPr>
        <w:t xml:space="preserve">One example is the WHO engagement in the ongoing revision of COICOP by UNSD </w:t>
      </w:r>
      <w:r w:rsidRPr="00391348">
        <w:rPr>
          <w:color w:val="404040" w:themeColor="text1" w:themeTint="BF"/>
          <w:sz w:val="18"/>
          <w:szCs w:val="18"/>
        </w:rPr>
        <w:t xml:space="preserve"> </w:t>
      </w:r>
      <w:hyperlink r:id="rId12" w:history="1">
        <w:r w:rsidRPr="00E002ED">
          <w:rPr>
            <w:rStyle w:val="Hyperlink"/>
            <w:sz w:val="18"/>
            <w:szCs w:val="18"/>
          </w:rPr>
          <w:t>https://unstats.un.org/unsd/class/revisions/coicop_revision.asp</w:t>
        </w:r>
      </w:hyperlink>
      <w:r>
        <w:rPr>
          <w:color w:val="404040" w:themeColor="text1" w:themeTint="BF"/>
          <w:sz w:val="18"/>
          <w:szCs w:val="18"/>
        </w:rPr>
        <w:t xml:space="preserve"> </w:t>
      </w:r>
      <w:r w:rsidRPr="00391348">
        <w:rPr>
          <w:rFonts w:eastAsia="TT15Ct00" w:cstheme="minorHAnsi"/>
          <w:color w:val="404040" w:themeColor="text1" w:themeTint="BF"/>
          <w:sz w:val="18"/>
          <w:szCs w:val="18"/>
        </w:rPr>
        <w:t>. Another example is a BMGF project WHO is supporting  to improve the measurement of household health expenditures</w:t>
      </w:r>
      <w:r w:rsidR="00960A4B">
        <w:rPr>
          <w:rFonts w:eastAsia="TT15Ct00" w:cstheme="minorHAnsi"/>
          <w:color w:val="404040" w:themeColor="text1" w:themeTint="BF"/>
          <w:sz w:val="18"/>
          <w:szCs w:val="18"/>
        </w:rPr>
        <w:t xml:space="preserve"> </w:t>
      </w:r>
      <w:r w:rsidR="00960A4B" w:rsidRPr="00391348">
        <w:rPr>
          <w:rFonts w:eastAsia="TT15Ct00" w:cstheme="minorHAnsi"/>
          <w:color w:val="404040" w:themeColor="text1" w:themeTint="BF"/>
          <w:sz w:val="18"/>
          <w:szCs w:val="18"/>
        </w:rPr>
        <w:t xml:space="preserve"> </w:t>
      </w:r>
      <w:hyperlink r:id="rId13" w:history="1">
        <w:r w:rsidR="00960A4B" w:rsidRPr="00960A4B">
          <w:rPr>
            <w:rStyle w:val="Hyperlink"/>
            <w:sz w:val="18"/>
            <w:szCs w:val="18"/>
          </w:rPr>
          <w:t>http://www.indepth-network.org/projects/ihope</w:t>
        </w:r>
      </w:hyperlink>
      <w:r w:rsidR="00960A4B">
        <w:rPr>
          <w:rStyle w:val="Hyperlink"/>
          <w:color w:val="404040" w:themeColor="text1" w:themeTint="BF"/>
          <w:sz w:val="18"/>
          <w:szCs w:val="18"/>
        </w:rPr>
        <w:t xml:space="preserve">    </w:t>
      </w:r>
      <w:r>
        <w:rPr>
          <w:rStyle w:val="Hyperlink"/>
          <w:color w:val="404040" w:themeColor="text1" w:themeTint="BF"/>
          <w:sz w:val="18"/>
          <w:szCs w:val="18"/>
        </w:rPr>
        <w:t xml:space="preserve">  </w:t>
      </w:r>
    </w:p>
  </w:footnote>
  <w:footnote w:id="13">
    <w:p w14:paraId="52F0EE1E" w14:textId="77777777" w:rsidR="009E24D8" w:rsidRPr="00960A4B" w:rsidRDefault="009E24D8">
      <w:pPr>
        <w:pStyle w:val="FootnoteText"/>
        <w:rPr>
          <w:sz w:val="18"/>
          <w:szCs w:val="18"/>
        </w:rPr>
      </w:pPr>
      <w:r w:rsidRPr="00960A4B">
        <w:rPr>
          <w:rStyle w:val="FootnoteReference"/>
          <w:sz w:val="18"/>
          <w:szCs w:val="18"/>
        </w:rPr>
        <w:footnoteRef/>
      </w:r>
      <w:r w:rsidRPr="00960A4B">
        <w:rPr>
          <w:sz w:val="18"/>
          <w:szCs w:val="18"/>
        </w:rPr>
        <w:t xml:space="preserve"> </w:t>
      </w:r>
      <w:hyperlink r:id="rId14" w:history="1">
        <w:r w:rsidR="00960A4B" w:rsidRPr="00960A4B">
          <w:rPr>
            <w:rStyle w:val="Hyperlink"/>
            <w:sz w:val="18"/>
            <w:szCs w:val="18"/>
          </w:rPr>
          <w:t>http://iresearch.worldbank.org/PovcalNet/povOnDemand.aspx</w:t>
        </w:r>
      </w:hyperlink>
      <w:r w:rsidR="00960A4B" w:rsidRPr="00960A4B">
        <w:rPr>
          <w:sz w:val="18"/>
          <w:szCs w:val="18"/>
        </w:rPr>
        <w:t xml:space="preserve"> </w:t>
      </w:r>
    </w:p>
  </w:footnote>
  <w:footnote w:id="14">
    <w:p w14:paraId="7FEBD5ED" w14:textId="77777777" w:rsidR="009E24D8" w:rsidRDefault="009E24D8">
      <w:pPr>
        <w:pStyle w:val="FootnoteText"/>
      </w:pPr>
      <w:r w:rsidRPr="00960A4B">
        <w:rPr>
          <w:rStyle w:val="FootnoteReference"/>
          <w:sz w:val="18"/>
          <w:szCs w:val="18"/>
        </w:rPr>
        <w:footnoteRef/>
      </w:r>
      <w:r w:rsidRPr="00960A4B">
        <w:rPr>
          <w:sz w:val="18"/>
          <w:szCs w:val="18"/>
        </w:rPr>
        <w:t xml:space="preserve"> </w:t>
      </w:r>
      <w:hyperlink r:id="rId15" w:history="1">
        <w:r w:rsidR="00960A4B" w:rsidRPr="00960A4B">
          <w:rPr>
            <w:rStyle w:val="Hyperlink"/>
            <w:sz w:val="18"/>
            <w:szCs w:val="18"/>
          </w:rPr>
          <w:t>https://datacatalog.worldbank.org/dataset/world-development-indicators</w:t>
        </w:r>
      </w:hyperlink>
      <w:r w:rsidR="00960A4B">
        <w:t xml:space="preserve"> </w:t>
      </w:r>
    </w:p>
  </w:footnote>
  <w:footnote w:id="15">
    <w:p w14:paraId="157AEDEB" w14:textId="77777777" w:rsidR="009E24D8" w:rsidRPr="00960A4B" w:rsidRDefault="009E24D8">
      <w:pPr>
        <w:pStyle w:val="FootnoteText"/>
        <w:rPr>
          <w:sz w:val="18"/>
          <w:szCs w:val="18"/>
        </w:rPr>
      </w:pPr>
      <w:r w:rsidRPr="00960A4B">
        <w:rPr>
          <w:rStyle w:val="FootnoteReference"/>
          <w:sz w:val="18"/>
          <w:szCs w:val="18"/>
        </w:rPr>
        <w:footnoteRef/>
      </w:r>
      <w:r w:rsidRPr="00960A4B">
        <w:rPr>
          <w:sz w:val="18"/>
          <w:szCs w:val="18"/>
        </w:rPr>
        <w:t xml:space="preserve"> </w:t>
      </w:r>
      <w:hyperlink r:id="rId16" w:history="1">
        <w:r w:rsidR="00AC773F" w:rsidRPr="00960A4B">
          <w:rPr>
            <w:rStyle w:val="Hyperlink"/>
            <w:sz w:val="18"/>
            <w:szCs w:val="18"/>
          </w:rPr>
          <w:t>http://www.who.int/health-accounts/ghed/en/</w:t>
        </w:r>
      </w:hyperlink>
      <w:r w:rsidR="00AC773F" w:rsidRPr="00960A4B">
        <w:rPr>
          <w:sz w:val="18"/>
          <w:szCs w:val="18"/>
        </w:rPr>
        <w:t xml:space="preserve"> </w:t>
      </w:r>
    </w:p>
  </w:footnote>
  <w:footnote w:id="16">
    <w:p w14:paraId="28061DEC" w14:textId="77777777" w:rsidR="009E24D8" w:rsidRDefault="009E24D8">
      <w:pPr>
        <w:pStyle w:val="FootnoteText"/>
      </w:pPr>
      <w:r w:rsidRPr="00960A4B">
        <w:rPr>
          <w:rStyle w:val="FootnoteReference"/>
          <w:sz w:val="18"/>
          <w:szCs w:val="18"/>
        </w:rPr>
        <w:footnoteRef/>
      </w:r>
      <w:r w:rsidRPr="00960A4B">
        <w:rPr>
          <w:sz w:val="18"/>
          <w:szCs w:val="18"/>
        </w:rPr>
        <w:t xml:space="preserve"> </w:t>
      </w:r>
      <w:hyperlink r:id="rId17" w:history="1">
        <w:r w:rsidR="00AC773F" w:rsidRPr="00960A4B">
          <w:rPr>
            <w:rStyle w:val="Hyperlink"/>
            <w:sz w:val="18"/>
            <w:szCs w:val="18"/>
          </w:rPr>
          <w:t>https://datacatalog.worldbank.org/dataset/world-development-indicators</w:t>
        </w:r>
      </w:hyperlink>
      <w:r w:rsidR="00AC773F">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64A3A" w14:textId="77777777" w:rsidR="0020117B" w:rsidRDefault="002011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89285" w14:textId="00482DC6" w:rsidR="007E7BCB" w:rsidRPr="00757E8A" w:rsidRDefault="007E7BCB" w:rsidP="007E7BCB">
    <w:pPr>
      <w:pStyle w:val="Header"/>
      <w:jc w:val="right"/>
      <w:rPr>
        <w:color w:val="404040" w:themeColor="text1" w:themeTint="BF"/>
        <w:sz w:val="18"/>
        <w:szCs w:val="18"/>
      </w:rPr>
    </w:pPr>
    <w:bookmarkStart w:id="25" w:name="_Hlk506197003"/>
    <w:bookmarkStart w:id="26" w:name="_Hlk506197004"/>
    <w:bookmarkStart w:id="27" w:name="_Hlk506197005"/>
    <w:r w:rsidRPr="00757E8A">
      <w:rPr>
        <w:color w:val="404040" w:themeColor="text1" w:themeTint="BF"/>
        <w:sz w:val="18"/>
        <w:szCs w:val="18"/>
      </w:rPr>
      <w:t xml:space="preserve">Last updated: </w:t>
    </w:r>
    <w:bookmarkEnd w:id="25"/>
    <w:bookmarkEnd w:id="26"/>
    <w:bookmarkEnd w:id="27"/>
    <w:r w:rsidR="0020117B">
      <w:rPr>
        <w:noProof/>
        <w:color w:val="404040" w:themeColor="text1" w:themeTint="BF"/>
        <w:sz w:val="18"/>
        <w:szCs w:val="18"/>
      </w:rPr>
      <w:t>March 2019</w:t>
    </w:r>
  </w:p>
  <w:p w14:paraId="6C25FDD2" w14:textId="77777777" w:rsidR="007E7BCB" w:rsidRDefault="007E7B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4ECFA" w14:textId="77777777" w:rsidR="0020117B" w:rsidRDefault="002011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227C3"/>
    <w:multiLevelType w:val="hybridMultilevel"/>
    <w:tmpl w:val="378C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31DE6"/>
    <w:multiLevelType w:val="hybridMultilevel"/>
    <w:tmpl w:val="85349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9E0FEA"/>
    <w:multiLevelType w:val="hybridMultilevel"/>
    <w:tmpl w:val="617E7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B54980"/>
    <w:multiLevelType w:val="hybridMultilevel"/>
    <w:tmpl w:val="0AC6B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0671FB"/>
    <w:multiLevelType w:val="hybridMultilevel"/>
    <w:tmpl w:val="D988EF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3"/>
  </w:num>
  <w:num w:numId="5">
    <w:abstractNumId w:val="1"/>
  </w:num>
  <w:num w:numId="6">
    <w:abstractNumId w:val="6"/>
  </w:num>
  <w:num w:numId="7">
    <w:abstractNumId w:val="5"/>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yMzQ0NzQ2NTc0MrBQ0lEKTi0uzszPAykwqgUAiXDAziwAAAA="/>
  </w:docVars>
  <w:rsids>
    <w:rsidRoot w:val="00193B55"/>
    <w:rsid w:val="000144A5"/>
    <w:rsid w:val="000335AE"/>
    <w:rsid w:val="00034142"/>
    <w:rsid w:val="00044F09"/>
    <w:rsid w:val="00055A5B"/>
    <w:rsid w:val="0006034C"/>
    <w:rsid w:val="00094B68"/>
    <w:rsid w:val="00097864"/>
    <w:rsid w:val="000B0EFF"/>
    <w:rsid w:val="000C04D9"/>
    <w:rsid w:val="000C6778"/>
    <w:rsid w:val="000D15F4"/>
    <w:rsid w:val="000F61FD"/>
    <w:rsid w:val="00102004"/>
    <w:rsid w:val="00130173"/>
    <w:rsid w:val="00136186"/>
    <w:rsid w:val="00146A11"/>
    <w:rsid w:val="001573C3"/>
    <w:rsid w:val="00163AC0"/>
    <w:rsid w:val="001741A0"/>
    <w:rsid w:val="00193B55"/>
    <w:rsid w:val="001A6691"/>
    <w:rsid w:val="001B13CD"/>
    <w:rsid w:val="001B508F"/>
    <w:rsid w:val="001C088E"/>
    <w:rsid w:val="0020117B"/>
    <w:rsid w:val="00283D1E"/>
    <w:rsid w:val="002B0655"/>
    <w:rsid w:val="002B42D1"/>
    <w:rsid w:val="002D1588"/>
    <w:rsid w:val="002D3899"/>
    <w:rsid w:val="002D56CC"/>
    <w:rsid w:val="002D7EAC"/>
    <w:rsid w:val="00306FB3"/>
    <w:rsid w:val="00321B2D"/>
    <w:rsid w:val="00327CBA"/>
    <w:rsid w:val="00333648"/>
    <w:rsid w:val="00360BEB"/>
    <w:rsid w:val="00364AA2"/>
    <w:rsid w:val="003821EB"/>
    <w:rsid w:val="003D7B60"/>
    <w:rsid w:val="00401218"/>
    <w:rsid w:val="004123A2"/>
    <w:rsid w:val="00415B35"/>
    <w:rsid w:val="0046701D"/>
    <w:rsid w:val="0046761A"/>
    <w:rsid w:val="00482E30"/>
    <w:rsid w:val="004929A2"/>
    <w:rsid w:val="00510582"/>
    <w:rsid w:val="00532100"/>
    <w:rsid w:val="00580238"/>
    <w:rsid w:val="00582148"/>
    <w:rsid w:val="005D13E1"/>
    <w:rsid w:val="00617B07"/>
    <w:rsid w:val="006321A7"/>
    <w:rsid w:val="006756CE"/>
    <w:rsid w:val="006A4F09"/>
    <w:rsid w:val="006D47BE"/>
    <w:rsid w:val="006E2E21"/>
    <w:rsid w:val="0072455A"/>
    <w:rsid w:val="00744FF3"/>
    <w:rsid w:val="007714C2"/>
    <w:rsid w:val="007A7AAA"/>
    <w:rsid w:val="007B7FE4"/>
    <w:rsid w:val="007E7BCB"/>
    <w:rsid w:val="00821CD4"/>
    <w:rsid w:val="008276FE"/>
    <w:rsid w:val="008557EC"/>
    <w:rsid w:val="0088341F"/>
    <w:rsid w:val="00892B96"/>
    <w:rsid w:val="0089606F"/>
    <w:rsid w:val="008A3B3C"/>
    <w:rsid w:val="008A56B9"/>
    <w:rsid w:val="008B66FE"/>
    <w:rsid w:val="00901041"/>
    <w:rsid w:val="009067EE"/>
    <w:rsid w:val="00915F2E"/>
    <w:rsid w:val="009269B7"/>
    <w:rsid w:val="00934BDC"/>
    <w:rsid w:val="00943562"/>
    <w:rsid w:val="00960A4B"/>
    <w:rsid w:val="00972EF8"/>
    <w:rsid w:val="009804DB"/>
    <w:rsid w:val="009E24D8"/>
    <w:rsid w:val="009F5115"/>
    <w:rsid w:val="00A119D0"/>
    <w:rsid w:val="00A85EF7"/>
    <w:rsid w:val="00A94B35"/>
    <w:rsid w:val="00AB51A6"/>
    <w:rsid w:val="00AC3CE7"/>
    <w:rsid w:val="00AC5DA0"/>
    <w:rsid w:val="00AC773F"/>
    <w:rsid w:val="00AD007D"/>
    <w:rsid w:val="00B014B4"/>
    <w:rsid w:val="00B31ABD"/>
    <w:rsid w:val="00B423F9"/>
    <w:rsid w:val="00BA66C5"/>
    <w:rsid w:val="00BC012E"/>
    <w:rsid w:val="00BC4596"/>
    <w:rsid w:val="00BD194D"/>
    <w:rsid w:val="00BF09AB"/>
    <w:rsid w:val="00C11405"/>
    <w:rsid w:val="00C315A9"/>
    <w:rsid w:val="00C66D60"/>
    <w:rsid w:val="00C7474E"/>
    <w:rsid w:val="00C74DBD"/>
    <w:rsid w:val="00C8036C"/>
    <w:rsid w:val="00CA6EB1"/>
    <w:rsid w:val="00CE5868"/>
    <w:rsid w:val="00D20E66"/>
    <w:rsid w:val="00D233BF"/>
    <w:rsid w:val="00D477DE"/>
    <w:rsid w:val="00D54BC9"/>
    <w:rsid w:val="00D76961"/>
    <w:rsid w:val="00D860D5"/>
    <w:rsid w:val="00D863FD"/>
    <w:rsid w:val="00D92405"/>
    <w:rsid w:val="00D961C1"/>
    <w:rsid w:val="00DA34ED"/>
    <w:rsid w:val="00DA74A7"/>
    <w:rsid w:val="00DC1FE8"/>
    <w:rsid w:val="00DD626B"/>
    <w:rsid w:val="00DF4A64"/>
    <w:rsid w:val="00E121C6"/>
    <w:rsid w:val="00E31B58"/>
    <w:rsid w:val="00E3343B"/>
    <w:rsid w:val="00E7162E"/>
    <w:rsid w:val="00E95866"/>
    <w:rsid w:val="00EA2011"/>
    <w:rsid w:val="00EC75CE"/>
    <w:rsid w:val="00EF00EE"/>
    <w:rsid w:val="00F02593"/>
    <w:rsid w:val="00F04DDB"/>
    <w:rsid w:val="00F07721"/>
    <w:rsid w:val="00F1296A"/>
    <w:rsid w:val="00F75FB2"/>
    <w:rsid w:val="00F94C23"/>
    <w:rsid w:val="00F9547C"/>
    <w:rsid w:val="00FB7B8D"/>
    <w:rsid w:val="00FC4F9C"/>
    <w:rsid w:val="00FE73B4"/>
    <w:rsid w:val="00FF405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4DD67"/>
  <w15:docId w15:val="{4E220391-8166-403D-A37D-F6BC3E104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3B55"/>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93B55"/>
    <w:rPr>
      <w:sz w:val="20"/>
      <w:szCs w:val="20"/>
    </w:rPr>
  </w:style>
  <w:style w:type="character" w:customStyle="1" w:styleId="FootnoteTextChar">
    <w:name w:val="Footnote Text Char"/>
    <w:basedOn w:val="DefaultParagraphFont"/>
    <w:link w:val="FootnoteText"/>
    <w:uiPriority w:val="99"/>
    <w:semiHidden/>
    <w:rsid w:val="00193B55"/>
    <w:rPr>
      <w:sz w:val="20"/>
      <w:szCs w:val="20"/>
    </w:rPr>
  </w:style>
  <w:style w:type="character" w:styleId="FootnoteReference">
    <w:name w:val="footnote reference"/>
    <w:basedOn w:val="DefaultParagraphFont"/>
    <w:uiPriority w:val="99"/>
    <w:semiHidden/>
    <w:unhideWhenUsed/>
    <w:rsid w:val="00193B55"/>
    <w:rPr>
      <w:vertAlign w:val="superscript"/>
    </w:rPr>
  </w:style>
  <w:style w:type="character" w:styleId="Hyperlink">
    <w:name w:val="Hyperlink"/>
    <w:basedOn w:val="DefaultParagraphFont"/>
    <w:uiPriority w:val="99"/>
    <w:unhideWhenUsed/>
    <w:rsid w:val="00193B55"/>
    <w:rPr>
      <w:color w:val="0000FF" w:themeColor="hyperlink"/>
      <w:u w:val="single"/>
    </w:rPr>
  </w:style>
  <w:style w:type="table" w:styleId="TableGrid">
    <w:name w:val="Table Grid"/>
    <w:basedOn w:val="TableNormal"/>
    <w:uiPriority w:val="59"/>
    <w:rsid w:val="00193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93B55"/>
    <w:pPr>
      <w:tabs>
        <w:tab w:val="center" w:pos="4513"/>
        <w:tab w:val="right" w:pos="9026"/>
      </w:tabs>
    </w:pPr>
  </w:style>
  <w:style w:type="character" w:customStyle="1" w:styleId="FooterChar">
    <w:name w:val="Footer Char"/>
    <w:basedOn w:val="DefaultParagraphFont"/>
    <w:link w:val="Footer"/>
    <w:uiPriority w:val="99"/>
    <w:rsid w:val="00193B55"/>
  </w:style>
  <w:style w:type="paragraph" w:styleId="BalloonText">
    <w:name w:val="Balloon Text"/>
    <w:basedOn w:val="Normal"/>
    <w:link w:val="BalloonTextChar"/>
    <w:uiPriority w:val="99"/>
    <w:semiHidden/>
    <w:unhideWhenUsed/>
    <w:rsid w:val="00193B55"/>
    <w:rPr>
      <w:rFonts w:ascii="Tahoma" w:hAnsi="Tahoma" w:cs="Tahoma"/>
      <w:sz w:val="16"/>
      <w:szCs w:val="16"/>
    </w:rPr>
  </w:style>
  <w:style w:type="character" w:customStyle="1" w:styleId="BalloonTextChar">
    <w:name w:val="Balloon Text Char"/>
    <w:basedOn w:val="DefaultParagraphFont"/>
    <w:link w:val="BalloonText"/>
    <w:uiPriority w:val="99"/>
    <w:semiHidden/>
    <w:rsid w:val="00193B55"/>
    <w:rPr>
      <w:rFonts w:ascii="Tahoma" w:hAnsi="Tahoma" w:cs="Tahoma"/>
      <w:sz w:val="16"/>
      <w:szCs w:val="16"/>
    </w:rPr>
  </w:style>
  <w:style w:type="paragraph" w:styleId="ListParagraph">
    <w:name w:val="List Paragraph"/>
    <w:basedOn w:val="Normal"/>
    <w:uiPriority w:val="34"/>
    <w:qFormat/>
    <w:rsid w:val="00415B35"/>
    <w:pPr>
      <w:spacing w:after="200" w:line="276" w:lineRule="auto"/>
      <w:ind w:left="720"/>
      <w:contextualSpacing/>
    </w:pPr>
  </w:style>
  <w:style w:type="character" w:styleId="CommentReference">
    <w:name w:val="annotation reference"/>
    <w:basedOn w:val="DefaultParagraphFont"/>
    <w:uiPriority w:val="99"/>
    <w:semiHidden/>
    <w:unhideWhenUsed/>
    <w:rsid w:val="00130173"/>
    <w:rPr>
      <w:sz w:val="16"/>
      <w:szCs w:val="16"/>
    </w:rPr>
  </w:style>
  <w:style w:type="paragraph" w:styleId="CommentText">
    <w:name w:val="annotation text"/>
    <w:basedOn w:val="Normal"/>
    <w:link w:val="CommentTextChar"/>
    <w:uiPriority w:val="99"/>
    <w:semiHidden/>
    <w:unhideWhenUsed/>
    <w:rsid w:val="00130173"/>
    <w:rPr>
      <w:sz w:val="20"/>
      <w:szCs w:val="20"/>
    </w:rPr>
  </w:style>
  <w:style w:type="character" w:customStyle="1" w:styleId="CommentTextChar">
    <w:name w:val="Comment Text Char"/>
    <w:basedOn w:val="DefaultParagraphFont"/>
    <w:link w:val="CommentText"/>
    <w:uiPriority w:val="99"/>
    <w:semiHidden/>
    <w:rsid w:val="00130173"/>
    <w:rPr>
      <w:sz w:val="20"/>
      <w:szCs w:val="20"/>
    </w:rPr>
  </w:style>
  <w:style w:type="paragraph" w:styleId="CommentSubject">
    <w:name w:val="annotation subject"/>
    <w:basedOn w:val="CommentText"/>
    <w:next w:val="CommentText"/>
    <w:link w:val="CommentSubjectChar"/>
    <w:uiPriority w:val="99"/>
    <w:semiHidden/>
    <w:unhideWhenUsed/>
    <w:rsid w:val="00130173"/>
    <w:rPr>
      <w:b/>
      <w:bCs/>
    </w:rPr>
  </w:style>
  <w:style w:type="character" w:customStyle="1" w:styleId="CommentSubjectChar">
    <w:name w:val="Comment Subject Char"/>
    <w:basedOn w:val="CommentTextChar"/>
    <w:link w:val="CommentSubject"/>
    <w:uiPriority w:val="99"/>
    <w:semiHidden/>
    <w:rsid w:val="00130173"/>
    <w:rPr>
      <w:b/>
      <w:bCs/>
      <w:sz w:val="20"/>
      <w:szCs w:val="20"/>
    </w:rPr>
  </w:style>
  <w:style w:type="character" w:styleId="FollowedHyperlink">
    <w:name w:val="FollowedHyperlink"/>
    <w:basedOn w:val="DefaultParagraphFont"/>
    <w:uiPriority w:val="99"/>
    <w:semiHidden/>
    <w:unhideWhenUsed/>
    <w:rsid w:val="000C04D9"/>
    <w:rPr>
      <w:color w:val="800080" w:themeColor="followedHyperlink"/>
      <w:u w:val="single"/>
    </w:rPr>
  </w:style>
  <w:style w:type="paragraph" w:customStyle="1" w:styleId="MHeader">
    <w:name w:val="M.Header"/>
    <w:basedOn w:val="Normal"/>
    <w:link w:val="MHeaderChar"/>
    <w:qFormat/>
    <w:rsid w:val="007E7BCB"/>
    <w:pPr>
      <w:pBdr>
        <w:bottom w:val="single" w:sz="12" w:space="4" w:color="DDDDDD"/>
      </w:pBdr>
      <w:shd w:val="clear" w:color="auto" w:fill="FFFFFF"/>
      <w:spacing w:line="276" w:lineRule="auto"/>
      <w:outlineLvl w:val="2"/>
    </w:pPr>
    <w:rPr>
      <w:rFonts w:eastAsia="Times New Roman" w:cs="Times New Roman"/>
      <w:color w:val="1C75BC"/>
      <w:sz w:val="36"/>
      <w:szCs w:val="36"/>
      <w:lang w:eastAsia="en-GB"/>
    </w:rPr>
  </w:style>
  <w:style w:type="paragraph" w:customStyle="1" w:styleId="MText">
    <w:name w:val="M.Text"/>
    <w:basedOn w:val="Normal"/>
    <w:link w:val="MTextChar"/>
    <w:qFormat/>
    <w:rsid w:val="007E7BCB"/>
    <w:pPr>
      <w:shd w:val="clear" w:color="auto" w:fill="FFFFFF"/>
      <w:spacing w:line="276" w:lineRule="auto"/>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7E7BCB"/>
    <w:rPr>
      <w:rFonts w:eastAsia="Times New Roman" w:cs="Times New Roman"/>
      <w:color w:val="1C75BC"/>
      <w:sz w:val="36"/>
      <w:szCs w:val="36"/>
      <w:shd w:val="clear" w:color="auto" w:fill="FFFFFF"/>
      <w:lang w:eastAsia="en-GB"/>
    </w:rPr>
  </w:style>
  <w:style w:type="paragraph" w:customStyle="1" w:styleId="MSubHeader">
    <w:name w:val="M.Sub.Header"/>
    <w:basedOn w:val="Normal"/>
    <w:link w:val="MSubHeaderChar"/>
    <w:qFormat/>
    <w:rsid w:val="007E7BCB"/>
    <w:pPr>
      <w:shd w:val="clear" w:color="auto" w:fill="FFFFFF"/>
      <w:spacing w:line="276" w:lineRule="auto"/>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7E7BC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7E7BCB"/>
    <w:pPr>
      <w:shd w:val="clear" w:color="auto" w:fill="F5F5F5"/>
      <w:spacing w:line="276"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7E7BC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7E7BCB"/>
    <w:pPr>
      <w:shd w:val="clear" w:color="auto" w:fill="F5F5F5"/>
      <w:spacing w:line="276" w:lineRule="auto"/>
      <w:outlineLvl w:val="1"/>
    </w:pPr>
    <w:rPr>
      <w:rFonts w:eastAsia="Times New Roman" w:cs="Times New Roman"/>
      <w:color w:val="1C75BC"/>
      <w:lang w:eastAsia="en-GB"/>
    </w:rPr>
  </w:style>
  <w:style w:type="character" w:customStyle="1" w:styleId="MGTHeaderChar">
    <w:name w:val="M.G+T.Header Char"/>
    <w:basedOn w:val="DefaultParagraphFont"/>
    <w:link w:val="MGTHeader"/>
    <w:rsid w:val="007E7BCB"/>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7E7BCB"/>
    <w:rPr>
      <w:rFonts w:eastAsia="Times New Roman" w:cs="Times New Roman"/>
      <w:color w:val="1C75BC"/>
      <w:shd w:val="clear" w:color="auto" w:fill="F5F5F5"/>
      <w:lang w:eastAsia="en-GB"/>
    </w:rPr>
  </w:style>
  <w:style w:type="paragraph" w:styleId="Header">
    <w:name w:val="header"/>
    <w:basedOn w:val="Normal"/>
    <w:link w:val="HeaderChar"/>
    <w:uiPriority w:val="99"/>
    <w:unhideWhenUsed/>
    <w:rsid w:val="007E7BCB"/>
    <w:pPr>
      <w:tabs>
        <w:tab w:val="center" w:pos="4680"/>
        <w:tab w:val="right" w:pos="9360"/>
      </w:tabs>
    </w:pPr>
  </w:style>
  <w:style w:type="character" w:customStyle="1" w:styleId="HeaderChar">
    <w:name w:val="Header Char"/>
    <w:basedOn w:val="DefaultParagraphFont"/>
    <w:link w:val="Header"/>
    <w:uiPriority w:val="99"/>
    <w:rsid w:val="007E7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79835">
      <w:bodyDiv w:val="1"/>
      <w:marLeft w:val="0"/>
      <w:marRight w:val="0"/>
      <w:marTop w:val="0"/>
      <w:marBottom w:val="0"/>
      <w:divBdr>
        <w:top w:val="none" w:sz="0" w:space="0" w:color="auto"/>
        <w:left w:val="none" w:sz="0" w:space="0" w:color="auto"/>
        <w:bottom w:val="none" w:sz="0" w:space="0" w:color="auto"/>
        <w:right w:val="none" w:sz="0" w:space="0" w:color="auto"/>
      </w:divBdr>
    </w:div>
    <w:div w:id="549809778">
      <w:bodyDiv w:val="1"/>
      <w:marLeft w:val="0"/>
      <w:marRight w:val="0"/>
      <w:marTop w:val="0"/>
      <w:marBottom w:val="0"/>
      <w:divBdr>
        <w:top w:val="none" w:sz="0" w:space="0" w:color="auto"/>
        <w:left w:val="none" w:sz="0" w:space="0" w:color="auto"/>
        <w:bottom w:val="none" w:sz="0" w:space="0" w:color="auto"/>
        <w:right w:val="none" w:sz="0" w:space="0" w:color="auto"/>
      </w:divBdr>
    </w:div>
    <w:div w:id="1828747803">
      <w:bodyDiv w:val="1"/>
      <w:marLeft w:val="0"/>
      <w:marRight w:val="0"/>
      <w:marTop w:val="0"/>
      <w:marBottom w:val="0"/>
      <w:divBdr>
        <w:top w:val="none" w:sz="0" w:space="0" w:color="auto"/>
        <w:left w:val="none" w:sz="0" w:space="0" w:color="auto"/>
        <w:bottom w:val="none" w:sz="0" w:space="0" w:color="auto"/>
        <w:right w:val="none" w:sz="0" w:space="0" w:color="auto"/>
      </w:divBdr>
    </w:div>
    <w:div w:id="207889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o.int/health-accounts/methodology/en/." TargetMode="External"/><Relationship Id="rId13" Type="http://schemas.openxmlformats.org/officeDocument/2006/relationships/hyperlink" Target="http://www.who.int/healthinfo/universal_health_coverage/report/2017/en/" TargetMode="External"/><Relationship Id="rId18" Type="http://schemas.openxmlformats.org/officeDocument/2006/relationships/hyperlink" Target="http://www.oecd-ilibrary.org/social-issues-migration-health/a-system-of-health-accounts/classification-of-health-care-financing-schemes-icha-hf_9789264116016-9-en"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datatopics.worldbank.org/universal-health-coverage/" TargetMode="External"/><Relationship Id="rId17" Type="http://schemas.openxmlformats.org/officeDocument/2006/relationships/hyperlink" Target="http://www.worldbank.org/en/topic/health/publication/analyzing-health-equity-using-household-survey-data"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dx.doi.org/10.1016/S2214-109X(17)30429-1" TargetMode="External"/><Relationship Id="rId20" Type="http://schemas.openxmlformats.org/officeDocument/2006/relationships/hyperlink" Target="http://unstats.un.org/unsd/cr/registry/regcs.asp?Cl=5&amp;Lg=1&amp;Co=0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ps.who.int/gho/cabinet/uhc.jsp"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who.int/health_financing/topics/financial-protection/en/"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data.worldbank.org/data-catalog/world-development-indicators" TargetMode="External"/><Relationship Id="rId19" Type="http://schemas.openxmlformats.org/officeDocument/2006/relationships/hyperlink" Target="https://unstats.un.org/unsd/class/revisions/coicop_revision.asp" TargetMode="External"/><Relationship Id="rId4" Type="http://schemas.openxmlformats.org/officeDocument/2006/relationships/settings" Target="settings.xml"/><Relationship Id="rId9" Type="http://schemas.openxmlformats.org/officeDocument/2006/relationships/hyperlink" Target="http://www.who.int/health-accounts/ghed/en/" TargetMode="External"/><Relationship Id="rId14" Type="http://schemas.openxmlformats.org/officeDocument/2006/relationships/hyperlink" Target="http://www.worldbank.org/en/topic/universalhealthcoverage/publication/tracking-universal-health-coverage-2017-global-monitoring-report" TargetMode="External"/><Relationship Id="rId22" Type="http://schemas.openxmlformats.org/officeDocument/2006/relationships/header" Target="header2.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applications.emro.who.int/dsaf/EMROPUB_2016_EN_19169.pdf?ua=1" TargetMode="External"/><Relationship Id="rId13" Type="http://schemas.openxmlformats.org/officeDocument/2006/relationships/hyperlink" Target="http://www.indepth-network.org/projects/ihope" TargetMode="External"/><Relationship Id="rId3" Type="http://schemas.openxmlformats.org/officeDocument/2006/relationships/hyperlink" Target="http://unstats.un.org/unsd/cr/registry/regcs.asp?Cl=5&amp;Lg=1&amp;Co=06.1" TargetMode="External"/><Relationship Id="rId7" Type="http://schemas.openxmlformats.org/officeDocument/2006/relationships/hyperlink" Target="http://www.euro.who.int/en/health-topics/Health-systems/health-systems-financing/publications/clusters/universal-health-coverage-financial-protection" TargetMode="External"/><Relationship Id="rId12" Type="http://schemas.openxmlformats.org/officeDocument/2006/relationships/hyperlink" Target="https://unstats.un.org/unsd/class/revisions/coicop_revision.asp" TargetMode="External"/><Relationship Id="rId17" Type="http://schemas.openxmlformats.org/officeDocument/2006/relationships/hyperlink" Target="https://datacatalog.worldbank.org/dataset/world-development-indicators" TargetMode="External"/><Relationship Id="rId2" Type="http://schemas.openxmlformats.org/officeDocument/2006/relationships/hyperlink" Target="https://unstats.un.org/unsd/statcom/49th-session/documents/" TargetMode="External"/><Relationship Id="rId16" Type="http://schemas.openxmlformats.org/officeDocument/2006/relationships/hyperlink" Target="http://www.who.int/health-accounts/ghed/en/" TargetMode="External"/><Relationship Id="rId1" Type="http://schemas.openxmlformats.org/officeDocument/2006/relationships/hyperlink" Target="http://www.oecd-ilibrary.org/social-issues-migration-health/a-system-of-health-accounts/classification-of-health-care-financing-schemes-icha-hf_9789264116016-9-en" TargetMode="External"/><Relationship Id="rId6" Type="http://schemas.openxmlformats.org/officeDocument/2006/relationships/hyperlink" Target="http://www.who.int/healthinfo/indicators/2015/en/" TargetMode="External"/><Relationship Id="rId11" Type="http://schemas.openxmlformats.org/officeDocument/2006/relationships/hyperlink" Target="http://unstats.un.org/sdgs/metadata/files/Metadata-01-01-01a.pdf" TargetMode="External"/><Relationship Id="rId5" Type="http://schemas.openxmlformats.org/officeDocument/2006/relationships/hyperlink" Target="http://unstats.un.org/sdgs/metadata/files/Metadata-01-01-01a.pdf" TargetMode="External"/><Relationship Id="rId15" Type="http://schemas.openxmlformats.org/officeDocument/2006/relationships/hyperlink" Target="https://datacatalog.worldbank.org/dataset/world-development-indicators" TargetMode="External"/><Relationship Id="rId10" Type="http://schemas.openxmlformats.org/officeDocument/2006/relationships/hyperlink" Target="http://www.paho.org/hq/index.php?option=com_content&amp;view=article&amp;id=11065%3A2015-universal-health-coverage-latin-america-caribbean&amp;catid=3316%3Apublications&amp;Itemid=3562&amp;lang=en" TargetMode="External"/><Relationship Id="rId4" Type="http://schemas.openxmlformats.org/officeDocument/2006/relationships/hyperlink" Target="http://www.ilo.org/public/english/bureau/stat/download/17thicls/r2hies.pdf" TargetMode="External"/><Relationship Id="rId9" Type="http://schemas.openxmlformats.org/officeDocument/2006/relationships/hyperlink" Target="http://apps.searo.who.int/uhc" TargetMode="External"/><Relationship Id="rId14" Type="http://schemas.openxmlformats.org/officeDocument/2006/relationships/hyperlink" Target="http://iresearch.worldbank.org/PovcalNet/povOnDemand.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7388CD8-D6E7-40CF-9A84-DA98C32CC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4816</Words>
  <Characters>27452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32204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FLORES PENTZKE SAINT-GERMAIN, Maria</dc:creator>
  <cp:lastModifiedBy>Zin Lin</cp:lastModifiedBy>
  <cp:revision>4</cp:revision>
  <cp:lastPrinted>2019-03-28T16:52:00Z</cp:lastPrinted>
  <dcterms:created xsi:type="dcterms:W3CDTF">2019-02-15T21:10:00Z</dcterms:created>
  <dcterms:modified xsi:type="dcterms:W3CDTF">2019-03-28T16:52:00Z</dcterms:modified>
</cp:coreProperties>
</file>