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101F9" w14:textId="1C20AD90" w:rsidR="007F764D" w:rsidRPr="00485F66" w:rsidRDefault="00412D2F" w:rsidP="007F764D">
      <w:pPr>
        <w:shd w:val="clear" w:color="auto" w:fill="F5F5F5"/>
        <w:spacing w:after="0"/>
        <w:outlineLvl w:val="4"/>
        <w:rPr>
          <w:rFonts w:eastAsia="Times New Roman" w:cs="Times New Roman"/>
          <w:sz w:val="21"/>
          <w:szCs w:val="21"/>
          <w:lang w:eastAsia="en-GB"/>
        </w:rPr>
      </w:pPr>
      <w:r w:rsidRPr="00485F66">
        <w:rPr>
          <w:rFonts w:eastAsia="Times New Roman" w:cs="Times New Roman"/>
          <w:sz w:val="21"/>
          <w:szCs w:val="21"/>
          <w:lang w:eastAsia="en-GB"/>
        </w:rPr>
        <w:t>Goal</w:t>
      </w:r>
      <w:r w:rsidR="00896BAD">
        <w:rPr>
          <w:rFonts w:eastAsia="Times New Roman" w:cs="Times New Roman"/>
          <w:sz w:val="21"/>
          <w:szCs w:val="21"/>
          <w:lang w:eastAsia="en-GB"/>
        </w:rPr>
        <w:t xml:space="preserve"> 3</w:t>
      </w:r>
      <w:r w:rsidRPr="00485F66">
        <w:rPr>
          <w:rFonts w:eastAsia="Times New Roman" w:cs="Times New Roman"/>
          <w:sz w:val="21"/>
          <w:szCs w:val="21"/>
          <w:lang w:eastAsia="en-GB"/>
        </w:rPr>
        <w:t xml:space="preserve">: </w:t>
      </w:r>
      <w:r w:rsidR="007F764D" w:rsidRPr="00485F66">
        <w:rPr>
          <w:rFonts w:eastAsia="Times New Roman" w:cs="Times New Roman"/>
          <w:sz w:val="21"/>
          <w:szCs w:val="21"/>
          <w:lang w:eastAsia="en-GB"/>
        </w:rPr>
        <w:t>Ensure healthy lives and promote well-being for all at all ages</w:t>
      </w:r>
    </w:p>
    <w:p w14:paraId="6B59ACCA" w14:textId="543BFC81" w:rsidR="007F764D" w:rsidRPr="00485F66" w:rsidRDefault="0058556D" w:rsidP="00F96E5C">
      <w:pPr>
        <w:shd w:val="clear" w:color="auto" w:fill="F5F5F5"/>
        <w:spacing w:after="0"/>
        <w:jc w:val="both"/>
        <w:outlineLvl w:val="4"/>
        <w:rPr>
          <w:rFonts w:eastAsia="Times New Roman" w:cs="Times New Roman"/>
          <w:sz w:val="21"/>
          <w:szCs w:val="21"/>
          <w:lang w:eastAsia="en-GB"/>
        </w:rPr>
      </w:pPr>
      <w:r w:rsidRPr="00485F66">
        <w:rPr>
          <w:rFonts w:eastAsia="Times New Roman" w:cs="Times New Roman"/>
          <w:sz w:val="21"/>
          <w:szCs w:val="21"/>
          <w:lang w:eastAsia="en-GB"/>
        </w:rPr>
        <w:t>Target</w:t>
      </w:r>
      <w:r w:rsidR="00896BAD">
        <w:rPr>
          <w:rFonts w:eastAsia="Times New Roman" w:cs="Times New Roman"/>
          <w:sz w:val="21"/>
          <w:szCs w:val="21"/>
          <w:lang w:eastAsia="en-GB"/>
        </w:rPr>
        <w:t xml:space="preserve"> 3.b</w:t>
      </w:r>
      <w:r w:rsidRPr="00485F66">
        <w:rPr>
          <w:rFonts w:eastAsia="Times New Roman" w:cs="Times New Roman"/>
          <w:sz w:val="21"/>
          <w:szCs w:val="21"/>
          <w:lang w:eastAsia="en-GB"/>
        </w:rPr>
        <w:t xml:space="preserve">: </w:t>
      </w:r>
      <w:r w:rsidR="007F764D" w:rsidRPr="00485F66">
        <w:rPr>
          <w:rFonts w:eastAsia="Times New Roman" w:cs="Times New Roman"/>
          <w:sz w:val="21"/>
          <w:szCs w:val="21"/>
          <w:lang w:eastAsia="en-GB"/>
        </w:rPr>
        <w:t>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w:t>
      </w:r>
      <w:r w:rsidR="00B86038" w:rsidRPr="00485F66">
        <w:rPr>
          <w:rFonts w:eastAsia="Times New Roman" w:cs="Times New Roman"/>
          <w:sz w:val="21"/>
          <w:szCs w:val="21"/>
          <w:lang w:eastAsia="en-GB"/>
        </w:rPr>
        <w:t xml:space="preserve"> </w:t>
      </w:r>
      <w:r w:rsidR="007F764D" w:rsidRPr="00485F66">
        <w:rPr>
          <w:rFonts w:eastAsia="Times New Roman" w:cs="Times New Roman"/>
          <w:sz w:val="21"/>
          <w:szCs w:val="21"/>
          <w:lang w:eastAsia="en-GB"/>
        </w:rPr>
        <w:t>Agreement on Trade-Related Aspects of Intellectual Property Rights regarding flexibilities to protect public health, and, in particular, provide access to medicines for all</w:t>
      </w:r>
    </w:p>
    <w:p w14:paraId="6A46A569" w14:textId="2CDFBC6B" w:rsidR="0058556D" w:rsidRPr="00485F66" w:rsidRDefault="006B1D15" w:rsidP="007D5F45">
      <w:pPr>
        <w:shd w:val="clear" w:color="auto" w:fill="F5F5F5"/>
        <w:spacing w:after="0"/>
        <w:outlineLvl w:val="1"/>
        <w:rPr>
          <w:rFonts w:eastAsia="Times New Roman" w:cs="Times New Roman"/>
          <w:color w:val="0070C0"/>
          <w:lang w:eastAsia="en-GB"/>
        </w:rPr>
      </w:pPr>
      <w:r w:rsidRPr="00485F66">
        <w:rPr>
          <w:rFonts w:eastAsia="Times New Roman" w:cs="Times New Roman"/>
          <w:color w:val="0070C0"/>
          <w:lang w:eastAsia="en-GB"/>
        </w:rPr>
        <w:t>Indicator</w:t>
      </w:r>
      <w:r w:rsidR="00AB7E07" w:rsidRPr="00485F66">
        <w:rPr>
          <w:rFonts w:eastAsia="Times New Roman" w:cs="Times New Roman"/>
          <w:color w:val="0070C0"/>
          <w:lang w:eastAsia="en-GB"/>
        </w:rPr>
        <w:t xml:space="preserve"> 3.</w:t>
      </w:r>
      <w:r w:rsidR="007D5F45" w:rsidRPr="00485F66">
        <w:rPr>
          <w:rFonts w:eastAsia="Times New Roman" w:cs="Times New Roman"/>
          <w:color w:val="0070C0"/>
          <w:lang w:eastAsia="en-GB"/>
        </w:rPr>
        <w:t>b</w:t>
      </w:r>
      <w:r w:rsidR="00AB7E07" w:rsidRPr="00485F66">
        <w:rPr>
          <w:rFonts w:eastAsia="Times New Roman" w:cs="Times New Roman"/>
          <w:color w:val="0070C0"/>
          <w:lang w:eastAsia="en-GB"/>
        </w:rPr>
        <w:t>.</w:t>
      </w:r>
      <w:r w:rsidR="007D5F45" w:rsidRPr="00485F66">
        <w:rPr>
          <w:rFonts w:eastAsia="Times New Roman" w:cs="Times New Roman"/>
          <w:color w:val="0070C0"/>
          <w:lang w:eastAsia="en-GB"/>
        </w:rPr>
        <w:t>3</w:t>
      </w:r>
      <w:r w:rsidR="00AB7E07" w:rsidRPr="00485F66">
        <w:rPr>
          <w:rFonts w:eastAsia="Times New Roman" w:cs="Times New Roman"/>
          <w:color w:val="0070C0"/>
          <w:lang w:eastAsia="en-GB"/>
        </w:rPr>
        <w:t xml:space="preserve">: </w:t>
      </w:r>
      <w:r w:rsidR="007F764D" w:rsidRPr="00485F66">
        <w:rPr>
          <w:color w:val="0070C0"/>
        </w:rPr>
        <w:t>Proportion of health facilities that have a core set of relevant essential medicines available and affordable on a sustainable basis</w:t>
      </w:r>
      <w:bookmarkStart w:id="0" w:name="_GoBack"/>
      <w:bookmarkEnd w:id="0"/>
    </w:p>
    <w:p w14:paraId="334499DE" w14:textId="77777777" w:rsidR="00036611" w:rsidRPr="00485F66" w:rsidRDefault="00036611" w:rsidP="77395C2D">
      <w:pPr>
        <w:pBdr>
          <w:bottom w:val="single" w:sz="12" w:space="4" w:color="DDDDDD"/>
        </w:pBdr>
        <w:shd w:val="clear" w:color="auto" w:fill="FFFFFF" w:themeFill="background1"/>
        <w:spacing w:after="0"/>
        <w:outlineLvl w:val="2"/>
        <w:rPr>
          <w:rFonts w:eastAsia="Times New Roman" w:cs="Times New Roman"/>
          <w:color w:val="1C75BC"/>
          <w:sz w:val="21"/>
          <w:szCs w:val="21"/>
          <w:lang w:eastAsia="en-GB"/>
        </w:rPr>
      </w:pPr>
    </w:p>
    <w:p w14:paraId="69CFA2A0" w14:textId="77777777" w:rsidR="0058556D" w:rsidRPr="00485F66" w:rsidRDefault="77395C2D" w:rsidP="77395C2D">
      <w:pPr>
        <w:pBdr>
          <w:bottom w:val="single" w:sz="12" w:space="4" w:color="DDDDDD"/>
        </w:pBdr>
        <w:shd w:val="clear" w:color="auto" w:fill="FFFFFF" w:themeFill="background1"/>
        <w:spacing w:after="0"/>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t>Institutional information</w:t>
      </w:r>
    </w:p>
    <w:p w14:paraId="5D9ED12E" w14:textId="77777777" w:rsidR="0058556D" w:rsidRPr="00485F66" w:rsidRDefault="0058556D" w:rsidP="77395C2D">
      <w:pPr>
        <w:shd w:val="clear" w:color="auto" w:fill="FFFFFF" w:themeFill="background1"/>
        <w:spacing w:after="0"/>
        <w:rPr>
          <w:rFonts w:eastAsia="Times New Roman" w:cs="Times New Roman"/>
          <w:b/>
          <w:bCs/>
          <w:color w:val="4A4A4A"/>
          <w:sz w:val="21"/>
          <w:szCs w:val="21"/>
          <w:lang w:eastAsia="en-GB"/>
        </w:rPr>
      </w:pPr>
    </w:p>
    <w:p w14:paraId="30CBB19F" w14:textId="77777777" w:rsidR="0058556D" w:rsidRPr="00485F66" w:rsidRDefault="77395C2D" w:rsidP="77395C2D">
      <w:pPr>
        <w:shd w:val="clear" w:color="auto" w:fill="FFFFFF" w:themeFill="background1"/>
        <w:spacing w:after="0"/>
        <w:rPr>
          <w:rFonts w:eastAsia="Times New Roman" w:cs="Times New Roman"/>
          <w:sz w:val="21"/>
          <w:szCs w:val="21"/>
          <w:lang w:eastAsia="en-GB"/>
        </w:rPr>
      </w:pPr>
      <w:r w:rsidRPr="00485F66">
        <w:rPr>
          <w:rFonts w:eastAsia="Times New Roman" w:cs="Times New Roman"/>
          <w:b/>
          <w:bCs/>
          <w:sz w:val="21"/>
          <w:szCs w:val="21"/>
          <w:lang w:eastAsia="en-GB"/>
        </w:rPr>
        <w:t>Organization(s):</w:t>
      </w:r>
    </w:p>
    <w:p w14:paraId="1169E76C" w14:textId="3EEBBA69" w:rsidR="00AB7E07" w:rsidRPr="00485F66" w:rsidRDefault="77395C2D" w:rsidP="77395C2D">
      <w:pPr>
        <w:shd w:val="clear" w:color="auto" w:fill="FFFFFF" w:themeFill="background1"/>
        <w:rPr>
          <w:smallCaps/>
          <w:sz w:val="21"/>
          <w:szCs w:val="21"/>
          <w:lang w:bidi="ar-EG"/>
        </w:rPr>
      </w:pPr>
      <w:r w:rsidRPr="00485F66">
        <w:rPr>
          <w:rFonts w:eastAsia="Times New Roman"/>
          <w:sz w:val="21"/>
          <w:szCs w:val="21"/>
          <w:lang w:eastAsia="en-GB"/>
        </w:rPr>
        <w:t>World Health Organization (WHO)</w:t>
      </w:r>
      <w:r w:rsidRPr="00485F66">
        <w:rPr>
          <w:smallCaps/>
          <w:sz w:val="21"/>
          <w:szCs w:val="21"/>
          <w:lang w:bidi="ar-EG"/>
        </w:rPr>
        <w:t xml:space="preserve">  </w:t>
      </w:r>
    </w:p>
    <w:p w14:paraId="275A3D21" w14:textId="77777777" w:rsidR="0058556D" w:rsidRPr="00485F66" w:rsidRDefault="77395C2D" w:rsidP="77395C2D">
      <w:pPr>
        <w:pBdr>
          <w:bottom w:val="single" w:sz="12" w:space="4" w:color="DDDDDD"/>
        </w:pBdr>
        <w:shd w:val="clear" w:color="auto" w:fill="FFFFFF" w:themeFill="background1"/>
        <w:spacing w:after="0"/>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t>Concepts and definitions</w:t>
      </w:r>
    </w:p>
    <w:p w14:paraId="4BE7CFBD" w14:textId="77777777" w:rsidR="0058556D" w:rsidRPr="00485F66" w:rsidRDefault="0058556D" w:rsidP="77395C2D">
      <w:pPr>
        <w:shd w:val="clear" w:color="auto" w:fill="FFFFFF" w:themeFill="background1"/>
        <w:spacing w:after="0"/>
        <w:rPr>
          <w:rFonts w:eastAsia="Times New Roman" w:cs="Times New Roman"/>
          <w:b/>
          <w:bCs/>
          <w:color w:val="4A4A4A"/>
          <w:sz w:val="21"/>
          <w:szCs w:val="21"/>
          <w:lang w:eastAsia="en-GB"/>
        </w:rPr>
      </w:pPr>
    </w:p>
    <w:p w14:paraId="17195AB5" w14:textId="77777777" w:rsidR="0058556D" w:rsidRPr="00485F66" w:rsidRDefault="77395C2D" w:rsidP="77395C2D">
      <w:pPr>
        <w:shd w:val="clear" w:color="auto" w:fill="FFFFFF" w:themeFill="background1"/>
        <w:spacing w:after="0"/>
        <w:rPr>
          <w:rFonts w:eastAsia="Times New Roman" w:cs="Times New Roman"/>
          <w:color w:val="4A4A4A"/>
          <w:sz w:val="24"/>
          <w:szCs w:val="24"/>
          <w:lang w:eastAsia="en-GB"/>
        </w:rPr>
      </w:pPr>
      <w:r w:rsidRPr="00485F66">
        <w:rPr>
          <w:rFonts w:eastAsia="Times New Roman" w:cs="Times New Roman"/>
          <w:b/>
          <w:bCs/>
          <w:color w:val="4A4A4A"/>
          <w:sz w:val="24"/>
          <w:szCs w:val="24"/>
          <w:lang w:eastAsia="en-GB"/>
        </w:rPr>
        <w:t>Definition:</w:t>
      </w:r>
    </w:p>
    <w:p w14:paraId="42B98B73" w14:textId="77777777" w:rsidR="008B3AA3" w:rsidRPr="00485F66" w:rsidRDefault="77395C2D" w:rsidP="00F96E11">
      <w:pPr>
        <w:shd w:val="clear" w:color="auto" w:fill="FFFFFF" w:themeFill="background1"/>
        <w:spacing w:after="120" w:line="240" w:lineRule="auto"/>
        <w:jc w:val="both"/>
      </w:pPr>
      <w:r w:rsidRPr="00485F66">
        <w:t>Proportion of health facilities that have a core set of relevant essential medicines available and affordable on a sustainable basis.</w:t>
      </w:r>
    </w:p>
    <w:p w14:paraId="63278F5F" w14:textId="26BDEAAA" w:rsidR="00EB3E81" w:rsidRPr="00485F66" w:rsidRDefault="77395C2D" w:rsidP="00F96E11">
      <w:pPr>
        <w:shd w:val="clear" w:color="auto" w:fill="FFFFFF" w:themeFill="background1"/>
        <w:spacing w:after="120" w:line="240" w:lineRule="auto"/>
        <w:jc w:val="both"/>
      </w:pPr>
      <w:r w:rsidRPr="00485F66">
        <w:t>The indicator is a multidimensional index reported as a proportion (%) of health facilities that have a defined core set of quality-assured medicines that are available and affordable relative to the total number of surveyed health facilities</w:t>
      </w:r>
      <w:r w:rsidR="00801E49" w:rsidRPr="00485F66">
        <w:t xml:space="preserve"> at national level</w:t>
      </w:r>
      <w:r w:rsidRPr="00485F66">
        <w:t>.</w:t>
      </w:r>
    </w:p>
    <w:p w14:paraId="7FB40C1F" w14:textId="77777777" w:rsidR="00913A9B" w:rsidRPr="00485F66" w:rsidRDefault="00913A9B" w:rsidP="00F96E11">
      <w:pPr>
        <w:shd w:val="clear" w:color="auto" w:fill="FFFFFF" w:themeFill="background1"/>
        <w:spacing w:after="120" w:line="240" w:lineRule="auto"/>
      </w:pPr>
    </w:p>
    <w:p w14:paraId="316AA492" w14:textId="77777777" w:rsidR="0058556D" w:rsidRPr="00485F66" w:rsidRDefault="77395C2D" w:rsidP="00F96E11">
      <w:pPr>
        <w:shd w:val="clear" w:color="auto" w:fill="FFFFFF" w:themeFill="background1"/>
        <w:spacing w:after="120" w:line="240" w:lineRule="auto"/>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Rationale:</w:t>
      </w:r>
    </w:p>
    <w:p w14:paraId="1379740C" w14:textId="2C09778A" w:rsidR="005A604E" w:rsidRPr="00485F66" w:rsidRDefault="005A604E"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Measurement and monitoring of access to essential medicines are of high priority for the global development agenda given access is an integral part of the Universal Health Coverage movement and an indispensable element of the delivery of quality health care. Access to medicines is a composite multidimensional concept that is composed of the availability of medicines and the affordability of their prices. Information on these two dimensions has been collected and analysed since the 54</w:t>
      </w:r>
      <w:r w:rsidRPr="00485F66">
        <w:rPr>
          <w:rFonts w:eastAsia="Times New Roman" w:cs="Times New Roman"/>
          <w:vertAlign w:val="superscript"/>
          <w:lang w:eastAsia="en-GB"/>
        </w:rPr>
        <w:t>th</w:t>
      </w:r>
      <w:r w:rsidRPr="00485F66">
        <w:rPr>
          <w:rFonts w:eastAsia="Times New Roman" w:cs="Times New Roman"/>
          <w:lang w:eastAsia="en-GB"/>
        </w:rPr>
        <w:t xml:space="preserve"> World Health Assembly in 2001, when Member States adopted the WHO Medicines Strategy (resolution WHA54.11). This resolution led to the launch of the joint project on Medicine Prices and Availability by WHO and the international non-governmental organization Health Action International (HAI/WHO), as well as a proposed HAI/WHO methodology for collecting data and measuring components of access to medicines. To this day, this methodology has been widely implemented to produce useful analyses of availability and affordability of medicines, however the two dimensions have been evaluated separately.</w:t>
      </w:r>
    </w:p>
    <w:p w14:paraId="3565AFD3" w14:textId="18D69A2F" w:rsidR="005A604E" w:rsidRPr="00485F66" w:rsidRDefault="005A604E"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While </w:t>
      </w:r>
      <w:r w:rsidR="00C95AD5" w:rsidRPr="00485F66">
        <w:rPr>
          <w:rFonts w:eastAsia="Times New Roman" w:cs="Times New Roman"/>
          <w:lang w:eastAsia="en-GB"/>
        </w:rPr>
        <w:t>the above</w:t>
      </w:r>
      <w:r w:rsidRPr="00485F66">
        <w:rPr>
          <w:rFonts w:eastAsia="Times New Roman" w:cs="Times New Roman"/>
          <w:lang w:eastAsia="en-GB"/>
        </w:rPr>
        <w:t xml:space="preserve"> approach has provided an overview of the </w:t>
      </w:r>
      <w:r w:rsidR="006A32FC" w:rsidRPr="00485F66">
        <w:rPr>
          <w:rFonts w:eastAsia="Times New Roman" w:cs="Times New Roman"/>
          <w:lang w:eastAsia="en-GB"/>
        </w:rPr>
        <w:t>countries</w:t>
      </w:r>
      <w:r w:rsidRPr="00485F66">
        <w:rPr>
          <w:rFonts w:eastAsia="Times New Roman" w:cs="Times New Roman"/>
          <w:lang w:eastAsia="en-GB"/>
        </w:rPr>
        <w:t xml:space="preserve">’ performance and progress on improving the affordability and availability of medicines, it </w:t>
      </w:r>
      <w:r w:rsidR="00C95AD5" w:rsidRPr="00485F66">
        <w:rPr>
          <w:rFonts w:eastAsia="Times New Roman" w:cs="Times New Roman"/>
          <w:lang w:eastAsia="en-GB"/>
        </w:rPr>
        <w:t>has</w:t>
      </w:r>
      <w:r w:rsidRPr="00485F66">
        <w:rPr>
          <w:rFonts w:eastAsia="Times New Roman" w:cs="Times New Roman"/>
          <w:lang w:eastAsia="en-GB"/>
        </w:rPr>
        <w:t xml:space="preserve"> not allow</w:t>
      </w:r>
      <w:r w:rsidR="00C95AD5" w:rsidRPr="00485F66">
        <w:rPr>
          <w:rFonts w:eastAsia="Times New Roman" w:cs="Times New Roman"/>
          <w:lang w:eastAsia="en-GB"/>
        </w:rPr>
        <w:t>ed</w:t>
      </w:r>
      <w:r w:rsidRPr="00485F66">
        <w:rPr>
          <w:rFonts w:eastAsia="Times New Roman" w:cs="Times New Roman"/>
          <w:lang w:eastAsia="en-GB"/>
        </w:rPr>
        <w:t xml:space="preserve"> evaluati</w:t>
      </w:r>
      <w:r w:rsidR="00C95AD5" w:rsidRPr="00485F66">
        <w:rPr>
          <w:rFonts w:eastAsia="Times New Roman" w:cs="Times New Roman"/>
          <w:lang w:eastAsia="en-GB"/>
        </w:rPr>
        <w:t>on of</w:t>
      </w:r>
      <w:r w:rsidRPr="00485F66">
        <w:rPr>
          <w:rFonts w:eastAsia="Times New Roman" w:cs="Times New Roman"/>
          <w:lang w:eastAsia="en-GB"/>
        </w:rPr>
        <w:t xml:space="preserve"> overall access to medicines.</w:t>
      </w:r>
    </w:p>
    <w:p w14:paraId="191705B9" w14:textId="681E1D49" w:rsidR="005A604E" w:rsidRPr="00485F66" w:rsidRDefault="005A604E"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Th</w:t>
      </w:r>
      <w:r w:rsidR="00C95AD5" w:rsidRPr="00485F66">
        <w:rPr>
          <w:rFonts w:eastAsia="Times New Roman" w:cs="Times New Roman"/>
          <w:lang w:eastAsia="en-GB"/>
        </w:rPr>
        <w:t>is</w:t>
      </w:r>
      <w:r w:rsidRPr="00485F66">
        <w:rPr>
          <w:rFonts w:eastAsia="Times New Roman" w:cs="Times New Roman"/>
          <w:lang w:eastAsia="en-GB"/>
        </w:rPr>
        <w:t xml:space="preserve"> evaluation is in turn essential as</w:t>
      </w:r>
      <w:r w:rsidR="00C95AD5" w:rsidRPr="00485F66">
        <w:rPr>
          <w:rFonts w:eastAsia="Times New Roman" w:cs="Times New Roman"/>
          <w:lang w:eastAsia="en-GB"/>
        </w:rPr>
        <w:t xml:space="preserve"> country’s</w:t>
      </w:r>
      <w:r w:rsidRPr="00485F66">
        <w:rPr>
          <w:rFonts w:eastAsia="Times New Roman" w:cs="Times New Roman"/>
          <w:lang w:eastAsia="en-GB"/>
        </w:rPr>
        <w:t xml:space="preserve"> </w:t>
      </w:r>
      <w:r w:rsidR="00C95AD5" w:rsidRPr="00485F66">
        <w:rPr>
          <w:rFonts w:eastAsia="Times New Roman" w:cs="Times New Roman"/>
          <w:lang w:eastAsia="en-GB"/>
        </w:rPr>
        <w:t>success in ensuring</w:t>
      </w:r>
      <w:r w:rsidRPr="00485F66">
        <w:rPr>
          <w:rFonts w:eastAsia="Times New Roman" w:cs="Times New Roman"/>
          <w:lang w:eastAsia="en-GB"/>
        </w:rPr>
        <w:t xml:space="preserve"> one of the dimensions (e.g. availability) does not necessarily indicate the realization of the other (e.g. affordability) and vice versa. For example, a </w:t>
      </w:r>
      <w:r w:rsidR="006A32FC" w:rsidRPr="00485F66">
        <w:rPr>
          <w:rFonts w:eastAsia="Times New Roman" w:cs="Times New Roman"/>
          <w:lang w:eastAsia="en-GB"/>
        </w:rPr>
        <w:t>country</w:t>
      </w:r>
      <w:r w:rsidRPr="00485F66">
        <w:rPr>
          <w:rFonts w:eastAsia="Times New Roman" w:cs="Times New Roman"/>
          <w:lang w:eastAsia="en-GB"/>
        </w:rPr>
        <w:t xml:space="preserve"> may focus its policy efforts on ensuring the availability of a core set of essential medicines in the event of low capacity of local production and/or challenges associated with geographic location. As a result of the proposed policies, medicines may become available but </w:t>
      </w:r>
      <w:r w:rsidRPr="00485F66">
        <w:rPr>
          <w:rFonts w:eastAsia="Times New Roman" w:cs="Times New Roman"/>
          <w:lang w:eastAsia="en-GB"/>
        </w:rPr>
        <w:lastRenderedPageBreak/>
        <w:t xml:space="preserve">their prices may not be affordable. The opposite situation is also possible, as lowering prices of medicines to increase affordability may be too restrictive for some pharmaceutical producers and lead to a decreased supply. Therefore, given the multidimensionality of access to medicines, it is necessary to evaluate both affordability and availability of medicines </w:t>
      </w:r>
      <w:r w:rsidR="00C95AD5" w:rsidRPr="00485F66">
        <w:rPr>
          <w:rFonts w:eastAsia="Times New Roman" w:cs="Times New Roman"/>
          <w:lang w:eastAsia="en-GB"/>
        </w:rPr>
        <w:t>at the same time</w:t>
      </w:r>
      <w:r w:rsidRPr="00485F66">
        <w:rPr>
          <w:rFonts w:eastAsia="Times New Roman" w:cs="Times New Roman"/>
          <w:lang w:eastAsia="en-GB"/>
        </w:rPr>
        <w:t>.</w:t>
      </w:r>
    </w:p>
    <w:p w14:paraId="23435C68" w14:textId="6AD821F5" w:rsidR="005A604E" w:rsidRPr="00485F66" w:rsidRDefault="005A604E"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The </w:t>
      </w:r>
      <w:r w:rsidR="00C95AD5" w:rsidRPr="00485F66">
        <w:rPr>
          <w:rFonts w:eastAsia="Times New Roman" w:cs="Times New Roman"/>
          <w:lang w:eastAsia="en-GB"/>
        </w:rPr>
        <w:t xml:space="preserve">proposed </w:t>
      </w:r>
      <w:r w:rsidRPr="00485F66">
        <w:rPr>
          <w:rFonts w:eastAsia="Times New Roman" w:cs="Times New Roman"/>
          <w:lang w:eastAsia="en-GB"/>
        </w:rPr>
        <w:t xml:space="preserve">methodology </w:t>
      </w:r>
      <w:r w:rsidR="00C95AD5" w:rsidRPr="00485F66">
        <w:rPr>
          <w:rFonts w:eastAsia="Times New Roman" w:cs="Times New Roman"/>
          <w:lang w:eastAsia="en-GB"/>
        </w:rPr>
        <w:t xml:space="preserve">for indicator 3.b.3 </w:t>
      </w:r>
      <w:r w:rsidRPr="00485F66">
        <w:rPr>
          <w:rFonts w:eastAsia="Times New Roman" w:cs="Times New Roman"/>
          <w:lang w:eastAsia="en-GB"/>
        </w:rPr>
        <w:t xml:space="preserve">allows the combination of both dimensions into a single indicator </w:t>
      </w:r>
      <w:r w:rsidR="00C95AD5" w:rsidRPr="00485F66">
        <w:rPr>
          <w:rFonts w:eastAsia="Times New Roman" w:cs="Times New Roman"/>
          <w:lang w:eastAsia="en-GB"/>
        </w:rPr>
        <w:t>to</w:t>
      </w:r>
      <w:r w:rsidRPr="00485F66">
        <w:rPr>
          <w:rFonts w:eastAsia="Times New Roman" w:cs="Times New Roman"/>
          <w:lang w:eastAsia="en-GB"/>
        </w:rPr>
        <w:t xml:space="preserve"> evaluate the availability and affordability of medicines simultaneously. This methodology also allows for disaggregation so that each dimension can be analysed separately and the main driver of </w:t>
      </w:r>
      <w:r w:rsidR="00C95AD5" w:rsidRPr="00485F66">
        <w:rPr>
          <w:rFonts w:eastAsia="Times New Roman" w:cs="Times New Roman"/>
          <w:lang w:eastAsia="en-GB"/>
        </w:rPr>
        <w:t>poor performance</w:t>
      </w:r>
      <w:r w:rsidRPr="00485F66">
        <w:rPr>
          <w:rFonts w:eastAsia="Times New Roman" w:cs="Times New Roman"/>
          <w:lang w:eastAsia="en-GB"/>
        </w:rPr>
        <w:t xml:space="preserve"> of the overall index can be properly identified.</w:t>
      </w:r>
    </w:p>
    <w:p w14:paraId="280BB523" w14:textId="1476FF16" w:rsidR="009A4ECD" w:rsidRPr="00485F66" w:rsidRDefault="005A604E" w:rsidP="00560D7D">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Monitoring the core set of relevant essential medicines is based on the WHO </w:t>
      </w:r>
      <w:r w:rsidR="009A4ECD" w:rsidRPr="00485F66">
        <w:rPr>
          <w:rFonts w:eastAsia="Times New Roman" w:cs="Times New Roman"/>
          <w:lang w:eastAsia="en-GB"/>
        </w:rPr>
        <w:t xml:space="preserve">Model List of </w:t>
      </w:r>
      <w:r w:rsidRPr="00485F66">
        <w:rPr>
          <w:rFonts w:eastAsia="Times New Roman" w:cs="Times New Roman"/>
          <w:lang w:eastAsia="en-GB"/>
        </w:rPr>
        <w:t>Essential Medicines</w:t>
      </w:r>
      <w:r w:rsidR="009A4ECD" w:rsidRPr="00485F66">
        <w:rPr>
          <w:rFonts w:eastAsia="Times New Roman" w:cs="Times New Roman"/>
          <w:lang w:eastAsia="en-GB"/>
        </w:rPr>
        <w:t xml:space="preserve"> (EML). The 2017 WHO EML contains 433 medications deemed essential for addressing the most important public health needs globally. The current index is computed based on a subset of </w:t>
      </w:r>
      <w:r w:rsidR="00560D7D" w:rsidRPr="00485F66">
        <w:rPr>
          <w:rFonts w:eastAsia="Times New Roman" w:cs="Times New Roman"/>
          <w:lang w:eastAsia="en-GB"/>
        </w:rPr>
        <w:t>32</w:t>
      </w:r>
      <w:r w:rsidR="009A4ECD" w:rsidRPr="00485F66">
        <w:rPr>
          <w:rFonts w:eastAsia="Times New Roman" w:cs="Times New Roman"/>
          <w:lang w:eastAsia="en-GB"/>
        </w:rPr>
        <w:t xml:space="preserve"> tracer essential medicines for the treatment, prevention and management of acute and chronic, communicable and non-communicable diseases in </w:t>
      </w:r>
      <w:r w:rsidR="00C95AD5" w:rsidRPr="00485F66">
        <w:rPr>
          <w:rFonts w:eastAsia="Times New Roman" w:cs="Times New Roman"/>
          <w:lang w:eastAsia="en-GB"/>
        </w:rPr>
        <w:t>a</w:t>
      </w:r>
      <w:r w:rsidR="009A4ECD" w:rsidRPr="00485F66">
        <w:rPr>
          <w:rFonts w:eastAsia="Times New Roman" w:cs="Times New Roman"/>
          <w:lang w:eastAsia="en-GB"/>
        </w:rPr>
        <w:t xml:space="preserve"> primary health care setting.</w:t>
      </w:r>
    </w:p>
    <w:p w14:paraId="4F3A6A91" w14:textId="77777777" w:rsidR="00AD00B5" w:rsidRPr="00485F66" w:rsidRDefault="00AD00B5" w:rsidP="00F96E11">
      <w:pPr>
        <w:shd w:val="clear" w:color="auto" w:fill="FFFFFF" w:themeFill="background1"/>
        <w:spacing w:after="120" w:line="240" w:lineRule="auto"/>
        <w:rPr>
          <w:rFonts w:eastAsia="Times New Roman" w:cs="Times New Roman"/>
          <w:b/>
          <w:bCs/>
          <w:color w:val="4A4A4A"/>
          <w:sz w:val="24"/>
          <w:szCs w:val="24"/>
          <w:lang w:eastAsia="en-GB"/>
        </w:rPr>
      </w:pPr>
    </w:p>
    <w:p w14:paraId="4B0CFA06" w14:textId="713D1423" w:rsidR="0058556D" w:rsidRPr="00485F66" w:rsidRDefault="77395C2D" w:rsidP="00F96E11">
      <w:pPr>
        <w:shd w:val="clear" w:color="auto" w:fill="FFFFFF" w:themeFill="background1"/>
        <w:spacing w:after="120" w:line="240" w:lineRule="auto"/>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Concepts:</w:t>
      </w:r>
    </w:p>
    <w:p w14:paraId="46CED830" w14:textId="77287401" w:rsidR="00B86038" w:rsidRPr="00485F66" w:rsidRDefault="77395C2D" w:rsidP="00F96E11">
      <w:pPr>
        <w:shd w:val="clear" w:color="auto" w:fill="FFFFFF" w:themeFill="background1"/>
        <w:spacing w:after="120" w:line="240" w:lineRule="auto"/>
        <w:jc w:val="both"/>
      </w:pPr>
      <w:r w:rsidRPr="00485F66">
        <w:t xml:space="preserve">Indicator 3.b.3 is defined as the “Proportion of health facilities that have a core set of relevant essential medicines available and affordable on a sustainable basis”. </w:t>
      </w:r>
      <w:r w:rsidR="005A604E" w:rsidRPr="00485F66">
        <w:t>T</w:t>
      </w:r>
      <w:r w:rsidRPr="00485F66">
        <w:t>his indicator is based on the proportion of facilities (pharmacies, hospitals</w:t>
      </w:r>
      <w:r w:rsidR="005A604E" w:rsidRPr="00485F66">
        <w:t xml:space="preserve">, clinics, </w:t>
      </w:r>
      <w:r w:rsidR="00C95AD5" w:rsidRPr="00485F66">
        <w:t xml:space="preserve">primary care centers, public/private, </w:t>
      </w:r>
      <w:r w:rsidR="005A604E" w:rsidRPr="00485F66">
        <w:t>etc.</w:t>
      </w:r>
      <w:r w:rsidRPr="00485F66">
        <w:t xml:space="preserve">) where core essential medicines from the identified </w:t>
      </w:r>
      <w:r w:rsidR="005A604E" w:rsidRPr="00485F66">
        <w:t>set</w:t>
      </w:r>
      <w:r w:rsidRPr="00485F66">
        <w:t xml:space="preserve"> are available </w:t>
      </w:r>
      <w:r w:rsidR="005A604E" w:rsidRPr="00485F66">
        <w:t>for purchase</w:t>
      </w:r>
      <w:r w:rsidRPr="00485F66">
        <w:t xml:space="preserve"> </w:t>
      </w:r>
      <w:r w:rsidR="005A604E" w:rsidRPr="00485F66">
        <w:t>and their</w:t>
      </w:r>
      <w:r w:rsidRPr="00485F66">
        <w:t xml:space="preserve"> prices are affordable</w:t>
      </w:r>
      <w:r w:rsidR="005A604E" w:rsidRPr="00485F66">
        <w:t>, compared to the total number of facilities surveyed</w:t>
      </w:r>
      <w:r w:rsidRPr="00485F66">
        <w:t xml:space="preserve">. </w:t>
      </w:r>
    </w:p>
    <w:p w14:paraId="16BEBC5C" w14:textId="382A436D" w:rsidR="008B2E0A" w:rsidRPr="00485F66" w:rsidRDefault="77395C2D" w:rsidP="00F96E11">
      <w:pPr>
        <w:shd w:val="clear" w:color="auto" w:fill="FFFFFF" w:themeFill="background1"/>
        <w:spacing w:after="120" w:line="240" w:lineRule="auto"/>
        <w:jc w:val="both"/>
      </w:pPr>
      <w:r w:rsidRPr="00485F66">
        <w:t xml:space="preserve">There are several core concepts that </w:t>
      </w:r>
      <w:r w:rsidR="00C95AD5" w:rsidRPr="00485F66">
        <w:t>are used for measuring</w:t>
      </w:r>
      <w:r w:rsidRPr="00485F66">
        <w:t xml:space="preserve"> indicator 3.b.3: </w:t>
      </w:r>
    </w:p>
    <w:p w14:paraId="16E8F824" w14:textId="0FC9FF6F" w:rsidR="00F92EEE" w:rsidRPr="00485F66" w:rsidRDefault="77395C2D" w:rsidP="00F96E11">
      <w:pPr>
        <w:pStyle w:val="ListParagraph"/>
        <w:numPr>
          <w:ilvl w:val="0"/>
          <w:numId w:val="20"/>
        </w:numPr>
        <w:shd w:val="clear" w:color="auto" w:fill="FFFFFF" w:themeFill="background1"/>
        <w:spacing w:after="120" w:line="240" w:lineRule="auto"/>
      </w:pPr>
      <w:r w:rsidRPr="00485F66">
        <w:t>Availability of medicine</w:t>
      </w:r>
    </w:p>
    <w:p w14:paraId="74E4FCFA" w14:textId="71DE68C4" w:rsidR="00F92EEE" w:rsidRPr="00485F66" w:rsidRDefault="77395C2D" w:rsidP="00F96E11">
      <w:pPr>
        <w:pStyle w:val="ListParagraph"/>
        <w:numPr>
          <w:ilvl w:val="0"/>
          <w:numId w:val="20"/>
        </w:numPr>
        <w:shd w:val="clear" w:color="auto" w:fill="FFFFFF" w:themeFill="background1"/>
        <w:spacing w:after="120" w:line="240" w:lineRule="auto"/>
      </w:pPr>
      <w:r w:rsidRPr="00485F66">
        <w:t>Affordability of medicine</w:t>
      </w:r>
    </w:p>
    <w:p w14:paraId="04502A4C" w14:textId="1F330A1C" w:rsidR="00F92EEE" w:rsidRPr="00485F66" w:rsidRDefault="77395C2D" w:rsidP="00F96E11">
      <w:pPr>
        <w:pStyle w:val="ListParagraph"/>
        <w:shd w:val="clear" w:color="auto" w:fill="FFFFFF" w:themeFill="background1"/>
        <w:spacing w:after="120" w:line="240" w:lineRule="auto"/>
      </w:pPr>
      <w:r w:rsidRPr="00485F66">
        <w:rPr>
          <w:b/>
          <w:bCs/>
        </w:rPr>
        <w:t>→</w:t>
      </w:r>
      <w:r w:rsidRPr="00485F66">
        <w:t xml:space="preserve"> to define affordability</w:t>
      </w:r>
      <w:r w:rsidR="005A604E" w:rsidRPr="00485F66">
        <w:t>,</w:t>
      </w:r>
      <w:r w:rsidRPr="00485F66">
        <w:t xml:space="preserve"> additional concepts </w:t>
      </w:r>
      <w:r w:rsidR="001E6C5A" w:rsidRPr="00485F66">
        <w:t>are used</w:t>
      </w:r>
      <w:r w:rsidRPr="00485F66">
        <w:t>:</w:t>
      </w:r>
    </w:p>
    <w:p w14:paraId="406291EA" w14:textId="5E487F6D" w:rsidR="00F92EEE" w:rsidRPr="00485F66" w:rsidRDefault="77395C2D" w:rsidP="00F96E11">
      <w:pPr>
        <w:pStyle w:val="ListParagraph"/>
        <w:numPr>
          <w:ilvl w:val="0"/>
          <w:numId w:val="23"/>
        </w:numPr>
        <w:shd w:val="clear" w:color="auto" w:fill="FFFFFF" w:themeFill="background1"/>
        <w:spacing w:after="120" w:line="240" w:lineRule="auto"/>
      </w:pPr>
      <w:r w:rsidRPr="00485F66">
        <w:t>Daily dose treatment of the medicine</w:t>
      </w:r>
    </w:p>
    <w:p w14:paraId="605D9134" w14:textId="77777777" w:rsidR="00C4223C" w:rsidRPr="00485F66" w:rsidRDefault="77395C2D" w:rsidP="00F96E11">
      <w:pPr>
        <w:pStyle w:val="ListParagraph"/>
        <w:numPr>
          <w:ilvl w:val="0"/>
          <w:numId w:val="21"/>
        </w:numPr>
        <w:shd w:val="clear" w:color="auto" w:fill="FFFFFF" w:themeFill="background1"/>
        <w:spacing w:after="120" w:line="240" w:lineRule="auto"/>
      </w:pPr>
      <w:r w:rsidRPr="00485F66">
        <w:t xml:space="preserve">National poverty line </w:t>
      </w:r>
    </w:p>
    <w:p w14:paraId="4CDF935E" w14:textId="77777777" w:rsidR="00C4223C" w:rsidRPr="00485F66" w:rsidRDefault="77395C2D" w:rsidP="00F96E11">
      <w:pPr>
        <w:pStyle w:val="ListParagraph"/>
        <w:numPr>
          <w:ilvl w:val="0"/>
          <w:numId w:val="21"/>
        </w:numPr>
        <w:shd w:val="clear" w:color="auto" w:fill="FFFFFF" w:themeFill="background1"/>
        <w:spacing w:after="120" w:line="240" w:lineRule="auto"/>
      </w:pPr>
      <w:r w:rsidRPr="00485F66">
        <w:t xml:space="preserve">Wage of the lowest paid unskilled government worker </w:t>
      </w:r>
    </w:p>
    <w:p w14:paraId="546C174C" w14:textId="3B33BEDA" w:rsidR="003B7C32" w:rsidRPr="00485F66" w:rsidRDefault="77395C2D" w:rsidP="00F96E11">
      <w:pPr>
        <w:pStyle w:val="ListParagraph"/>
        <w:numPr>
          <w:ilvl w:val="0"/>
          <w:numId w:val="20"/>
        </w:numPr>
        <w:shd w:val="clear" w:color="auto" w:fill="FFFFFF" w:themeFill="background1"/>
        <w:spacing w:after="120" w:line="240" w:lineRule="auto"/>
      </w:pPr>
      <w:r w:rsidRPr="00485F66">
        <w:t>Core set of relevant essential medicines (defined on a global level)</w:t>
      </w:r>
    </w:p>
    <w:p w14:paraId="156BB75B" w14:textId="2E4C4674" w:rsidR="00F92EEE" w:rsidRPr="00485F66" w:rsidRDefault="77395C2D" w:rsidP="00F96E11">
      <w:pPr>
        <w:pStyle w:val="ListParagraph"/>
        <w:shd w:val="clear" w:color="auto" w:fill="FFFFFF" w:themeFill="background1"/>
        <w:spacing w:after="120" w:line="240" w:lineRule="auto"/>
        <w:jc w:val="both"/>
      </w:pPr>
      <w:r w:rsidRPr="00485F66">
        <w:rPr>
          <w:b/>
          <w:bCs/>
        </w:rPr>
        <w:t>→</w:t>
      </w:r>
      <w:r w:rsidRPr="00485F66">
        <w:t xml:space="preserve"> to apply </w:t>
      </w:r>
      <w:r w:rsidR="005A604E" w:rsidRPr="00485F66">
        <w:t xml:space="preserve">a </w:t>
      </w:r>
      <w:r w:rsidRPr="00485F66">
        <w:t>core set of relevant essential medicines</w:t>
      </w:r>
      <w:r w:rsidR="005A604E" w:rsidRPr="00485F66">
        <w:t xml:space="preserve"> defined on a global level</w:t>
      </w:r>
      <w:r w:rsidRPr="00485F66">
        <w:t xml:space="preserve"> to all </w:t>
      </w:r>
      <w:r w:rsidR="006A32FC" w:rsidRPr="00485F66">
        <w:t>countries</w:t>
      </w:r>
      <w:r w:rsidRPr="00485F66">
        <w:t xml:space="preserve">, </w:t>
      </w:r>
      <w:r w:rsidR="00E26EF9" w:rsidRPr="00485F66">
        <w:t xml:space="preserve">an </w:t>
      </w:r>
      <w:r w:rsidRPr="00485F66">
        <w:t xml:space="preserve">additional concept </w:t>
      </w:r>
      <w:r w:rsidR="001E6C5A" w:rsidRPr="00485F66">
        <w:t>is used</w:t>
      </w:r>
      <w:r w:rsidRPr="00485F66">
        <w:t>:</w:t>
      </w:r>
    </w:p>
    <w:p w14:paraId="0049AE18" w14:textId="25A88F16" w:rsidR="00F92EEE" w:rsidRPr="00485F66" w:rsidRDefault="77395C2D" w:rsidP="00F96E11">
      <w:pPr>
        <w:pStyle w:val="ListParagraph"/>
        <w:numPr>
          <w:ilvl w:val="0"/>
          <w:numId w:val="22"/>
        </w:numPr>
        <w:shd w:val="clear" w:color="auto" w:fill="FFFFFF" w:themeFill="background1"/>
        <w:spacing w:after="120" w:line="240" w:lineRule="auto"/>
        <w:jc w:val="both"/>
      </w:pPr>
      <w:r w:rsidRPr="00485F66">
        <w:t>global burden of disease</w:t>
      </w:r>
    </w:p>
    <w:p w14:paraId="5A867744" w14:textId="77777777" w:rsidR="00F92EEE" w:rsidRPr="00485F66" w:rsidRDefault="00F92EEE" w:rsidP="00F96E11">
      <w:pPr>
        <w:pStyle w:val="ListParagraph"/>
        <w:shd w:val="clear" w:color="auto" w:fill="FFFFFF" w:themeFill="background1"/>
        <w:spacing w:after="120" w:line="240" w:lineRule="auto"/>
      </w:pPr>
    </w:p>
    <w:p w14:paraId="03B2DFF2" w14:textId="1F4B5272" w:rsidR="004570FF" w:rsidRPr="00485F66" w:rsidRDefault="00EA1101" w:rsidP="00F96E11">
      <w:pPr>
        <w:shd w:val="clear" w:color="auto" w:fill="FFFFFF" w:themeFill="background1"/>
        <w:spacing w:after="120" w:line="240" w:lineRule="auto"/>
        <w:jc w:val="both"/>
      </w:pPr>
      <w:r w:rsidRPr="00485F66">
        <w:t xml:space="preserve">1) </w:t>
      </w:r>
      <w:r w:rsidR="00486E09" w:rsidRPr="00485F66">
        <w:t xml:space="preserve">A medicine is </w:t>
      </w:r>
      <w:r w:rsidR="00486E09" w:rsidRPr="00485F66">
        <w:rPr>
          <w:b/>
          <w:bCs/>
          <w:u w:val="single"/>
        </w:rPr>
        <w:t>available</w:t>
      </w:r>
      <w:r w:rsidR="0099786D" w:rsidRPr="00485F66">
        <w:t xml:space="preserve"> in a facility</w:t>
      </w:r>
      <w:r w:rsidR="00486E09" w:rsidRPr="00485F66">
        <w:t xml:space="preserve"> when it is </w:t>
      </w:r>
      <w:r w:rsidR="0099786D" w:rsidRPr="00485F66">
        <w:t xml:space="preserve">found in this facility by the interviewer </w:t>
      </w:r>
      <w:r w:rsidR="00DC6180" w:rsidRPr="00485F66">
        <w:t xml:space="preserve">on the day of </w:t>
      </w:r>
      <w:r w:rsidR="0099786D" w:rsidRPr="00485F66">
        <w:t>data collection.</w:t>
      </w:r>
      <w:r w:rsidR="00795FA8" w:rsidRPr="00485F66">
        <w:rPr>
          <w:rStyle w:val="FootnoteReference"/>
        </w:rPr>
        <w:footnoteReference w:id="1"/>
      </w:r>
      <w:r w:rsidR="001407CE" w:rsidRPr="00485F66">
        <w:t xml:space="preserve"> </w:t>
      </w:r>
      <w:r w:rsidR="00AA4036" w:rsidRPr="00485F66">
        <w:t xml:space="preserve">Availability is measured as a binary variable with 1 </w:t>
      </w:r>
      <w:r w:rsidR="00E26EF9" w:rsidRPr="00485F66">
        <w:t>=</w:t>
      </w:r>
      <w:r w:rsidR="00AA4036" w:rsidRPr="00485F66">
        <w:t xml:space="preserve"> medicine is available and 0 </w:t>
      </w:r>
      <w:r w:rsidR="00E26EF9" w:rsidRPr="00485F66">
        <w:t>=</w:t>
      </w:r>
      <w:r w:rsidR="00AA4036" w:rsidRPr="00485F66">
        <w:t xml:space="preserve"> otherwise.</w:t>
      </w:r>
    </w:p>
    <w:p w14:paraId="1C878F76" w14:textId="6C8FEBE1" w:rsidR="00470169" w:rsidRPr="00485F66" w:rsidRDefault="77395C2D" w:rsidP="00F96E11">
      <w:pPr>
        <w:shd w:val="clear" w:color="auto" w:fill="FFFFFF" w:themeFill="background1"/>
        <w:spacing w:after="120" w:line="240" w:lineRule="auto"/>
        <w:jc w:val="both"/>
      </w:pPr>
      <w:r w:rsidRPr="00485F66">
        <w:t xml:space="preserve">2) A medicine is </w:t>
      </w:r>
      <w:r w:rsidRPr="00485F66">
        <w:rPr>
          <w:b/>
          <w:bCs/>
          <w:u w:val="single"/>
        </w:rPr>
        <w:t>affordable</w:t>
      </w:r>
      <w:r w:rsidRPr="00485F66">
        <w:t xml:space="preserve"> when no extra daily wages (EDW) are needed for the lowest paid unskilled government sector worker (LPGW wage) to purchase a monthly dose treatment of this medicine after fulfilling basic needs represented by the national poverty line (NPL). Affordability is measured as a ratio </w:t>
      </w:r>
      <w:r w:rsidR="001E6C5A" w:rsidRPr="00485F66">
        <w:t>of 1) the</w:t>
      </w:r>
      <w:r w:rsidRPr="00485F66">
        <w:t xml:space="preserve"> sum of the NPL and </w:t>
      </w:r>
      <w:r w:rsidR="001E6C5A" w:rsidRPr="00485F66">
        <w:t xml:space="preserve">the </w:t>
      </w:r>
      <w:r w:rsidR="00DD2123" w:rsidRPr="00485F66">
        <w:t xml:space="preserve">price per daily </w:t>
      </w:r>
      <w:r w:rsidR="001E6C5A" w:rsidRPr="00485F66">
        <w:t xml:space="preserve">dose of </w:t>
      </w:r>
      <w:r w:rsidR="00DD2123" w:rsidRPr="00485F66">
        <w:t>treatment of the medicine (</w:t>
      </w:r>
      <w:r w:rsidRPr="00485F66">
        <w:t>DDD</w:t>
      </w:r>
      <w:r w:rsidR="00DD2123" w:rsidRPr="00485F66">
        <w:t>)</w:t>
      </w:r>
      <w:r w:rsidR="001E6C5A" w:rsidRPr="00485F66">
        <w:t>, over</w:t>
      </w:r>
      <w:r w:rsidRPr="00485F66">
        <w:t xml:space="preserve"> </w:t>
      </w:r>
      <w:r w:rsidR="001E6C5A" w:rsidRPr="00485F66">
        <w:t>2)</w:t>
      </w:r>
      <w:r w:rsidRPr="00485F66">
        <w:t xml:space="preserve"> the LPGW salary</w:t>
      </w:r>
      <w:r w:rsidR="001E6C5A" w:rsidRPr="00485F66">
        <w:t xml:space="preserve">. This </w:t>
      </w:r>
      <w:r w:rsidRPr="00485F66">
        <w:t>measure</w:t>
      </w:r>
      <w:r w:rsidR="001E6C5A" w:rsidRPr="00485F66">
        <w:t>s the</w:t>
      </w:r>
      <w:r w:rsidRPr="00485F66">
        <w:t xml:space="preserve"> number of extra daily wages </w:t>
      </w:r>
      <w:r w:rsidR="001E6C5A" w:rsidRPr="00485F66">
        <w:t xml:space="preserve">needed to cover the cost of the medicines in the core set and that can </w:t>
      </w:r>
      <w:r w:rsidRPr="00485F66">
        <w:t>vary</w:t>
      </w:r>
      <w:r w:rsidR="001E6C5A" w:rsidRPr="00485F66">
        <w:t xml:space="preserve"> </w:t>
      </w:r>
      <w:r w:rsidRPr="00485F66">
        <w:t xml:space="preserve">between 0 and infinity.  </w:t>
      </w:r>
      <w:bookmarkStart w:id="1" w:name="_Hlk518481796"/>
      <w:bookmarkEnd w:id="1"/>
    </w:p>
    <w:p w14:paraId="791DF9D4" w14:textId="21E802D9" w:rsidR="00470169" w:rsidRPr="00485F66" w:rsidRDefault="00EA1101" w:rsidP="77395C2D">
      <w:pPr>
        <w:shd w:val="clear" w:color="auto" w:fill="FFFFFF" w:themeFill="background1"/>
        <w:spacing w:after="120" w:line="240" w:lineRule="auto"/>
        <w:ind w:left="720"/>
        <w:jc w:val="both"/>
      </w:pPr>
      <w:r w:rsidRPr="00485F66">
        <w:rPr>
          <w:i/>
          <w:iCs/>
        </w:rPr>
        <w:t>2.a)</w:t>
      </w:r>
      <w:r w:rsidR="00690082" w:rsidRPr="00485F66">
        <w:rPr>
          <w:i/>
          <w:iCs/>
        </w:rPr>
        <w:t xml:space="preserve"> </w:t>
      </w:r>
      <w:r w:rsidR="00470169" w:rsidRPr="00485F66">
        <w:rPr>
          <w:i/>
          <w:iCs/>
        </w:rPr>
        <w:t xml:space="preserve">Daily </w:t>
      </w:r>
      <w:r w:rsidR="001E6C5A" w:rsidRPr="00485F66">
        <w:rPr>
          <w:i/>
          <w:iCs/>
        </w:rPr>
        <w:t xml:space="preserve">dose of </w:t>
      </w:r>
      <w:r w:rsidR="00470169" w:rsidRPr="00485F66">
        <w:rPr>
          <w:i/>
          <w:iCs/>
        </w:rPr>
        <w:t>treatment (DDD)</w:t>
      </w:r>
      <w:r w:rsidR="00470169" w:rsidRPr="00485F66">
        <w:t xml:space="preserve"> is an average maintenance dose per day for a medicine used for its main indication in adults.</w:t>
      </w:r>
      <w:r w:rsidR="00470169" w:rsidRPr="00485F66">
        <w:rPr>
          <w:rStyle w:val="FootnoteReference"/>
        </w:rPr>
        <w:footnoteReference w:id="2"/>
      </w:r>
      <w:r w:rsidR="00470169" w:rsidRPr="00485F66">
        <w:t xml:space="preserve"> </w:t>
      </w:r>
      <w:r w:rsidR="00AA4036" w:rsidRPr="00485F66">
        <w:t>DDD</w:t>
      </w:r>
      <w:r w:rsidR="009A4ECD" w:rsidRPr="00485F66">
        <w:t>s</w:t>
      </w:r>
      <w:r w:rsidR="00AA4036" w:rsidRPr="00485F66">
        <w:t xml:space="preserve"> allow </w:t>
      </w:r>
      <w:r w:rsidR="009A4ECD" w:rsidRPr="00485F66">
        <w:t>comparisons of medicine use despite differences in strength, quantity or pack size.</w:t>
      </w:r>
    </w:p>
    <w:p w14:paraId="4B32B793" w14:textId="15284721" w:rsidR="00B95233" w:rsidRPr="00485F66" w:rsidRDefault="77395C2D" w:rsidP="77395C2D">
      <w:pPr>
        <w:shd w:val="clear" w:color="auto" w:fill="FFFFFF" w:themeFill="background1"/>
        <w:spacing w:after="120" w:line="240" w:lineRule="auto"/>
        <w:ind w:left="720"/>
        <w:jc w:val="both"/>
      </w:pPr>
      <w:r w:rsidRPr="00485F66">
        <w:rPr>
          <w:i/>
          <w:iCs/>
        </w:rPr>
        <w:lastRenderedPageBreak/>
        <w:t>2.b) National poverty line (NLP)</w:t>
      </w:r>
      <w:r w:rsidRPr="00485F66">
        <w:t xml:space="preserve"> is the benchmark for estimating poverty indicators that are consistent with the country's specific economic and social circumstances. NPLs reflect local perceptions of the level and composition of consumption or income needed to be non-poor. </w:t>
      </w:r>
    </w:p>
    <w:p w14:paraId="6BA122EB" w14:textId="585AFA99" w:rsidR="00AE0848" w:rsidRPr="00485F66" w:rsidRDefault="00EA1101" w:rsidP="00C4223C">
      <w:pPr>
        <w:spacing w:after="120" w:line="240" w:lineRule="auto"/>
        <w:ind w:left="720"/>
        <w:jc w:val="both"/>
      </w:pPr>
      <w:r w:rsidRPr="00485F66">
        <w:t xml:space="preserve">2.c) </w:t>
      </w:r>
      <w:r w:rsidR="00C4223C" w:rsidRPr="00485F66">
        <w:t>W</w:t>
      </w:r>
      <w:r w:rsidR="00C4223C" w:rsidRPr="00485F66">
        <w:rPr>
          <w:i/>
          <w:iCs/>
        </w:rPr>
        <w:t>age</w:t>
      </w:r>
      <w:r w:rsidR="00B95233" w:rsidRPr="00485F66">
        <w:rPr>
          <w:i/>
          <w:iCs/>
        </w:rPr>
        <w:t xml:space="preserve"> of the lowest paid unskilled government worker (LPGW)</w:t>
      </w:r>
      <w:r w:rsidR="00B95233" w:rsidRPr="00485F66">
        <w:t xml:space="preserve"> is</w:t>
      </w:r>
      <w:r w:rsidR="00AA4036" w:rsidRPr="00485F66">
        <w:t xml:space="preserve"> a</w:t>
      </w:r>
      <w:r w:rsidR="00B95233" w:rsidRPr="00485F66">
        <w:t xml:space="preserve"> </w:t>
      </w:r>
      <w:r w:rsidR="001E6C5A" w:rsidRPr="00485F66">
        <w:t xml:space="preserve">minimum living wage </w:t>
      </w:r>
      <w:r w:rsidR="00470169" w:rsidRPr="00485F66">
        <w:t xml:space="preserve">that employees are entitled </w:t>
      </w:r>
      <w:r w:rsidR="001E6C5A" w:rsidRPr="00485F66">
        <w:t xml:space="preserve">to receive </w:t>
      </w:r>
      <w:r w:rsidR="00470169" w:rsidRPr="00485F66">
        <w:t>to</w:t>
      </w:r>
      <w:r w:rsidR="00AE0848" w:rsidRPr="00485F66">
        <w:t xml:space="preserve"> ensure </w:t>
      </w:r>
      <w:r w:rsidR="001E6C5A" w:rsidRPr="00485F66">
        <w:t xml:space="preserve">overcome of poverty </w:t>
      </w:r>
      <w:r w:rsidR="00A54D40" w:rsidRPr="00485F66">
        <w:t xml:space="preserve">and </w:t>
      </w:r>
      <w:r w:rsidR="001E6C5A" w:rsidRPr="00485F66">
        <w:t xml:space="preserve">reduction of </w:t>
      </w:r>
      <w:r w:rsidR="00A54D40" w:rsidRPr="00485F66">
        <w:t>inequalities</w:t>
      </w:r>
      <w:r w:rsidR="00AE0848" w:rsidRPr="00485F66">
        <w:t>.</w:t>
      </w:r>
      <w:r w:rsidR="00AE0848" w:rsidRPr="00485F66">
        <w:rPr>
          <w:rStyle w:val="FootnoteReference"/>
        </w:rPr>
        <w:footnoteReference w:id="3"/>
      </w:r>
    </w:p>
    <w:p w14:paraId="65FC2819" w14:textId="2776606C" w:rsidR="0094434D" w:rsidRPr="00485F66" w:rsidRDefault="00E30DD8" w:rsidP="00B02A09">
      <w:pPr>
        <w:spacing w:after="120" w:line="240" w:lineRule="auto"/>
        <w:jc w:val="both"/>
      </w:pPr>
      <w:r w:rsidRPr="00485F66">
        <w:t>In other words, affordability of a medicine identifies how many (if any) extra daily wages are needed for an individual who earns</w:t>
      </w:r>
      <w:r w:rsidR="00E26EF9" w:rsidRPr="00485F66">
        <w:t xml:space="preserve"> the</w:t>
      </w:r>
      <w:r w:rsidRPr="00485F66">
        <w:t xml:space="preserve"> LPGW wage to be able to purchase a medicine. The computed EDW ratio aims to indicate whether the LPGW wage is enough for the individual who earns the lowest possible income to cover</w:t>
      </w:r>
      <w:r w:rsidR="00B02A09" w:rsidRPr="00485F66">
        <w:t xml:space="preserve"> 1) the daily expenditures for food and non-food items used to define (relative or absolute) poverty using national standards (NPL) and 2) </w:t>
      </w:r>
      <w:r w:rsidRPr="00485F66">
        <w:t>the daily needs for a medicine (DDD). This ratio then requires transformation into a binary variable where medicine is affordable when zero extra daily wages are required to purchase it and not affordable otherwise.</w:t>
      </w:r>
    </w:p>
    <w:p w14:paraId="5C7C4B1D" w14:textId="77777777" w:rsidR="00E30DD8" w:rsidRPr="00485F66" w:rsidRDefault="00E30DD8" w:rsidP="00E30DD8">
      <w:pPr>
        <w:spacing w:after="120" w:line="240" w:lineRule="auto"/>
        <w:jc w:val="both"/>
        <w:rPr>
          <w:sz w:val="10"/>
        </w:rPr>
      </w:pPr>
    </w:p>
    <w:p w14:paraId="4E696ADA" w14:textId="7D3D1E78" w:rsidR="00035ABB" w:rsidRPr="00485F66" w:rsidRDefault="77395C2D" w:rsidP="00560D7D">
      <w:pPr>
        <w:shd w:val="clear" w:color="auto" w:fill="FFFFFF" w:themeFill="background1"/>
        <w:spacing w:after="120" w:line="240" w:lineRule="auto"/>
        <w:jc w:val="both"/>
      </w:pPr>
      <w:r w:rsidRPr="00485F66">
        <w:rPr>
          <w:b/>
          <w:bCs/>
        </w:rPr>
        <w:t>3)</w:t>
      </w:r>
      <w:r w:rsidR="00E26EF9" w:rsidRPr="00485F66">
        <w:rPr>
          <w:b/>
          <w:bCs/>
        </w:rPr>
        <w:t xml:space="preserve"> The </w:t>
      </w:r>
      <w:r w:rsidR="00E26EF9" w:rsidRPr="00485F66">
        <w:rPr>
          <w:b/>
          <w:bCs/>
          <w:u w:val="single"/>
        </w:rPr>
        <w:t>c</w:t>
      </w:r>
      <w:r w:rsidRPr="00485F66">
        <w:rPr>
          <w:b/>
          <w:bCs/>
          <w:u w:val="single"/>
        </w:rPr>
        <w:t>ore set of relevant essential medicine</w:t>
      </w:r>
      <w:r w:rsidR="00E26EF9" w:rsidRPr="00485F66">
        <w:rPr>
          <w:b/>
          <w:u w:val="single"/>
        </w:rPr>
        <w:t>s</w:t>
      </w:r>
      <w:r w:rsidR="00E26EF9" w:rsidRPr="00485F66">
        <w:t xml:space="preserve"> is a</w:t>
      </w:r>
      <w:r w:rsidRPr="00485F66">
        <w:t xml:space="preserve"> list of </w:t>
      </w:r>
      <w:r w:rsidR="00560D7D" w:rsidRPr="00485F66">
        <w:t>32</w:t>
      </w:r>
      <w:r w:rsidRPr="00485F66">
        <w:t xml:space="preserve"> tracer </w:t>
      </w:r>
      <w:r w:rsidR="009A4ECD" w:rsidRPr="00485F66">
        <w:t xml:space="preserve">essential </w:t>
      </w:r>
      <w:r w:rsidRPr="00485F66">
        <w:t xml:space="preserve">medicines for </w:t>
      </w:r>
      <w:r w:rsidR="009A4ECD" w:rsidRPr="00485F66">
        <w:t xml:space="preserve">acute and chronic, communicable and non-communicable diseases in the primary health care </w:t>
      </w:r>
      <w:r w:rsidR="00012D29" w:rsidRPr="00485F66">
        <w:t>setting</w:t>
      </w:r>
      <w:r w:rsidRPr="00485F66">
        <w:t xml:space="preserve">. </w:t>
      </w:r>
    </w:p>
    <w:p w14:paraId="15085D0D" w14:textId="6388FB53" w:rsidR="00760EC0" w:rsidRPr="00485F66" w:rsidRDefault="00760EC0" w:rsidP="77395C2D">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This basket of medicines has been selected from the 2017 WHO Model List of Essential Medicines and used in primary health care.  By definition, essential medicines are those that satisfy the priority health care needs of the </w:t>
      </w:r>
      <w:r w:rsidR="00612DD8" w:rsidRPr="00485F66">
        <w:rPr>
          <w:rFonts w:eastAsia="Times New Roman" w:cs="Times New Roman"/>
          <w:lang w:eastAsia="en-GB"/>
        </w:rPr>
        <w:t>population and</w:t>
      </w:r>
      <w:r w:rsidRPr="00485F66">
        <w:rPr>
          <w:rFonts w:eastAsia="Times New Roman" w:cs="Times New Roman"/>
          <w:lang w:eastAsia="en-GB"/>
        </w:rPr>
        <w:t xml:space="preserve"> are selected for inclusion on the Model List based on due consideration of disease prevalence, evidence of efficacy and safety, and consideration of cost and cost-effectiveness.  </w:t>
      </w:r>
    </w:p>
    <w:p w14:paraId="712EFF3B" w14:textId="376DF76F" w:rsidR="00330701" w:rsidRPr="00485F66" w:rsidRDefault="00012D29" w:rsidP="004745F8">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These medicines </w:t>
      </w:r>
      <w:r w:rsidR="77395C2D" w:rsidRPr="00485F66">
        <w:rPr>
          <w:rFonts w:eastAsia="Times New Roman" w:cs="Times New Roman"/>
          <w:lang w:eastAsia="en-GB"/>
        </w:rPr>
        <w:t xml:space="preserve">are listed in </w:t>
      </w:r>
      <w:r w:rsidRPr="00485F66">
        <w:rPr>
          <w:rFonts w:eastAsia="Times New Roman" w:cs="Times New Roman"/>
          <w:bCs/>
          <w:i/>
          <w:lang w:eastAsia="en-GB"/>
        </w:rPr>
        <w:t xml:space="preserve">table 1 </w:t>
      </w:r>
      <w:r w:rsidRPr="00485F66">
        <w:rPr>
          <w:rFonts w:eastAsia="Times New Roman" w:cs="Times New Roman"/>
          <w:bCs/>
          <w:lang w:eastAsia="en-GB"/>
        </w:rPr>
        <w:t xml:space="preserve">of </w:t>
      </w:r>
      <w:r w:rsidR="00466A00" w:rsidRPr="00485F66">
        <w:rPr>
          <w:rFonts w:eastAsia="Times New Roman" w:cs="Times New Roman"/>
          <w:b/>
          <w:bCs/>
          <w:u w:val="single"/>
          <w:lang w:eastAsia="en-GB"/>
        </w:rPr>
        <w:t>Annex 1</w:t>
      </w:r>
      <w:r w:rsidRPr="00485F66">
        <w:rPr>
          <w:rFonts w:eastAsia="Times New Roman" w:cs="Times New Roman"/>
          <w:bCs/>
          <w:lang w:eastAsia="en-GB"/>
        </w:rPr>
        <w:t>, where</w:t>
      </w:r>
      <w:r w:rsidR="00FF4D8D" w:rsidRPr="00485F66">
        <w:rPr>
          <w:rFonts w:eastAsia="Times New Roman" w:cs="Times New Roman"/>
          <w:lang w:eastAsia="en-GB"/>
        </w:rPr>
        <w:t xml:space="preserve"> a</w:t>
      </w:r>
      <w:r w:rsidR="77395C2D" w:rsidRPr="00485F66">
        <w:rPr>
          <w:rFonts w:eastAsia="Times New Roman" w:cs="Times New Roman"/>
          <w:lang w:eastAsia="en-GB"/>
        </w:rPr>
        <w:t xml:space="preserve"> detailed justification for including each medicine</w:t>
      </w:r>
      <w:r w:rsidRPr="00485F66">
        <w:rPr>
          <w:rFonts w:eastAsia="Times New Roman" w:cs="Times New Roman"/>
          <w:lang w:eastAsia="en-GB"/>
        </w:rPr>
        <w:t xml:space="preserve"> is also provided</w:t>
      </w:r>
      <w:r w:rsidR="00466A00" w:rsidRPr="00485F66">
        <w:rPr>
          <w:rFonts w:eastAsia="Times New Roman" w:cs="Times New Roman"/>
          <w:lang w:eastAsia="en-GB"/>
        </w:rPr>
        <w:t>,</w:t>
      </w:r>
      <w:r w:rsidR="77395C2D" w:rsidRPr="00485F66">
        <w:rPr>
          <w:rFonts w:eastAsia="Times New Roman" w:cs="Times New Roman"/>
          <w:lang w:eastAsia="en-GB"/>
        </w:rPr>
        <w:t xml:space="preserve"> as well as online references </w:t>
      </w:r>
      <w:r w:rsidR="00466A00" w:rsidRPr="00485F66">
        <w:rPr>
          <w:rFonts w:eastAsia="Times New Roman" w:cs="Times New Roman"/>
          <w:lang w:eastAsia="en-GB"/>
        </w:rPr>
        <w:t xml:space="preserve">for </w:t>
      </w:r>
      <w:r w:rsidR="77395C2D" w:rsidRPr="00485F66">
        <w:rPr>
          <w:rFonts w:eastAsia="Times New Roman" w:cs="Times New Roman"/>
          <w:lang w:eastAsia="en-GB"/>
        </w:rPr>
        <w:t>the relevant treatment guidelines and sections in the WHO List of Essential Medicines</w:t>
      </w:r>
      <w:r w:rsidR="00466A00" w:rsidRPr="00485F66">
        <w:rPr>
          <w:rFonts w:eastAsia="Times New Roman" w:cs="Times New Roman"/>
          <w:lang w:eastAsia="en-GB"/>
        </w:rPr>
        <w:t>.</w:t>
      </w:r>
    </w:p>
    <w:p w14:paraId="4637E4AC" w14:textId="77777777" w:rsidR="00012D29" w:rsidRPr="00485F66" w:rsidRDefault="77395C2D" w:rsidP="00012D29">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This list of medicines is </w:t>
      </w:r>
      <w:r w:rsidR="00012D29" w:rsidRPr="00485F66">
        <w:rPr>
          <w:rFonts w:eastAsia="Times New Roman" w:cs="Times New Roman"/>
          <w:lang w:eastAsia="en-GB"/>
        </w:rPr>
        <w:t>intended as a</w:t>
      </w:r>
      <w:r w:rsidRPr="00485F66">
        <w:rPr>
          <w:rFonts w:eastAsia="Times New Roman" w:cs="Times New Roman"/>
          <w:lang w:eastAsia="en-GB"/>
        </w:rPr>
        <w:t xml:space="preserve"> global</w:t>
      </w:r>
      <w:r w:rsidR="00012D29" w:rsidRPr="00485F66">
        <w:rPr>
          <w:rFonts w:eastAsia="Times New Roman" w:cs="Times New Roman"/>
          <w:lang w:eastAsia="en-GB"/>
        </w:rPr>
        <w:t xml:space="preserve"> reference</w:t>
      </w:r>
      <w:r w:rsidRPr="00485F66">
        <w:rPr>
          <w:rFonts w:eastAsia="Times New Roman" w:cs="Times New Roman"/>
          <w:lang w:eastAsia="en-GB"/>
        </w:rPr>
        <w:t xml:space="preserve">. </w:t>
      </w:r>
      <w:r w:rsidR="00012D29" w:rsidRPr="00485F66">
        <w:rPr>
          <w:rFonts w:eastAsia="Times New Roman" w:cs="Times New Roman"/>
          <w:lang w:eastAsia="en-GB"/>
        </w:rPr>
        <w:t>However, to address regional and country specificities in terms of medicine needs, the</w:t>
      </w:r>
      <w:r w:rsidRPr="00485F66">
        <w:rPr>
          <w:rFonts w:eastAsia="Times New Roman" w:cs="Times New Roman"/>
          <w:lang w:eastAsia="en-GB"/>
        </w:rPr>
        <w:t xml:space="preserve"> medicines</w:t>
      </w:r>
      <w:r w:rsidR="004F4067" w:rsidRPr="00485F66">
        <w:rPr>
          <w:rFonts w:eastAsia="Times New Roman" w:cs="Times New Roman"/>
          <w:lang w:eastAsia="en-GB"/>
        </w:rPr>
        <w:t xml:space="preserve"> in this basket</w:t>
      </w:r>
      <w:r w:rsidRPr="00485F66">
        <w:rPr>
          <w:rFonts w:eastAsia="Times New Roman" w:cs="Times New Roman"/>
          <w:lang w:eastAsia="en-GB"/>
        </w:rPr>
        <w:t xml:space="preserve"> are weighted according to the regional burden of disease.</w:t>
      </w:r>
    </w:p>
    <w:p w14:paraId="18754255" w14:textId="2A3A381F" w:rsidR="00861C0B" w:rsidRPr="00485F66" w:rsidRDefault="00734289" w:rsidP="00012D29">
      <w:pPr>
        <w:shd w:val="clear" w:color="auto" w:fill="FFFFFF" w:themeFill="background1"/>
        <w:spacing w:after="120" w:line="240" w:lineRule="auto"/>
        <w:ind w:left="720"/>
        <w:jc w:val="both"/>
        <w:rPr>
          <w:rFonts w:ascii="Times New Roman" w:hAnsi="Times New Roman" w:cs="Times New Roman"/>
        </w:rPr>
      </w:pPr>
      <w:r w:rsidRPr="00485F66">
        <w:t xml:space="preserve">3.a) </w:t>
      </w:r>
      <w:r w:rsidR="00F92EEE" w:rsidRPr="00485F66">
        <w:t>The</w:t>
      </w:r>
      <w:r w:rsidR="004F4067" w:rsidRPr="00485F66">
        <w:rPr>
          <w:b/>
          <w:bCs/>
        </w:rPr>
        <w:t xml:space="preserve"> </w:t>
      </w:r>
      <w:r w:rsidR="00F92EEE" w:rsidRPr="00485F66">
        <w:rPr>
          <w:bCs/>
          <w:i/>
        </w:rPr>
        <w:t>global burden of disease</w:t>
      </w:r>
      <w:r w:rsidR="00F92EEE" w:rsidRPr="00485F66">
        <w:t xml:space="preserve"> is an assessment of the health of the world's population</w:t>
      </w:r>
      <w:r w:rsidR="009E3342" w:rsidRPr="00485F66">
        <w:t xml:space="preserve">. More </w:t>
      </w:r>
      <w:r w:rsidR="004F4067" w:rsidRPr="00485F66">
        <w:t>specifically</w:t>
      </w:r>
      <w:r w:rsidR="009E3342" w:rsidRPr="00485F66">
        <w:t xml:space="preserve">, </w:t>
      </w:r>
      <w:r w:rsidR="00DD2123" w:rsidRPr="00485F66">
        <w:t xml:space="preserve">disease burden </w:t>
      </w:r>
      <w:r w:rsidR="00F92EEE" w:rsidRPr="00485F66">
        <w:t>provides</w:t>
      </w:r>
      <w:r w:rsidR="009E3342" w:rsidRPr="00485F66">
        <w:t xml:space="preserve"> information on the </w:t>
      </w:r>
      <w:r w:rsidR="00F92EEE" w:rsidRPr="00485F66">
        <w:t xml:space="preserve">global and regional estimates of premature mortality, disability and loss of health for causes. The summary measure used to give an indication of the burden of disease is the disability adjusted life years (DALYs), </w:t>
      </w:r>
      <w:r w:rsidR="00B2471C" w:rsidRPr="00485F66">
        <w:t xml:space="preserve">which represent </w:t>
      </w:r>
      <w:r w:rsidR="00F92EEE" w:rsidRPr="00485F66">
        <w:t>a person’s loss of the equivalent of one year of full health. This metric incorporates years of life lost due to death and years of life lost through living in states of less than full health (or disability).</w:t>
      </w:r>
      <w:r w:rsidR="00F92EEE" w:rsidRPr="00485F66">
        <w:rPr>
          <w:rStyle w:val="FootnoteReference"/>
        </w:rPr>
        <w:footnoteReference w:id="4"/>
      </w:r>
    </w:p>
    <w:p w14:paraId="3C36093A" w14:textId="77777777" w:rsidR="009606DA" w:rsidRPr="00485F66" w:rsidRDefault="009606DA" w:rsidP="77395C2D">
      <w:pPr>
        <w:shd w:val="clear" w:color="auto" w:fill="FFFFFF" w:themeFill="background1"/>
        <w:spacing w:after="0"/>
        <w:jc w:val="center"/>
        <w:rPr>
          <w:rFonts w:eastAsia="Times New Roman" w:cs="Times New Roman"/>
          <w:b/>
          <w:bCs/>
          <w:lang w:eastAsia="en-GB"/>
        </w:rPr>
      </w:pPr>
    </w:p>
    <w:p w14:paraId="05AB384D" w14:textId="77777777" w:rsidR="001407CE" w:rsidRPr="00485F66" w:rsidRDefault="77395C2D" w:rsidP="77395C2D">
      <w:pPr>
        <w:shd w:val="clear" w:color="auto" w:fill="FFFFFF" w:themeFill="background1"/>
        <w:spacing w:after="0"/>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Comments and limitations:</w:t>
      </w:r>
    </w:p>
    <w:p w14:paraId="1C8698CA" w14:textId="77777777" w:rsidR="00575F92" w:rsidRPr="00485F66" w:rsidRDefault="00575F92" w:rsidP="77395C2D">
      <w:pPr>
        <w:shd w:val="clear" w:color="auto" w:fill="FFFFFF" w:themeFill="background1"/>
        <w:spacing w:after="0"/>
        <w:jc w:val="both"/>
        <w:rPr>
          <w:rFonts w:eastAsia="Times New Roman" w:cs="Times New Roman"/>
          <w:b/>
          <w:bCs/>
          <w:color w:val="4A4A4A"/>
          <w:sz w:val="10"/>
          <w:szCs w:val="24"/>
          <w:lang w:eastAsia="en-GB"/>
        </w:rPr>
      </w:pPr>
    </w:p>
    <w:p w14:paraId="51E3754D" w14:textId="6E86BE0D" w:rsidR="00CB3928" w:rsidRPr="00485F66" w:rsidRDefault="003B7C32" w:rsidP="00CB3928">
      <w:pPr>
        <w:pStyle w:val="ListParagraph"/>
        <w:numPr>
          <w:ilvl w:val="0"/>
          <w:numId w:val="24"/>
        </w:numPr>
        <w:rPr>
          <w:rFonts w:eastAsia="Times New Roman" w:cs="Times New Roman"/>
          <w:b/>
          <w:bCs/>
          <w:color w:val="4A4A4A"/>
          <w:lang w:eastAsia="en-GB"/>
        </w:rPr>
      </w:pPr>
      <w:r w:rsidRPr="00485F66">
        <w:rPr>
          <w:rFonts w:eastAsia="Times New Roman" w:cs="Times New Roman"/>
          <w:b/>
          <w:bCs/>
          <w:color w:val="4A4A4A"/>
          <w:lang w:eastAsia="en-GB"/>
        </w:rPr>
        <w:t>On basket of tracer essential medicines:</w:t>
      </w:r>
    </w:p>
    <w:p w14:paraId="1F554079" w14:textId="336380D8" w:rsidR="00CB3928" w:rsidRPr="00485F66" w:rsidRDefault="00701225" w:rsidP="00560D7D">
      <w:pPr>
        <w:pStyle w:val="ListParagraph"/>
        <w:numPr>
          <w:ilvl w:val="1"/>
          <w:numId w:val="38"/>
        </w:numPr>
        <w:spacing w:after="120" w:line="240" w:lineRule="auto"/>
        <w:jc w:val="both"/>
        <w:rPr>
          <w:rFonts w:cs="Times New Roman"/>
        </w:rPr>
      </w:pPr>
      <w:r w:rsidRPr="00485F66">
        <w:rPr>
          <w:rFonts w:cs="Times New Roman"/>
        </w:rPr>
        <w:t xml:space="preserve">Although it is possible to regularly monitor all 400+ medicines on the current </w:t>
      </w:r>
      <w:r w:rsidR="00330FD0" w:rsidRPr="00485F66">
        <w:rPr>
          <w:rFonts w:cs="Times New Roman"/>
        </w:rPr>
        <w:t xml:space="preserve">WHO </w:t>
      </w:r>
      <w:r w:rsidRPr="00485F66">
        <w:rPr>
          <w:rFonts w:cs="Times New Roman"/>
        </w:rPr>
        <w:t xml:space="preserve">Model List of Essential Medicines, indicator 3.b.3 requires a specific subset of this list. Over the years, several baskets of medicines have been defined for different purposes and used to conduct data collection and monitor price and availability. This </w:t>
      </w:r>
      <w:r w:rsidR="00012D29" w:rsidRPr="00485F66">
        <w:rPr>
          <w:rFonts w:cs="Times New Roman"/>
        </w:rPr>
        <w:t>core set of medicines</w:t>
      </w:r>
      <w:r w:rsidRPr="00485F66">
        <w:rPr>
          <w:rFonts w:cs="Times New Roman"/>
        </w:rPr>
        <w:t xml:space="preserve"> does not replace the other existing baskets, and WHO teams and partners are encouraged and committed to continue ad hoc monitoring through other existing channels.</w:t>
      </w:r>
      <w:r w:rsidR="002F4498" w:rsidRPr="00485F66">
        <w:rPr>
          <w:rFonts w:cs="Times New Roman"/>
        </w:rPr>
        <w:t xml:space="preserve"> </w:t>
      </w:r>
      <w:r w:rsidRPr="00485F66">
        <w:rPr>
          <w:rFonts w:cs="Times New Roman"/>
        </w:rPr>
        <w:t xml:space="preserve">Throughout the process of identifying the core set of medicines, one area of focus has been to balance the selection of the tracer </w:t>
      </w:r>
      <w:r w:rsidRPr="00485F66">
        <w:rPr>
          <w:rFonts w:cs="Times New Roman"/>
        </w:rPr>
        <w:lastRenderedPageBreak/>
        <w:t>medicines for primary health care with the size of the basket itself</w:t>
      </w:r>
      <w:r w:rsidR="00571A83" w:rsidRPr="00485F66">
        <w:rPr>
          <w:rFonts w:cs="Times New Roman"/>
        </w:rPr>
        <w:t xml:space="preserve">. The </w:t>
      </w:r>
      <w:r w:rsidR="00917270" w:rsidRPr="00485F66">
        <w:rPr>
          <w:rFonts w:cs="Times New Roman"/>
        </w:rPr>
        <w:t>proposed</w:t>
      </w:r>
      <w:r w:rsidR="00571A83" w:rsidRPr="00485F66">
        <w:rPr>
          <w:rFonts w:cs="Times New Roman"/>
        </w:rPr>
        <w:t xml:space="preserve"> basket </w:t>
      </w:r>
      <w:r w:rsidR="00917270" w:rsidRPr="00485F66">
        <w:rPr>
          <w:rFonts w:cs="Times New Roman"/>
        </w:rPr>
        <w:t xml:space="preserve">represents a balanced approach to allow that relevant tracer medicines for primary health care are </w:t>
      </w:r>
      <w:r w:rsidR="002F4498" w:rsidRPr="00485F66">
        <w:rPr>
          <w:rFonts w:cs="Times New Roman"/>
        </w:rPr>
        <w:t>monitored yet</w:t>
      </w:r>
      <w:r w:rsidR="00917270" w:rsidRPr="00485F66">
        <w:rPr>
          <w:rFonts w:cs="Times New Roman"/>
        </w:rPr>
        <w:t xml:space="preserve"> ensuring a practical and feasible data collection and analysis.</w:t>
      </w:r>
      <w:r w:rsidR="002F4498" w:rsidRPr="00485F66">
        <w:rPr>
          <w:rFonts w:cs="Times New Roman"/>
        </w:rPr>
        <w:t xml:space="preserve"> </w:t>
      </w:r>
      <w:r w:rsidR="00571A83" w:rsidRPr="00485F66">
        <w:rPr>
          <w:rFonts w:cs="Times New Roman"/>
        </w:rPr>
        <w:t xml:space="preserve">The </w:t>
      </w:r>
      <w:r w:rsidR="00560D7D" w:rsidRPr="00485F66">
        <w:rPr>
          <w:rFonts w:cs="Times New Roman"/>
        </w:rPr>
        <w:t>32</w:t>
      </w:r>
      <w:r w:rsidRPr="00485F66">
        <w:rPr>
          <w:rFonts w:cs="Times New Roman"/>
        </w:rPr>
        <w:t xml:space="preserve"> medicines listed in the basket are meant to be indicative of the access to medicines for primary health care but </w:t>
      </w:r>
      <w:r w:rsidR="006C043E" w:rsidRPr="00485F66">
        <w:rPr>
          <w:rFonts w:cs="Times New Roman"/>
        </w:rPr>
        <w:t>do not serve as a</w:t>
      </w:r>
      <w:r w:rsidRPr="00485F66">
        <w:rPr>
          <w:rFonts w:cs="Times New Roman"/>
        </w:rPr>
        <w:t xml:space="preserve"> complete or exhaustive list. </w:t>
      </w:r>
    </w:p>
    <w:p w14:paraId="3DCAD54B" w14:textId="1386BF3F" w:rsidR="003C754F" w:rsidRPr="00485F66" w:rsidRDefault="009318D6" w:rsidP="00F47F1C">
      <w:pPr>
        <w:pStyle w:val="ListParagraph"/>
        <w:numPr>
          <w:ilvl w:val="1"/>
          <w:numId w:val="38"/>
        </w:numPr>
        <w:spacing w:after="120" w:line="240" w:lineRule="auto"/>
        <w:jc w:val="both"/>
        <w:rPr>
          <w:rFonts w:cs="Times New Roman"/>
        </w:rPr>
      </w:pPr>
      <w:r w:rsidRPr="00485F66">
        <w:rPr>
          <w:rFonts w:cs="Times New Roman"/>
        </w:rPr>
        <w:t xml:space="preserve">As mentioned above, </w:t>
      </w:r>
      <w:r w:rsidR="00917270" w:rsidRPr="00485F66">
        <w:rPr>
          <w:rFonts w:cs="Times New Roman"/>
        </w:rPr>
        <w:t>each medicine in the basket is weighted according to the r</w:t>
      </w:r>
      <w:r w:rsidRPr="00485F66">
        <w:rPr>
          <w:rFonts w:cs="Times New Roman"/>
        </w:rPr>
        <w:t xml:space="preserve">egional Disability Adjusted Life Years (DALYs) </w:t>
      </w:r>
      <w:r w:rsidR="00182B15" w:rsidRPr="00485F66">
        <w:rPr>
          <w:rFonts w:cs="Times New Roman"/>
        </w:rPr>
        <w:t xml:space="preserve">for relevant disease </w:t>
      </w:r>
      <w:r w:rsidRPr="00485F66">
        <w:rPr>
          <w:rFonts w:cs="Times New Roman"/>
        </w:rPr>
        <w:t xml:space="preserve">from the WHO </w:t>
      </w:r>
      <w:r w:rsidR="003C754F" w:rsidRPr="00485F66">
        <w:rPr>
          <w:rFonts w:eastAsia="Times New Roman" w:cs="Times New Roman"/>
          <w:lang w:eastAsia="en-GB"/>
        </w:rPr>
        <w:t>Global health estimates</w:t>
      </w:r>
      <w:r w:rsidRPr="00485F66">
        <w:rPr>
          <w:rFonts w:cs="Times New Roman"/>
        </w:rPr>
        <w:t xml:space="preserve">. </w:t>
      </w:r>
      <w:r w:rsidR="003C754F" w:rsidRPr="00485F66">
        <w:rPr>
          <w:rFonts w:cs="Times New Roman"/>
        </w:rPr>
        <w:t>Regional estimates are less sensitive to country-by-country variability of data quality</w:t>
      </w:r>
      <w:r w:rsidRPr="00485F66">
        <w:rPr>
          <w:rFonts w:cs="Times New Roman"/>
        </w:rPr>
        <w:t xml:space="preserve">, </w:t>
      </w:r>
      <w:r w:rsidR="00F47834" w:rsidRPr="00485F66">
        <w:rPr>
          <w:rFonts w:cs="Times New Roman"/>
        </w:rPr>
        <w:t>they</w:t>
      </w:r>
      <w:r w:rsidRPr="00485F66">
        <w:rPr>
          <w:rFonts w:cs="Times New Roman"/>
        </w:rPr>
        <w:t xml:space="preserve"> sufficiently illustrate the disease distribution across countries in the region and work well due simplicity and comparability. Hence, regional weights for medicines are used to establish the associated country weights. However, this diminishes the specificity of the basket to the national context.</w:t>
      </w:r>
    </w:p>
    <w:p w14:paraId="27C5FB0E" w14:textId="77777777" w:rsidR="00AD00B5" w:rsidRPr="00485F66" w:rsidRDefault="00AD00B5" w:rsidP="00AD00B5">
      <w:pPr>
        <w:pStyle w:val="ListParagraph"/>
        <w:spacing w:after="120" w:line="240" w:lineRule="auto"/>
        <w:ind w:left="360"/>
        <w:jc w:val="both"/>
        <w:rPr>
          <w:rFonts w:cs="Times New Roman"/>
        </w:rPr>
      </w:pPr>
    </w:p>
    <w:p w14:paraId="6E480A8A" w14:textId="1E2302A9" w:rsidR="003B7C32" w:rsidRPr="00485F66" w:rsidRDefault="003B7C32" w:rsidP="00F96E11">
      <w:pPr>
        <w:pStyle w:val="ListParagraph"/>
        <w:numPr>
          <w:ilvl w:val="0"/>
          <w:numId w:val="24"/>
        </w:num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On the measurement of medicines’ availability</w:t>
      </w:r>
      <w:r w:rsidR="009318D6" w:rsidRPr="00485F66">
        <w:rPr>
          <w:rFonts w:eastAsia="Times New Roman" w:cs="Times New Roman"/>
          <w:b/>
          <w:bCs/>
          <w:color w:val="4A4A4A"/>
          <w:lang w:eastAsia="en-GB"/>
        </w:rPr>
        <w:t>:</w:t>
      </w:r>
    </w:p>
    <w:p w14:paraId="6ADEEBC6" w14:textId="1996ADA1" w:rsidR="009318D6" w:rsidRPr="00485F66" w:rsidRDefault="009318D6" w:rsidP="00560D7D">
      <w:pPr>
        <w:spacing w:after="120" w:line="240" w:lineRule="auto"/>
        <w:jc w:val="both"/>
        <w:rPr>
          <w:rFonts w:cs="Times New Roman"/>
        </w:rPr>
      </w:pPr>
      <w:r w:rsidRPr="00485F66">
        <w:rPr>
          <w:rFonts w:cs="Times New Roman"/>
        </w:rPr>
        <w:t>The proposed approach for measuring the availability of medicines is based on the presence of the medicine on the day that the interviewer visits the facility and does not account for temporary</w:t>
      </w:r>
      <w:r w:rsidR="00095C5C" w:rsidRPr="00485F66">
        <w:rPr>
          <w:rFonts w:cs="Times New Roman"/>
        </w:rPr>
        <w:t xml:space="preserve"> and/or planned</w:t>
      </w:r>
      <w:r w:rsidRPr="00485F66">
        <w:rPr>
          <w:rFonts w:cs="Times New Roman"/>
        </w:rPr>
        <w:t xml:space="preserve"> stock outs. T</w:t>
      </w:r>
      <w:r w:rsidR="00571A83" w:rsidRPr="00485F66">
        <w:rPr>
          <w:rFonts w:cs="Times New Roman"/>
        </w:rPr>
        <w:t xml:space="preserve">he </w:t>
      </w:r>
      <w:r w:rsidR="00560D7D" w:rsidRPr="00485F66">
        <w:rPr>
          <w:rFonts w:cs="Times New Roman"/>
        </w:rPr>
        <w:t>32</w:t>
      </w:r>
      <w:r w:rsidRPr="00485F66">
        <w:rPr>
          <w:rFonts w:cs="Times New Roman"/>
        </w:rPr>
        <w:t xml:space="preserve"> medicines identified for the analysis should always be available in the facilities considering that in some (mainly rural) areas, the facility may be very difficult to reach and individuals may not have resources to travel on a daily basis. </w:t>
      </w:r>
      <w:r w:rsidR="00CB3928" w:rsidRPr="00485F66">
        <w:rPr>
          <w:rFonts w:cs="Times New Roman"/>
        </w:rPr>
        <w:t>Moreover</w:t>
      </w:r>
      <w:r w:rsidRPr="00485F66">
        <w:rPr>
          <w:rFonts w:cs="Times New Roman"/>
        </w:rPr>
        <w:t xml:space="preserve">, </w:t>
      </w:r>
      <w:r w:rsidR="00CB3928" w:rsidRPr="00485F66">
        <w:rPr>
          <w:rFonts w:cs="Times New Roman"/>
        </w:rPr>
        <w:t xml:space="preserve">in this proposed methodology </w:t>
      </w:r>
      <w:r w:rsidRPr="00485F66">
        <w:rPr>
          <w:rFonts w:cs="Times New Roman"/>
        </w:rPr>
        <w:t xml:space="preserve">the price of the medicine does not take into consideration the so-called indirect costs, which normally include transportation and other costs to reach the facility. Thus, the proposed measure for availability presents some limitations. </w:t>
      </w:r>
    </w:p>
    <w:p w14:paraId="4D4040A6" w14:textId="18746DC0" w:rsidR="009318D6" w:rsidRPr="00485F66" w:rsidRDefault="009318D6" w:rsidP="00F96E11">
      <w:pPr>
        <w:spacing w:after="120" w:line="240" w:lineRule="auto"/>
        <w:jc w:val="both"/>
        <w:rPr>
          <w:rFonts w:eastAsia="Times New Roman" w:cs="Times New Roman"/>
          <w:b/>
          <w:bCs/>
          <w:color w:val="4A4A4A"/>
          <w:lang w:eastAsia="en-GB"/>
        </w:rPr>
      </w:pPr>
      <w:r w:rsidRPr="00485F66">
        <w:rPr>
          <w:rFonts w:cs="Times New Roman"/>
        </w:rPr>
        <w:t>Furthermore, given the data collection occurs at the facility level and does not monitor quantities of any given medicine, an overall analysis of the available medicines compared to the national needs is not possible.</w:t>
      </w:r>
    </w:p>
    <w:p w14:paraId="72B66D82" w14:textId="7FE31519" w:rsidR="0009158C" w:rsidRPr="00485F66" w:rsidRDefault="0009158C" w:rsidP="00F96E11">
      <w:pPr>
        <w:pStyle w:val="ListParagraph"/>
        <w:numPr>
          <w:ilvl w:val="0"/>
          <w:numId w:val="24"/>
        </w:num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 xml:space="preserve">On the measurement of </w:t>
      </w:r>
      <w:r w:rsidR="004E28A1" w:rsidRPr="00485F66">
        <w:rPr>
          <w:rFonts w:eastAsia="Times New Roman" w:cs="Times New Roman"/>
          <w:b/>
          <w:bCs/>
          <w:color w:val="4A4A4A"/>
          <w:lang w:eastAsia="en-GB"/>
        </w:rPr>
        <w:t xml:space="preserve">medicines’ </w:t>
      </w:r>
      <w:r w:rsidRPr="00485F66">
        <w:rPr>
          <w:rFonts w:eastAsia="Times New Roman" w:cs="Times New Roman"/>
          <w:b/>
          <w:bCs/>
          <w:color w:val="4A4A4A"/>
          <w:lang w:eastAsia="en-GB"/>
        </w:rPr>
        <w:t>affordability</w:t>
      </w:r>
      <w:r w:rsidR="009318D6" w:rsidRPr="00485F66">
        <w:rPr>
          <w:rFonts w:eastAsia="Times New Roman" w:cs="Times New Roman"/>
          <w:b/>
          <w:bCs/>
          <w:color w:val="4A4A4A"/>
          <w:lang w:eastAsia="en-GB"/>
        </w:rPr>
        <w:t>:</w:t>
      </w:r>
    </w:p>
    <w:p w14:paraId="5418934C" w14:textId="48F963DF" w:rsidR="000D7B37" w:rsidRPr="00485F66" w:rsidRDefault="000D7B37" w:rsidP="00F96E11">
      <w:pPr>
        <w:spacing w:after="120" w:line="240" w:lineRule="auto"/>
        <w:jc w:val="both"/>
        <w:rPr>
          <w:rFonts w:cs="Times New Roman"/>
        </w:rPr>
      </w:pPr>
      <w:r w:rsidRPr="00485F66">
        <w:rPr>
          <w:rFonts w:cs="Times New Roman"/>
        </w:rPr>
        <w:t xml:space="preserve">3.1) Affordability of a medicine is often measured as the capacity of the population of a given country to pay for this medicine either ex-ante (usually based on income) or ex-post (usually based on reported expenditures). The latter would mainly require data collected at the individual level and from household surveys. However, information on medicine expenditures in these surveys is not always collected and when collected, is not done so consistently and regularly across the </w:t>
      </w:r>
      <w:r w:rsidR="006A32FC" w:rsidRPr="00485F66">
        <w:rPr>
          <w:rFonts w:cs="Times New Roman"/>
        </w:rPr>
        <w:t>countries</w:t>
      </w:r>
      <w:r w:rsidRPr="00485F66">
        <w:rPr>
          <w:rFonts w:cs="Times New Roman"/>
        </w:rPr>
        <w:t xml:space="preserve">. In addition, there is usually a large amount of </w:t>
      </w:r>
      <w:r w:rsidR="00CB3928" w:rsidRPr="00485F66">
        <w:rPr>
          <w:rFonts w:cs="Times New Roman"/>
        </w:rPr>
        <w:t xml:space="preserve">missing </w:t>
      </w:r>
      <w:r w:rsidRPr="00485F66">
        <w:rPr>
          <w:rFonts w:cs="Times New Roman"/>
        </w:rPr>
        <w:t xml:space="preserve">data. </w:t>
      </w:r>
    </w:p>
    <w:p w14:paraId="4DD7C006" w14:textId="268D865A" w:rsidR="000D7B37" w:rsidRPr="00485F66" w:rsidRDefault="000D7B37" w:rsidP="00F96E11">
      <w:pPr>
        <w:spacing w:after="120" w:line="240" w:lineRule="auto"/>
        <w:jc w:val="both"/>
        <w:rPr>
          <w:rFonts w:cs="Times New Roman"/>
        </w:rPr>
      </w:pPr>
      <w:r w:rsidRPr="00485F66">
        <w:rPr>
          <w:rFonts w:cs="Times New Roman"/>
        </w:rPr>
        <w:t>The ex-ante approach is suggested for the purposes of this indicator as it is measured at the facility level. Ex-ante analysis requires identifying a reference person or group of people for the measurement. The lowest paid unskilled government worker is suggested to serve as the reference for this indicator. In other words, if a medicine is identified as being affordable for the individual who receives the LPGW wage, it will most likely be affordable for all other individuals affiliated with that economic group and higher. This obviously does not account for people employed in the unofficial labour market</w:t>
      </w:r>
      <w:r w:rsidR="00FA6F70" w:rsidRPr="00485F66">
        <w:rPr>
          <w:rFonts w:cs="Times New Roman"/>
        </w:rPr>
        <w:t>.</w:t>
      </w:r>
      <w:r w:rsidRPr="00485F66">
        <w:rPr>
          <w:rFonts w:cs="Times New Roman"/>
        </w:rPr>
        <w:t xml:space="preserve"> </w:t>
      </w:r>
    </w:p>
    <w:p w14:paraId="1E92C9EF" w14:textId="6FB4AC3B" w:rsidR="000D7B37" w:rsidRPr="00485F66" w:rsidRDefault="000D7B37" w:rsidP="00AE0352">
      <w:pPr>
        <w:spacing w:after="120" w:line="240" w:lineRule="auto"/>
        <w:jc w:val="both"/>
        <w:rPr>
          <w:rFonts w:cs="Times New Roman"/>
        </w:rPr>
      </w:pPr>
      <w:r w:rsidRPr="00485F66">
        <w:rPr>
          <w:rFonts w:cs="Times New Roman"/>
        </w:rPr>
        <w:t>The proposed methodology is an adjusted HAI/WHO methodology.</w:t>
      </w:r>
      <w:r w:rsidR="00AE0352" w:rsidRPr="00485F66">
        <w:rPr>
          <w:rFonts w:cs="Times New Roman"/>
        </w:rPr>
        <w:t xml:space="preserve"> </w:t>
      </w:r>
      <w:r w:rsidRPr="00485F66">
        <w:rPr>
          <w:rFonts w:cs="Times New Roman"/>
        </w:rPr>
        <w:t xml:space="preserve">The HAI/WHO approach suggests computing the affordability of medicine prices as the number of daily wages that are required for the lowest paid unskilled government worker (LPGW) to purchase a daily dose of a medicine (DDD). This approach is straightforward and also refers to the capacity of the reference individual to pay for the medicines. However, no threshold was identified to distinguish the maximum number of daily wages that an individual must spend on a medicine in order to still be able to afford it.   </w:t>
      </w:r>
    </w:p>
    <w:p w14:paraId="00599478" w14:textId="46D19F8E" w:rsidR="000D7B37" w:rsidRPr="00485F66" w:rsidRDefault="000D7B37" w:rsidP="00F96E11">
      <w:pPr>
        <w:spacing w:after="120" w:line="240" w:lineRule="auto"/>
        <w:jc w:val="both"/>
        <w:rPr>
          <w:rFonts w:cs="Times New Roman"/>
        </w:rPr>
      </w:pPr>
      <w:r w:rsidRPr="00485F66">
        <w:rPr>
          <w:rFonts w:cs="Times New Roman"/>
        </w:rPr>
        <w:t xml:space="preserve">3.2) Information on minimum LPGW wage is available by the International Labour Organization (ILO) for 155 </w:t>
      </w:r>
      <w:r w:rsidR="006A32FC" w:rsidRPr="00485F66">
        <w:rPr>
          <w:rFonts w:cs="Times New Roman"/>
        </w:rPr>
        <w:t>countries</w:t>
      </w:r>
      <w:r w:rsidRPr="00485F66">
        <w:rPr>
          <w:rFonts w:cs="Times New Roman"/>
        </w:rPr>
        <w:t xml:space="preserve">. When information is missing or when information has not been updated recently, the alternative measure suggested is to be taken from the World Development Indicators data on </w:t>
      </w:r>
      <w:r w:rsidRPr="00485F66">
        <w:rPr>
          <w:rFonts w:cs="Times New Roman"/>
        </w:rPr>
        <w:lastRenderedPageBreak/>
        <w:t xml:space="preserve">“minimum wage for a 19-year old worker or an apprentice”, which is often used as an alternative in ILO reports. </w:t>
      </w:r>
    </w:p>
    <w:p w14:paraId="5BDFB80A" w14:textId="022CA2DA" w:rsidR="00F47F1C" w:rsidRPr="00485F66" w:rsidRDefault="000D7B37" w:rsidP="00F96E11">
      <w:pPr>
        <w:tabs>
          <w:tab w:val="left" w:pos="720"/>
        </w:tabs>
        <w:spacing w:after="120" w:line="240" w:lineRule="auto"/>
        <w:jc w:val="both"/>
        <w:rPr>
          <w:rFonts w:cs="Times New Roman"/>
        </w:rPr>
      </w:pPr>
      <w:r w:rsidRPr="00485F66">
        <w:rPr>
          <w:rFonts w:cs="Times New Roman"/>
        </w:rPr>
        <w:t xml:space="preserve">3.3) The proposed indicator, being measured at the facility level, does not account for potential reimbursement schemes/insurance coverage present at the national level. Information about insurance or other forms of cost-coverage schemes at the national level is not readily available and would require standardization to allow for comparison across countries and income levels of the population. </w:t>
      </w:r>
      <w:r w:rsidR="00AE0352" w:rsidRPr="00485F66">
        <w:rPr>
          <w:rFonts w:cs="Times New Roman"/>
        </w:rPr>
        <w:t xml:space="preserve">However, </w:t>
      </w:r>
      <w:r w:rsidR="00974AFE" w:rsidRPr="00485F66">
        <w:rPr>
          <w:rFonts w:cs="Times New Roman"/>
        </w:rPr>
        <w:t>as demonstrated by the OECD in its Health at a Glance report in 2015, in 31 high- and middle-income countries the out-of-pocket (OOP) expenditures on pharmaceuticals as a share of all OOP on health varies from 64 to 16%.</w:t>
      </w:r>
      <w:r w:rsidR="00974AFE" w:rsidRPr="00485F66">
        <w:rPr>
          <w:rStyle w:val="FootnoteReference"/>
          <w:rFonts w:cs="Times New Roman"/>
        </w:rPr>
        <w:footnoteReference w:id="5"/>
      </w:r>
    </w:p>
    <w:p w14:paraId="13457982" w14:textId="0C917C28" w:rsidR="008C7488" w:rsidRPr="00485F66" w:rsidRDefault="00F47F1C" w:rsidP="00F96E11">
      <w:pPr>
        <w:tabs>
          <w:tab w:val="left" w:pos="720"/>
        </w:tabs>
        <w:spacing w:after="120" w:line="240" w:lineRule="auto"/>
        <w:jc w:val="both"/>
        <w:rPr>
          <w:rFonts w:eastAsia="Times New Roman" w:cs="Times New Roman"/>
          <w:lang w:eastAsia="en-GB"/>
        </w:rPr>
      </w:pPr>
      <w:r w:rsidRPr="00485F66">
        <w:rPr>
          <w:rFonts w:cs="Times New Roman"/>
        </w:rPr>
        <w:t xml:space="preserve">Moreover, </w:t>
      </w:r>
      <w:r w:rsidR="00AE0352" w:rsidRPr="00485F66">
        <w:rPr>
          <w:rFonts w:cs="Times New Roman"/>
        </w:rPr>
        <w:t>t</w:t>
      </w:r>
      <w:r w:rsidR="00AE0352" w:rsidRPr="00485F66">
        <w:rPr>
          <w:rFonts w:eastAsia="Times New Roman" w:cs="Times New Roman"/>
          <w:lang w:eastAsia="en-GB"/>
        </w:rPr>
        <w:t>here are other</w:t>
      </w:r>
      <w:r w:rsidR="00974AFE" w:rsidRPr="00485F66">
        <w:rPr>
          <w:rFonts w:eastAsia="Times New Roman" w:cs="Times New Roman"/>
          <w:lang w:eastAsia="en-GB"/>
        </w:rPr>
        <w:t xml:space="preserve"> SDG</w:t>
      </w:r>
      <w:r w:rsidR="00AE0352" w:rsidRPr="00485F66">
        <w:rPr>
          <w:rFonts w:eastAsia="Times New Roman" w:cs="Times New Roman"/>
          <w:lang w:eastAsia="en-GB"/>
        </w:rPr>
        <w:t xml:space="preserve"> indicators, such as 3.8.1 and 3.8.2 that capture coverage of essential health services as well as financial protection from health expenditures net of reimbursement, including expenditures for medicines.</w:t>
      </w:r>
    </w:p>
    <w:p w14:paraId="4BA25A7E" w14:textId="53578F56" w:rsidR="00D71C4B" w:rsidRPr="00485F66" w:rsidRDefault="00D71C4B" w:rsidP="00F96E11">
      <w:pPr>
        <w:pStyle w:val="ListParagraph"/>
        <w:numPr>
          <w:ilvl w:val="0"/>
          <w:numId w:val="24"/>
        </w:num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Other dimensions on access to medicines (quality)</w:t>
      </w:r>
    </w:p>
    <w:p w14:paraId="5AAD60D5" w14:textId="5A38CEE4" w:rsidR="008A0649" w:rsidRPr="00485F66" w:rsidRDefault="00AD51DE" w:rsidP="00F96E11">
      <w:pPr>
        <w:spacing w:after="120" w:line="240" w:lineRule="auto"/>
        <w:jc w:val="both"/>
        <w:rPr>
          <w:rFonts w:ascii="Calibri" w:eastAsia="Times New Roman" w:hAnsi="Calibri" w:cs="Times New Roman"/>
          <w:lang w:eastAsia="en-GB"/>
        </w:rPr>
      </w:pPr>
      <w:r w:rsidRPr="00485F66">
        <w:rPr>
          <w:rFonts w:ascii="Calibri" w:eastAsia="Times New Roman" w:hAnsi="Calibri" w:cs="Times New Roman"/>
          <w:lang w:eastAsia="en-GB"/>
        </w:rPr>
        <w:t xml:space="preserve">The quality of the product is another equally important dimension of access to medicines. Currently, there is no systematic and publicly available data collection on quality of a single medicine or in a single country. </w:t>
      </w:r>
      <w:r w:rsidR="008A0649" w:rsidRPr="00485F66">
        <w:rPr>
          <w:rFonts w:ascii="Calibri" w:eastAsia="Times New Roman" w:hAnsi="Calibri" w:cs="Times New Roman"/>
          <w:lang w:eastAsia="en-GB"/>
        </w:rPr>
        <w:t>WHO has, however, contributed to enhanced access to quality health products through different programmes such as regulatory systems strengthening and prequalification.</w:t>
      </w:r>
    </w:p>
    <w:p w14:paraId="44958CD4" w14:textId="0C2BDBAC" w:rsidR="00AD51DE" w:rsidRPr="00485F66" w:rsidRDefault="008A0649" w:rsidP="00F96E11">
      <w:pPr>
        <w:spacing w:after="120" w:line="240" w:lineRule="auto"/>
        <w:jc w:val="both"/>
        <w:rPr>
          <w:rFonts w:ascii="Calibri" w:eastAsia="Times New Roman" w:hAnsi="Calibri" w:cs="Times New Roman"/>
          <w:lang w:eastAsia="en-GB"/>
        </w:rPr>
      </w:pPr>
      <w:r w:rsidRPr="00485F66">
        <w:rPr>
          <w:rFonts w:ascii="Calibri" w:eastAsia="Times New Roman" w:hAnsi="Calibri" w:cs="Times New Roman"/>
          <w:lang w:eastAsia="en-GB"/>
        </w:rPr>
        <w:t xml:space="preserve">A national regulatory authority (NRA) plays a key role in </w:t>
      </w:r>
      <w:r w:rsidRPr="00485F66">
        <w:rPr>
          <w:rFonts w:eastAsia="Times New Roman" w:cs="Times New Roman"/>
          <w:lang w:eastAsia="en-GB"/>
        </w:rPr>
        <w:t>assuring the quality, safety, and efficacy of medical products until they reach the patient/consumer, as well as ensuring the relevance and accuracy of product information. Hence, stable, well-functioning and integrated regulatory systems are an essential component of a health system and contribute to better public heal</w:t>
      </w:r>
      <w:r w:rsidR="00CB3928" w:rsidRPr="00485F66">
        <w:rPr>
          <w:rFonts w:eastAsia="Times New Roman" w:cs="Times New Roman"/>
          <w:lang w:eastAsia="en-GB"/>
        </w:rPr>
        <w:t>th outcomes</w:t>
      </w:r>
      <w:r w:rsidRPr="00485F66">
        <w:rPr>
          <w:rFonts w:eastAsia="Times New Roman" w:cs="Times New Roman"/>
          <w:lang w:eastAsia="en-GB"/>
        </w:rPr>
        <w:t xml:space="preserve">.  </w:t>
      </w:r>
      <w:r w:rsidR="00A278E6" w:rsidRPr="00485F66">
        <w:rPr>
          <w:rFonts w:eastAsia="Times New Roman" w:cs="Times New Roman"/>
          <w:lang w:eastAsia="en-GB"/>
        </w:rPr>
        <w:t>N</w:t>
      </w:r>
      <w:r w:rsidR="006707F3" w:rsidRPr="00485F66">
        <w:rPr>
          <w:rFonts w:eastAsia="Times New Roman" w:cs="Times New Roman"/>
          <w:lang w:eastAsia="en-GB"/>
        </w:rPr>
        <w:t>RA maturity</w:t>
      </w:r>
      <w:r w:rsidRPr="00485F66">
        <w:rPr>
          <w:rFonts w:eastAsia="Times New Roman" w:cs="Times New Roman"/>
          <w:lang w:eastAsia="en-GB"/>
        </w:rPr>
        <w:t xml:space="preserve"> </w:t>
      </w:r>
      <w:r w:rsidR="006707F3" w:rsidRPr="00485F66">
        <w:rPr>
          <w:rFonts w:eastAsia="Times New Roman" w:cs="Times New Roman"/>
          <w:lang w:eastAsia="en-GB"/>
        </w:rPr>
        <w:t>and WHO prequalification of</w:t>
      </w:r>
      <w:r w:rsidRPr="00485F66">
        <w:rPr>
          <w:rFonts w:eastAsia="Times New Roman" w:cs="Times New Roman"/>
          <w:lang w:eastAsia="en-GB"/>
        </w:rPr>
        <w:t xml:space="preserve"> medicines</w:t>
      </w:r>
      <w:r w:rsidRPr="00485F66">
        <w:rPr>
          <w:rFonts w:ascii="Calibri" w:eastAsia="Times New Roman" w:hAnsi="Calibri" w:cs="Times New Roman"/>
          <w:lang w:eastAsia="en-GB"/>
        </w:rPr>
        <w:t xml:space="preserve"> </w:t>
      </w:r>
      <w:r w:rsidR="00AD51DE" w:rsidRPr="00485F66">
        <w:rPr>
          <w:rFonts w:ascii="Calibri" w:eastAsia="Times New Roman" w:hAnsi="Calibri" w:cs="Times New Roman"/>
          <w:lang w:eastAsia="en-GB"/>
        </w:rPr>
        <w:t xml:space="preserve">can be considered as a proxy for </w:t>
      </w:r>
      <w:r w:rsidR="00CB3928" w:rsidRPr="00485F66">
        <w:rPr>
          <w:rFonts w:ascii="Calibri" w:eastAsia="Times New Roman" w:hAnsi="Calibri" w:cs="Times New Roman"/>
          <w:lang w:eastAsia="en-GB"/>
        </w:rPr>
        <w:t>ensuring that medicines</w:t>
      </w:r>
      <w:r w:rsidR="00AD51DE" w:rsidRPr="00485F66">
        <w:rPr>
          <w:rFonts w:ascii="Calibri" w:eastAsia="Times New Roman" w:hAnsi="Calibri" w:cs="Times New Roman"/>
          <w:lang w:eastAsia="en-GB"/>
        </w:rPr>
        <w:t xml:space="preserve"> in </w:t>
      </w:r>
      <w:r w:rsidR="00CB3928" w:rsidRPr="00485F66">
        <w:rPr>
          <w:rFonts w:ascii="Calibri" w:eastAsia="Times New Roman" w:hAnsi="Calibri" w:cs="Times New Roman"/>
          <w:lang w:eastAsia="en-GB"/>
        </w:rPr>
        <w:t>a</w:t>
      </w:r>
      <w:r w:rsidR="00AD51DE" w:rsidRPr="00485F66">
        <w:rPr>
          <w:rFonts w:ascii="Calibri" w:eastAsia="Times New Roman" w:hAnsi="Calibri" w:cs="Times New Roman"/>
          <w:lang w:eastAsia="en-GB"/>
        </w:rPr>
        <w:t xml:space="preserve"> country are of assured quality. The NRA maturity level is assessed using the WHO National Regulatory Authority</w:t>
      </w:r>
      <w:r w:rsidR="00A278E6" w:rsidRPr="00485F66">
        <w:rPr>
          <w:rFonts w:ascii="Calibri" w:eastAsia="Times New Roman" w:hAnsi="Calibri" w:cs="Times New Roman"/>
          <w:lang w:eastAsia="en-GB"/>
        </w:rPr>
        <w:t xml:space="preserve"> </w:t>
      </w:r>
      <w:r w:rsidR="00AD51DE" w:rsidRPr="00485F66">
        <w:rPr>
          <w:rFonts w:ascii="Calibri" w:eastAsia="Times New Roman" w:hAnsi="Calibri" w:cs="Times New Roman"/>
          <w:lang w:eastAsia="en-GB"/>
        </w:rPr>
        <w:t>Global Benchmarking Tool (</w:t>
      </w:r>
      <w:r w:rsidR="00A278E6" w:rsidRPr="00485F66">
        <w:rPr>
          <w:rFonts w:ascii="Calibri" w:eastAsia="Times New Roman" w:hAnsi="Calibri" w:cs="Times New Roman"/>
          <w:lang w:eastAsia="en-GB"/>
        </w:rPr>
        <w:t xml:space="preserve">WHO NRA </w:t>
      </w:r>
      <w:r w:rsidR="00AD51DE" w:rsidRPr="00485F66">
        <w:rPr>
          <w:rFonts w:ascii="Calibri" w:eastAsia="Times New Roman" w:hAnsi="Calibri" w:cs="Times New Roman"/>
          <w:lang w:eastAsia="en-GB"/>
        </w:rPr>
        <w:t>GBT)</w:t>
      </w:r>
      <w:r w:rsidR="00AD51DE" w:rsidRPr="00485F66">
        <w:rPr>
          <w:rFonts w:ascii="Calibri" w:eastAsia="Times New Roman" w:hAnsi="Calibri" w:cs="Times New Roman"/>
          <w:vertAlign w:val="superscript"/>
          <w:lang w:eastAsia="en-GB"/>
        </w:rPr>
        <w:footnoteReference w:id="6"/>
      </w:r>
      <w:r w:rsidR="00AD51DE" w:rsidRPr="00485F66">
        <w:rPr>
          <w:rFonts w:ascii="Calibri" w:eastAsia="Times New Roman" w:hAnsi="Calibri" w:cs="Times New Roman"/>
          <w:lang w:eastAsia="en-GB"/>
        </w:rPr>
        <w:t xml:space="preserve">. After the </w:t>
      </w:r>
      <w:r w:rsidR="006707F3" w:rsidRPr="00485F66">
        <w:rPr>
          <w:rFonts w:ascii="Calibri" w:eastAsia="Times New Roman" w:hAnsi="Calibri" w:cs="Times New Roman"/>
          <w:lang w:eastAsia="en-GB"/>
        </w:rPr>
        <w:t>evaluations</w:t>
      </w:r>
      <w:r w:rsidR="00AD51DE" w:rsidRPr="00485F66">
        <w:rPr>
          <w:rFonts w:ascii="Calibri" w:eastAsia="Times New Roman" w:hAnsi="Calibri" w:cs="Times New Roman"/>
          <w:lang w:eastAsia="en-GB"/>
        </w:rPr>
        <w:t>, countries are assigned one of five levels of maturity</w:t>
      </w:r>
      <w:r w:rsidR="006707F3" w:rsidRPr="00485F66">
        <w:rPr>
          <w:rStyle w:val="FootnoteReference"/>
          <w:rFonts w:ascii="Calibri" w:eastAsia="Times New Roman" w:hAnsi="Calibri" w:cs="Times New Roman"/>
          <w:lang w:eastAsia="en-GB"/>
        </w:rPr>
        <w:footnoteReference w:id="7"/>
      </w:r>
      <w:r w:rsidR="00AD51DE" w:rsidRPr="00485F66">
        <w:rPr>
          <w:rFonts w:ascii="Calibri" w:eastAsia="Times New Roman" w:hAnsi="Calibri" w:cs="Times New Roman"/>
          <w:lang w:eastAsia="en-GB"/>
        </w:rPr>
        <w:t xml:space="preserve">, with a score of </w:t>
      </w:r>
      <w:r w:rsidR="006707F3" w:rsidRPr="00485F66">
        <w:rPr>
          <w:rFonts w:ascii="Calibri" w:eastAsia="Times New Roman" w:hAnsi="Calibri" w:cs="Times New Roman"/>
          <w:lang w:eastAsia="en-GB"/>
        </w:rPr>
        <w:t xml:space="preserve">maturity level </w:t>
      </w:r>
      <w:r w:rsidR="00AD51DE" w:rsidRPr="00485F66">
        <w:rPr>
          <w:rFonts w:ascii="Calibri" w:eastAsia="Times New Roman" w:hAnsi="Calibri" w:cs="Times New Roman"/>
          <w:lang w:eastAsia="en-GB"/>
        </w:rPr>
        <w:t xml:space="preserve">three representing the minimum acceptable regulatory capacity and </w:t>
      </w:r>
      <w:r w:rsidR="006707F3" w:rsidRPr="00485F66">
        <w:rPr>
          <w:rFonts w:ascii="Calibri" w:eastAsia="Times New Roman" w:hAnsi="Calibri" w:cs="Times New Roman"/>
          <w:lang w:eastAsia="en-GB"/>
        </w:rPr>
        <w:t xml:space="preserve">maturity level </w:t>
      </w:r>
      <w:r w:rsidR="00AD51DE" w:rsidRPr="00485F66">
        <w:rPr>
          <w:rFonts w:ascii="Calibri" w:eastAsia="Times New Roman" w:hAnsi="Calibri" w:cs="Times New Roman"/>
          <w:lang w:eastAsia="en-GB"/>
        </w:rPr>
        <w:t>five representing the highest level of functioning.</w:t>
      </w:r>
    </w:p>
    <w:p w14:paraId="17E126BD" w14:textId="142BCAB6" w:rsidR="00D447C5" w:rsidRPr="00485F66" w:rsidRDefault="006707F3" w:rsidP="00AD00B5">
      <w:pPr>
        <w:spacing w:after="120" w:line="240" w:lineRule="auto"/>
        <w:jc w:val="both"/>
        <w:rPr>
          <w:rFonts w:ascii="Calibri" w:eastAsia="Times New Roman" w:hAnsi="Calibri" w:cs="Times New Roman"/>
          <w:lang w:eastAsia="en-GB"/>
        </w:rPr>
      </w:pPr>
      <w:r w:rsidRPr="00485F66">
        <w:rPr>
          <w:rFonts w:eastAsia="Times New Roman" w:cs="Times New Roman"/>
          <w:lang w:eastAsia="en-GB"/>
        </w:rPr>
        <w:t xml:space="preserve">The importance of transparency and the disclosure of the results of assessments amongst regulators (from ML 3 up) are taken into consideration. </w:t>
      </w:r>
      <w:r w:rsidR="00AD51DE" w:rsidRPr="00485F66">
        <w:rPr>
          <w:rFonts w:ascii="Calibri" w:eastAsia="Times New Roman" w:hAnsi="Calibri" w:cs="Times New Roman"/>
          <w:lang w:eastAsia="en-GB"/>
        </w:rPr>
        <w:t>However, the information on country-specific NRA maturity</w:t>
      </w:r>
      <w:r w:rsidR="00CB3928" w:rsidRPr="00485F66">
        <w:rPr>
          <w:rFonts w:ascii="Calibri" w:eastAsia="Times New Roman" w:hAnsi="Calibri" w:cs="Times New Roman"/>
          <w:lang w:eastAsia="en-GB"/>
        </w:rPr>
        <w:t xml:space="preserve"> level</w:t>
      </w:r>
      <w:r w:rsidR="00AD51DE" w:rsidRPr="00485F66">
        <w:rPr>
          <w:rFonts w:ascii="Calibri" w:eastAsia="Times New Roman" w:hAnsi="Calibri" w:cs="Times New Roman"/>
          <w:lang w:eastAsia="en-GB"/>
        </w:rPr>
        <w:t xml:space="preserve"> is not currently </w:t>
      </w:r>
      <w:r w:rsidR="0011323A" w:rsidRPr="00485F66">
        <w:rPr>
          <w:rFonts w:ascii="Calibri" w:eastAsia="Times New Roman" w:hAnsi="Calibri" w:cs="Times New Roman"/>
          <w:lang w:eastAsia="en-GB"/>
        </w:rPr>
        <w:t xml:space="preserve">publicly </w:t>
      </w:r>
      <w:r w:rsidR="00AD51DE" w:rsidRPr="00485F66">
        <w:rPr>
          <w:rFonts w:ascii="Calibri" w:eastAsia="Times New Roman" w:hAnsi="Calibri" w:cs="Times New Roman"/>
          <w:lang w:eastAsia="en-GB"/>
        </w:rPr>
        <w:t>available and WHO is working to address this limitation</w:t>
      </w:r>
      <w:r w:rsidRPr="00485F66">
        <w:rPr>
          <w:rFonts w:ascii="Calibri" w:eastAsia="Times New Roman" w:hAnsi="Calibri" w:cs="Times New Roman"/>
          <w:lang w:eastAsia="en-GB"/>
        </w:rPr>
        <w:t xml:space="preserve"> through recent discussions on WHO Listed Authorities (WLA)</w:t>
      </w:r>
      <w:r w:rsidR="00AD51DE" w:rsidRPr="00485F66">
        <w:rPr>
          <w:rFonts w:ascii="Calibri" w:eastAsia="Times New Roman" w:hAnsi="Calibri" w:cs="Times New Roman"/>
          <w:lang w:eastAsia="en-GB"/>
        </w:rPr>
        <w:t>.</w:t>
      </w:r>
      <w:r w:rsidR="00612DD8" w:rsidRPr="00485F66">
        <w:rPr>
          <w:rFonts w:ascii="Calibri" w:eastAsia="Times New Roman" w:hAnsi="Calibri" w:cs="Times New Roman"/>
          <w:lang w:eastAsia="en-GB"/>
        </w:rPr>
        <w:t xml:space="preserve"> </w:t>
      </w:r>
    </w:p>
    <w:p w14:paraId="420B0ECC" w14:textId="5C38961A" w:rsidR="00CE541E" w:rsidRPr="00485F66" w:rsidRDefault="00CE541E" w:rsidP="00F96E11">
      <w:pPr>
        <w:pStyle w:val="ListParagraph"/>
        <w:numPr>
          <w:ilvl w:val="0"/>
          <w:numId w:val="24"/>
        </w:num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Other comments:</w:t>
      </w:r>
    </w:p>
    <w:p w14:paraId="7E551B9F" w14:textId="4131852E" w:rsidR="00162741" w:rsidRPr="00485F66" w:rsidRDefault="00206F5E" w:rsidP="00F96E11">
      <w:pPr>
        <w:spacing w:after="120" w:line="240" w:lineRule="auto"/>
        <w:jc w:val="both"/>
        <w:rPr>
          <w:rFonts w:eastAsia="Times New Roman" w:cs="Times New Roman"/>
          <w:lang w:eastAsia="en-GB"/>
        </w:rPr>
      </w:pPr>
      <w:r w:rsidRPr="00485F66">
        <w:rPr>
          <w:rFonts w:eastAsia="Times New Roman" w:cs="Times New Roman"/>
          <w:lang w:eastAsia="en-GB"/>
        </w:rPr>
        <w:t>The “</w:t>
      </w:r>
      <w:r w:rsidR="00162741" w:rsidRPr="00485F66">
        <w:rPr>
          <w:rFonts w:eastAsia="Times New Roman" w:cs="Times New Roman"/>
          <w:lang w:eastAsia="en-GB"/>
        </w:rPr>
        <w:t>sustainability”</w:t>
      </w:r>
      <w:r w:rsidRPr="00485F66">
        <w:rPr>
          <w:rFonts w:eastAsia="Times New Roman" w:cs="Times New Roman"/>
          <w:lang w:eastAsia="en-GB"/>
        </w:rPr>
        <w:t xml:space="preserve"> </w:t>
      </w:r>
      <w:r w:rsidR="00AE0352" w:rsidRPr="00485F66">
        <w:rPr>
          <w:rFonts w:eastAsia="Times New Roman" w:cs="Times New Roman"/>
          <w:lang w:eastAsia="en-GB"/>
        </w:rPr>
        <w:t>dimension in</w:t>
      </w:r>
      <w:r w:rsidRPr="00485F66">
        <w:rPr>
          <w:rFonts w:eastAsia="Times New Roman" w:cs="Times New Roman"/>
          <w:lang w:eastAsia="en-GB"/>
        </w:rPr>
        <w:t xml:space="preserve"> this indicator</w:t>
      </w:r>
      <w:r w:rsidR="00162741" w:rsidRPr="00485F66">
        <w:rPr>
          <w:rFonts w:eastAsia="Times New Roman" w:cs="Times New Roman"/>
          <w:lang w:eastAsia="en-GB"/>
        </w:rPr>
        <w:t xml:space="preserve"> can be measured only when more than </w:t>
      </w:r>
      <w:r w:rsidR="0011323A" w:rsidRPr="00485F66">
        <w:rPr>
          <w:rFonts w:eastAsia="Times New Roman" w:cs="Times New Roman"/>
          <w:lang w:eastAsia="en-GB"/>
        </w:rPr>
        <w:t>one-time</w:t>
      </w:r>
      <w:r w:rsidR="00162741" w:rsidRPr="00485F66">
        <w:rPr>
          <w:rFonts w:eastAsia="Times New Roman" w:cs="Times New Roman"/>
          <w:lang w:eastAsia="en-GB"/>
        </w:rPr>
        <w:t xml:space="preserve"> series of </w:t>
      </w:r>
      <w:r w:rsidRPr="00485F66">
        <w:rPr>
          <w:rFonts w:eastAsia="Times New Roman" w:cs="Times New Roman"/>
          <w:lang w:eastAsia="en-GB"/>
        </w:rPr>
        <w:t>computations</w:t>
      </w:r>
      <w:r w:rsidR="00162741" w:rsidRPr="00485F66">
        <w:rPr>
          <w:rFonts w:eastAsia="Times New Roman" w:cs="Times New Roman"/>
          <w:lang w:eastAsia="en-GB"/>
        </w:rPr>
        <w:t xml:space="preserve"> is available for </w:t>
      </w:r>
      <w:r w:rsidRPr="00485F66">
        <w:rPr>
          <w:rFonts w:eastAsia="Times New Roman" w:cs="Times New Roman"/>
          <w:lang w:eastAsia="en-GB"/>
        </w:rPr>
        <w:t>a specific</w:t>
      </w:r>
      <w:r w:rsidR="00162741" w:rsidRPr="00485F66">
        <w:rPr>
          <w:rFonts w:eastAsia="Times New Roman" w:cs="Times New Roman"/>
          <w:lang w:eastAsia="en-GB"/>
        </w:rPr>
        <w:t xml:space="preserve"> country so that a trend </w:t>
      </w:r>
      <w:r w:rsidRPr="00485F66">
        <w:rPr>
          <w:rFonts w:eastAsia="Times New Roman" w:cs="Times New Roman"/>
          <w:lang w:eastAsia="en-GB"/>
        </w:rPr>
        <w:t xml:space="preserve">(tendency of a series of data points to move in a certain direction over time) </w:t>
      </w:r>
      <w:r w:rsidR="00162741" w:rsidRPr="00485F66">
        <w:rPr>
          <w:rFonts w:eastAsia="Times New Roman" w:cs="Times New Roman"/>
          <w:lang w:eastAsia="en-GB"/>
        </w:rPr>
        <w:t>can be identified.</w:t>
      </w:r>
    </w:p>
    <w:p w14:paraId="2A034159" w14:textId="6BCC995D" w:rsidR="00AE0352" w:rsidRPr="00485F66" w:rsidRDefault="00AE0352" w:rsidP="00F96E11">
      <w:pPr>
        <w:spacing w:after="120" w:line="240" w:lineRule="auto"/>
        <w:jc w:val="both"/>
        <w:rPr>
          <w:rFonts w:cs="Times New Roman"/>
        </w:rPr>
      </w:pPr>
      <w:r w:rsidRPr="00485F66">
        <w:rPr>
          <w:rFonts w:cs="Times New Roman"/>
        </w:rPr>
        <w:t>The proposed methodology takes advantage of recognized standards and data collection methods, proposing a recombination of dimensions to allow measurement of affordability of a core set of relevant essential medicines for communicable and non-communicable diseases</w:t>
      </w:r>
      <w:r w:rsidR="00826BE4" w:rsidRPr="00485F66">
        <w:rPr>
          <w:rFonts w:cs="Times New Roman"/>
        </w:rPr>
        <w:t>.</w:t>
      </w:r>
    </w:p>
    <w:p w14:paraId="232478ED" w14:textId="77777777" w:rsidR="00826BE4" w:rsidRPr="00485F66" w:rsidRDefault="00826BE4" w:rsidP="00F96E11">
      <w:pPr>
        <w:spacing w:after="120" w:line="240" w:lineRule="auto"/>
        <w:jc w:val="both"/>
        <w:rPr>
          <w:rFonts w:eastAsia="Times New Roman" w:cs="Times New Roman"/>
          <w:lang w:eastAsia="en-GB"/>
        </w:rPr>
      </w:pPr>
    </w:p>
    <w:p w14:paraId="2DC0D4AC" w14:textId="77777777" w:rsidR="0058556D" w:rsidRPr="00485F66" w:rsidRDefault="77395C2D" w:rsidP="77395C2D">
      <w:pPr>
        <w:pBdr>
          <w:bottom w:val="single" w:sz="12" w:space="4" w:color="DDDDDD"/>
        </w:pBdr>
        <w:shd w:val="clear" w:color="auto" w:fill="FFFFFF" w:themeFill="background1"/>
        <w:spacing w:after="0"/>
        <w:outlineLvl w:val="2"/>
        <w:rPr>
          <w:rFonts w:eastAsia="Times New Roman" w:cs="Times New Roman"/>
          <w:b/>
          <w:bCs/>
          <w:color w:val="1C75BC"/>
          <w:sz w:val="28"/>
          <w:szCs w:val="28"/>
          <w:lang w:eastAsia="en-GB"/>
        </w:rPr>
      </w:pPr>
      <w:r w:rsidRPr="00485F66">
        <w:rPr>
          <w:rFonts w:eastAsia="Times New Roman" w:cs="Times New Roman"/>
          <w:b/>
          <w:bCs/>
          <w:color w:val="1C75BC"/>
          <w:sz w:val="28"/>
          <w:szCs w:val="28"/>
          <w:lang w:eastAsia="en-GB"/>
        </w:rPr>
        <w:lastRenderedPageBreak/>
        <w:t>Methodology</w:t>
      </w:r>
    </w:p>
    <w:p w14:paraId="59AB99D5" w14:textId="77777777" w:rsidR="0058556D" w:rsidRPr="00485F66" w:rsidRDefault="0058556D" w:rsidP="77395C2D">
      <w:pPr>
        <w:shd w:val="clear" w:color="auto" w:fill="FFFFFF" w:themeFill="background1"/>
        <w:spacing w:after="0"/>
        <w:rPr>
          <w:rFonts w:eastAsia="Times New Roman" w:cs="Times New Roman"/>
          <w:b/>
          <w:bCs/>
          <w:color w:val="4A4A4A"/>
          <w:lang w:eastAsia="en-GB"/>
        </w:rPr>
      </w:pPr>
    </w:p>
    <w:p w14:paraId="273967EF" w14:textId="77777777" w:rsidR="0058556D" w:rsidRPr="00485F66" w:rsidRDefault="77395C2D" w:rsidP="004745F8">
      <w:pPr>
        <w:shd w:val="clear" w:color="auto" w:fill="FFFFFF" w:themeFill="background1"/>
        <w:spacing w:after="0"/>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Computation Method:</w:t>
      </w:r>
    </w:p>
    <w:p w14:paraId="6054F059" w14:textId="42C1E3E4" w:rsidR="00D533A1" w:rsidRPr="00485F66" w:rsidRDefault="77395C2D"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The index is computed as a ratio of the health facilities with available and affordable medicines for primary health care over the total number of the surveyed health facilities:</w:t>
      </w:r>
    </w:p>
    <w:p w14:paraId="35956CD6" w14:textId="77777777" w:rsidR="00E00E90" w:rsidRPr="00485F66" w:rsidRDefault="00E00E90" w:rsidP="00F96E11">
      <w:pPr>
        <w:shd w:val="clear" w:color="auto" w:fill="FFFFFF" w:themeFill="background1"/>
        <w:spacing w:after="120" w:line="240" w:lineRule="auto"/>
        <w:jc w:val="both"/>
        <w:rPr>
          <w:rFonts w:eastAsia="Times New Roman" w:cs="Times New Roman"/>
          <w:lang w:eastAsia="en-GB"/>
        </w:rPr>
      </w:pPr>
    </w:p>
    <w:p w14:paraId="407D13CD" w14:textId="77777777" w:rsidR="00EE67C9" w:rsidRPr="00485F66" w:rsidRDefault="008459A4" w:rsidP="00F96E11">
      <w:pPr>
        <w:shd w:val="clear" w:color="auto" w:fill="FFFFFF" w:themeFill="background1"/>
        <w:spacing w:after="120" w:line="240" w:lineRule="auto"/>
        <w:jc w:val="both"/>
        <w:rPr>
          <w:rFonts w:eastAsia="Times New Roman" w:cs="Times New Roman"/>
          <w:color w:val="000000" w:themeColor="text1"/>
        </w:rPr>
      </w:pPr>
      <m:oMathPara>
        <m:oMath>
          <m:sSub>
            <m:sSubPr>
              <m:ctrlPr>
                <w:rPr>
                  <w:rFonts w:ascii="Cambria Math" w:eastAsia="Cambria Math" w:hAnsi="Cambria Math" w:cs="Cambria Math"/>
                  <w:i/>
                  <w:color w:val="000000"/>
                </w:rPr>
              </m:ctrlPr>
            </m:sSubPr>
            <m:e>
              <m:r>
                <w:rPr>
                  <w:rFonts w:ascii="Cambria Math" w:eastAsia="Cambria Math" w:hAnsi="Cambria Math" w:cs="Cambria Math"/>
                  <w:color w:val="000000"/>
                </w:rPr>
                <m:t>SDG</m:t>
              </m:r>
            </m:e>
            <m:sub>
              <m:r>
                <w:rPr>
                  <w:rFonts w:ascii="Cambria Math" w:eastAsia="Cambria Math" w:hAnsi="Cambria Math" w:cs="Cambria Math"/>
                  <w:color w:val="000000"/>
                </w:rPr>
                <m:t>3.b.3</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Facilities with available and affordable basket of medicines (n)</m:t>
              </m:r>
            </m:num>
            <m:den>
              <m:r>
                <w:rPr>
                  <w:rFonts w:ascii="Cambria Math" w:eastAsia="Cambria Math" w:hAnsi="Cambria Math" w:cs="Cambria Math"/>
                  <w:color w:val="000000"/>
                </w:rPr>
                <m:t>Surveyed Facilities (n)</m:t>
              </m:r>
            </m:den>
          </m:f>
        </m:oMath>
      </m:oMathPara>
    </w:p>
    <w:p w14:paraId="196D72F2" w14:textId="77777777" w:rsidR="00EE67C9" w:rsidRPr="00485F66" w:rsidRDefault="00EE67C9" w:rsidP="00F96E11">
      <w:pPr>
        <w:shd w:val="clear" w:color="auto" w:fill="FFFFFF" w:themeFill="background1"/>
        <w:spacing w:after="120" w:line="240" w:lineRule="auto"/>
        <w:jc w:val="both"/>
        <w:rPr>
          <w:rFonts w:eastAsia="Times New Roman" w:cs="Times New Roman"/>
          <w:lang w:eastAsia="en-GB"/>
        </w:rPr>
      </w:pPr>
    </w:p>
    <w:p w14:paraId="190CD3A3" w14:textId="2FC4D868" w:rsidR="00666D50" w:rsidRPr="00485F66" w:rsidRDefault="00666D50" w:rsidP="00F96E11">
      <w:pPr>
        <w:spacing w:after="120" w:line="240" w:lineRule="auto"/>
        <w:jc w:val="both"/>
        <w:rPr>
          <w:rFonts w:eastAsia="Times New Roman" w:cs="Times New Roman"/>
          <w:lang w:eastAsia="en-GB"/>
        </w:rPr>
      </w:pPr>
      <w:r w:rsidRPr="00485F66">
        <w:rPr>
          <w:rFonts w:eastAsia="Times New Roman" w:cs="Times New Roman"/>
          <w:lang w:eastAsia="en-GB"/>
        </w:rPr>
        <w:t xml:space="preserve">For </w:t>
      </w:r>
      <w:r w:rsidR="00EA1101" w:rsidRPr="00485F66">
        <w:rPr>
          <w:rFonts w:eastAsia="Times New Roman" w:cs="Times New Roman"/>
          <w:lang w:eastAsia="en-GB"/>
        </w:rPr>
        <w:t>this</w:t>
      </w:r>
      <w:r w:rsidRPr="00485F66">
        <w:rPr>
          <w:rFonts w:eastAsia="Times New Roman" w:cs="Times New Roman"/>
          <w:lang w:eastAsia="en-GB"/>
        </w:rPr>
        <w:t xml:space="preserve"> indicator, the following variables are considered for a multidimensional understanding of the components </w:t>
      </w:r>
      <w:r w:rsidR="00EA1101" w:rsidRPr="00485F66">
        <w:rPr>
          <w:rFonts w:eastAsia="Times New Roman" w:cs="Times New Roman"/>
          <w:lang w:eastAsia="en-GB"/>
        </w:rPr>
        <w:t>of</w:t>
      </w:r>
      <w:r w:rsidRPr="00485F66">
        <w:rPr>
          <w:rFonts w:eastAsia="Times New Roman" w:cs="Times New Roman"/>
          <w:lang w:eastAsia="en-GB"/>
        </w:rPr>
        <w:t xml:space="preserve"> access to medicines:  </w:t>
      </w:r>
    </w:p>
    <w:p w14:paraId="1C1FE045" w14:textId="77777777" w:rsidR="00666D50" w:rsidRPr="00485F66" w:rsidRDefault="00666D50" w:rsidP="00F96E11">
      <w:pPr>
        <w:pStyle w:val="ListParagraph"/>
        <w:numPr>
          <w:ilvl w:val="0"/>
          <w:numId w:val="12"/>
        </w:numPr>
        <w:spacing w:after="120" w:line="240" w:lineRule="auto"/>
        <w:jc w:val="both"/>
        <w:rPr>
          <w:rFonts w:eastAsia="Times New Roman" w:cs="Times New Roman"/>
          <w:lang w:eastAsia="en-GB"/>
        </w:rPr>
      </w:pPr>
      <w:r w:rsidRPr="00485F66">
        <w:rPr>
          <w:rFonts w:eastAsia="Times New Roman" w:cs="Times New Roman"/>
          <w:lang w:eastAsia="en-GB"/>
        </w:rPr>
        <w:t xml:space="preserve">A core set of relevant essential medicines for primary healthcare </w:t>
      </w:r>
    </w:p>
    <w:p w14:paraId="0DEB788F" w14:textId="38D4D541" w:rsidR="00666D50" w:rsidRPr="00485F66" w:rsidRDefault="00EA1101" w:rsidP="00F96E11">
      <w:pPr>
        <w:pStyle w:val="ListParagraph"/>
        <w:numPr>
          <w:ilvl w:val="0"/>
          <w:numId w:val="12"/>
        </w:numPr>
        <w:spacing w:after="120" w:line="240" w:lineRule="auto"/>
        <w:jc w:val="both"/>
        <w:rPr>
          <w:rFonts w:eastAsia="Times New Roman" w:cs="Times New Roman"/>
          <w:lang w:eastAsia="en-GB"/>
        </w:rPr>
      </w:pPr>
      <w:r w:rsidRPr="00485F66">
        <w:rPr>
          <w:rFonts w:eastAsia="Times New Roman" w:cs="Times New Roman"/>
          <w:lang w:eastAsia="en-GB"/>
        </w:rPr>
        <w:t>Regional burden of disease</w:t>
      </w:r>
    </w:p>
    <w:p w14:paraId="1D7CAFFD" w14:textId="77777777" w:rsidR="00666D50" w:rsidRPr="00485F66" w:rsidRDefault="00666D50" w:rsidP="00F96E11">
      <w:pPr>
        <w:pStyle w:val="ListParagraph"/>
        <w:numPr>
          <w:ilvl w:val="0"/>
          <w:numId w:val="12"/>
        </w:numPr>
        <w:spacing w:after="120" w:line="240" w:lineRule="auto"/>
        <w:jc w:val="both"/>
        <w:rPr>
          <w:rFonts w:eastAsia="Times New Roman" w:cs="Times New Roman"/>
          <w:lang w:eastAsia="en-GB"/>
        </w:rPr>
      </w:pPr>
      <w:r w:rsidRPr="00485F66">
        <w:rPr>
          <w:rFonts w:eastAsia="Times New Roman" w:cs="Times New Roman"/>
          <w:lang w:eastAsia="en-GB"/>
        </w:rPr>
        <w:t>Availability of a medicine</w:t>
      </w:r>
    </w:p>
    <w:p w14:paraId="23696C96" w14:textId="77777777" w:rsidR="00666D50" w:rsidRPr="00485F66" w:rsidRDefault="00666D50" w:rsidP="00F96E11">
      <w:pPr>
        <w:pStyle w:val="ListParagraph"/>
        <w:numPr>
          <w:ilvl w:val="0"/>
          <w:numId w:val="12"/>
        </w:numPr>
        <w:spacing w:after="120" w:line="240" w:lineRule="auto"/>
        <w:jc w:val="both"/>
        <w:rPr>
          <w:rFonts w:eastAsia="Times New Roman" w:cs="Times New Roman"/>
          <w:lang w:eastAsia="en-GB"/>
        </w:rPr>
      </w:pPr>
      <w:r w:rsidRPr="00485F66">
        <w:rPr>
          <w:rFonts w:eastAsia="Times New Roman" w:cs="Times New Roman"/>
          <w:lang w:eastAsia="en-GB"/>
        </w:rPr>
        <w:t>Price of a medicine</w:t>
      </w:r>
    </w:p>
    <w:p w14:paraId="0114206F" w14:textId="3DC87653" w:rsidR="00666D50" w:rsidRPr="00485F66" w:rsidRDefault="00666D50" w:rsidP="00F96E11">
      <w:pPr>
        <w:pStyle w:val="ListParagraph"/>
        <w:numPr>
          <w:ilvl w:val="0"/>
          <w:numId w:val="12"/>
        </w:numPr>
        <w:spacing w:after="120" w:line="240" w:lineRule="auto"/>
        <w:jc w:val="both"/>
        <w:rPr>
          <w:rFonts w:eastAsia="Times New Roman" w:cs="Times New Roman"/>
          <w:lang w:eastAsia="en-GB"/>
        </w:rPr>
      </w:pPr>
      <w:r w:rsidRPr="00485F66">
        <w:rPr>
          <w:rFonts w:eastAsia="Times New Roman" w:cs="Times New Roman"/>
          <w:lang w:eastAsia="en-GB"/>
        </w:rPr>
        <w:t xml:space="preserve">Treatment </w:t>
      </w:r>
      <w:r w:rsidR="00EA1101" w:rsidRPr="00485F66">
        <w:rPr>
          <w:rFonts w:eastAsia="Times New Roman" w:cs="Times New Roman"/>
          <w:lang w:eastAsia="en-GB"/>
        </w:rPr>
        <w:t xml:space="preserve">courses </w:t>
      </w:r>
      <w:r w:rsidR="00933936" w:rsidRPr="00485F66">
        <w:rPr>
          <w:rFonts w:eastAsia="Times New Roman" w:cs="Times New Roman"/>
          <w:lang w:eastAsia="en-GB"/>
        </w:rPr>
        <w:t>for</w:t>
      </w:r>
      <w:r w:rsidRPr="00485F66">
        <w:rPr>
          <w:rFonts w:eastAsia="Times New Roman" w:cs="Times New Roman"/>
          <w:lang w:eastAsia="en-GB"/>
        </w:rPr>
        <w:t xml:space="preserve"> </w:t>
      </w:r>
      <w:r w:rsidR="00933936" w:rsidRPr="00485F66">
        <w:rPr>
          <w:rFonts w:eastAsia="Times New Roman" w:cs="Times New Roman"/>
          <w:lang w:eastAsia="en-GB"/>
        </w:rPr>
        <w:t>each</w:t>
      </w:r>
      <w:r w:rsidRPr="00485F66">
        <w:rPr>
          <w:rFonts w:eastAsia="Times New Roman" w:cs="Times New Roman"/>
          <w:lang w:eastAsia="en-GB"/>
        </w:rPr>
        <w:t xml:space="preserve"> medicine (number of units per treatment &amp; duration of treatment)</w:t>
      </w:r>
    </w:p>
    <w:p w14:paraId="44527E3B" w14:textId="77777777" w:rsidR="00666D50" w:rsidRPr="00485F66" w:rsidRDefault="00666D50" w:rsidP="00F96E11">
      <w:pPr>
        <w:pStyle w:val="ListParagraph"/>
        <w:numPr>
          <w:ilvl w:val="0"/>
          <w:numId w:val="12"/>
        </w:numPr>
        <w:spacing w:after="120" w:line="240" w:lineRule="auto"/>
        <w:jc w:val="both"/>
        <w:rPr>
          <w:rFonts w:eastAsia="Times New Roman" w:cs="Times New Roman"/>
          <w:lang w:eastAsia="en-GB"/>
        </w:rPr>
      </w:pPr>
      <w:r w:rsidRPr="00485F66">
        <w:rPr>
          <w:rFonts w:eastAsia="Times New Roman" w:cs="Times New Roman"/>
          <w:lang w:eastAsia="en-GB"/>
        </w:rPr>
        <w:t>National poverty line and lowest-paid unskilled government worker (LPGW) wage</w:t>
      </w:r>
    </w:p>
    <w:p w14:paraId="2BC1892F" w14:textId="2034F8F4" w:rsidR="00666D50" w:rsidRPr="00485F66" w:rsidRDefault="00666D50" w:rsidP="00F96E11">
      <w:pPr>
        <w:pStyle w:val="ListParagraph"/>
        <w:numPr>
          <w:ilvl w:val="0"/>
          <w:numId w:val="12"/>
        </w:numPr>
        <w:spacing w:after="120" w:line="240" w:lineRule="auto"/>
        <w:jc w:val="both"/>
        <w:rPr>
          <w:rFonts w:eastAsia="Times New Roman" w:cs="Times New Roman"/>
          <w:lang w:eastAsia="en-GB"/>
        </w:rPr>
      </w:pPr>
      <w:r w:rsidRPr="00485F66">
        <w:rPr>
          <w:rFonts w:eastAsia="Times New Roman" w:cs="Times New Roman"/>
          <w:lang w:eastAsia="en-GB"/>
        </w:rPr>
        <w:t xml:space="preserve">Proxy for quality of the core set of relevant </w:t>
      </w:r>
      <w:r w:rsidR="00933936" w:rsidRPr="00485F66">
        <w:rPr>
          <w:rFonts w:eastAsia="Times New Roman" w:cs="Times New Roman"/>
          <w:lang w:eastAsia="en-GB"/>
        </w:rPr>
        <w:t xml:space="preserve">essential </w:t>
      </w:r>
      <w:r w:rsidRPr="00485F66">
        <w:rPr>
          <w:rFonts w:eastAsia="Times New Roman" w:cs="Times New Roman"/>
          <w:lang w:eastAsia="en-GB"/>
        </w:rPr>
        <w:t>medicines.</w:t>
      </w:r>
    </w:p>
    <w:p w14:paraId="52579D42" w14:textId="55588A98" w:rsidR="00B327EA" w:rsidRPr="00485F66" w:rsidRDefault="009B7D35"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The index is measured for each facility separately. Then a proportion of facilities that have accessible medicines is computed. The following </w:t>
      </w:r>
      <w:r w:rsidRPr="00485F66">
        <w:rPr>
          <w:rFonts w:eastAsia="Cambria Math" w:cs="Cambria Math"/>
          <w:b/>
          <w:bCs/>
          <w:color w:val="000000"/>
        </w:rPr>
        <w:t>steps</w:t>
      </w:r>
      <w:r w:rsidRPr="00485F66">
        <w:rPr>
          <w:rFonts w:eastAsia="Cambria Math" w:cs="Cambria Math"/>
          <w:color w:val="000000"/>
        </w:rPr>
        <w:t xml:space="preserve"> must be taken to compute the index </w:t>
      </w:r>
      <w:r w:rsidR="00EA1101" w:rsidRPr="00485F66">
        <w:rPr>
          <w:rFonts w:eastAsia="Cambria Math" w:cs="Cambria Math"/>
          <w:color w:val="000000"/>
        </w:rPr>
        <w:t>at</w:t>
      </w:r>
      <w:r w:rsidR="003E4F1A" w:rsidRPr="00485F66">
        <w:rPr>
          <w:rFonts w:eastAsia="Cambria Math" w:cs="Cambria Math"/>
          <w:color w:val="000000"/>
        </w:rPr>
        <w:t xml:space="preserve"> the</w:t>
      </w:r>
      <w:r w:rsidRPr="00485F66">
        <w:rPr>
          <w:rFonts w:eastAsia="Cambria Math" w:cs="Cambria Math"/>
          <w:color w:val="000000"/>
        </w:rPr>
        <w:t xml:space="preserve"> </w:t>
      </w:r>
      <w:r w:rsidRPr="00485F66">
        <w:rPr>
          <w:rFonts w:eastAsia="Cambria Math" w:cs="Cambria Math"/>
          <w:color w:val="000000"/>
          <w:u w:val="single"/>
        </w:rPr>
        <w:t>facility level</w:t>
      </w:r>
      <w:r w:rsidR="00B327EA" w:rsidRPr="00485F66">
        <w:rPr>
          <w:rFonts w:eastAsia="Cambria Math" w:cs="Cambria Math"/>
          <w:color w:val="000000"/>
        </w:rPr>
        <w:t>:</w:t>
      </w:r>
    </w:p>
    <w:p w14:paraId="1BE8BE94" w14:textId="1F68BCE9" w:rsidR="00B327EA" w:rsidRPr="00485F66" w:rsidRDefault="001F3FDB" w:rsidP="00F96E11">
      <w:pPr>
        <w:pStyle w:val="ListParagraph"/>
        <w:numPr>
          <w:ilvl w:val="0"/>
          <w:numId w:val="34"/>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Review and selection of the core basket of medicines for primary health care</w:t>
      </w:r>
    </w:p>
    <w:p w14:paraId="6BA543B9" w14:textId="3E23EDF1" w:rsidR="001F3FDB" w:rsidRPr="00485F66" w:rsidRDefault="001F3FDB" w:rsidP="00F96E11">
      <w:pPr>
        <w:pStyle w:val="ListParagraph"/>
        <w:numPr>
          <w:ilvl w:val="0"/>
          <w:numId w:val="34"/>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Estimate weights for the defined medicines based on regional burden of disease</w:t>
      </w:r>
    </w:p>
    <w:p w14:paraId="45CDCA78" w14:textId="02DD2528" w:rsidR="001F3FDB" w:rsidRPr="00485F66" w:rsidRDefault="001F3FDB" w:rsidP="00F96E11">
      <w:pPr>
        <w:pStyle w:val="ListParagraph"/>
        <w:numPr>
          <w:ilvl w:val="0"/>
          <w:numId w:val="34"/>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Measure the two dimensions of the access to medicine</w:t>
      </w:r>
    </w:p>
    <w:p w14:paraId="376601B5" w14:textId="77777777" w:rsidR="009B7D35" w:rsidRPr="00485F66" w:rsidRDefault="009B7D35" w:rsidP="00F96E11">
      <w:pPr>
        <w:pStyle w:val="ListParagraph"/>
        <w:numPr>
          <w:ilvl w:val="4"/>
          <w:numId w:val="5"/>
        </w:numPr>
        <w:pBdr>
          <w:top w:val="nil"/>
          <w:left w:val="nil"/>
          <w:bottom w:val="nil"/>
          <w:right w:val="nil"/>
          <w:between w:val="nil"/>
        </w:pBdr>
        <w:spacing w:after="120" w:line="240" w:lineRule="auto"/>
        <w:ind w:left="1418"/>
        <w:jc w:val="both"/>
        <w:rPr>
          <w:rFonts w:eastAsia="Cambria Math" w:cs="Cambria Math"/>
          <w:color w:val="000000"/>
        </w:rPr>
      </w:pPr>
      <w:r w:rsidRPr="00485F66">
        <w:rPr>
          <w:rFonts w:eastAsia="Cambria Math" w:cs="Cambria Math"/>
          <w:color w:val="000000"/>
        </w:rPr>
        <w:t>Availability</w:t>
      </w:r>
    </w:p>
    <w:p w14:paraId="5F5C3E64" w14:textId="77777777" w:rsidR="009B7D35" w:rsidRPr="00485F66" w:rsidRDefault="009B7D35" w:rsidP="00F96E11">
      <w:pPr>
        <w:pStyle w:val="ListParagraph"/>
        <w:numPr>
          <w:ilvl w:val="4"/>
          <w:numId w:val="5"/>
        </w:numPr>
        <w:pBdr>
          <w:top w:val="nil"/>
          <w:left w:val="nil"/>
          <w:bottom w:val="nil"/>
          <w:right w:val="nil"/>
          <w:between w:val="nil"/>
        </w:pBdr>
        <w:spacing w:after="120" w:line="240" w:lineRule="auto"/>
        <w:ind w:left="1418"/>
        <w:jc w:val="both"/>
        <w:rPr>
          <w:rFonts w:eastAsia="Cambria Math" w:cs="Cambria Math"/>
          <w:color w:val="000000"/>
        </w:rPr>
      </w:pPr>
      <w:r w:rsidRPr="00485F66">
        <w:rPr>
          <w:rFonts w:eastAsia="Cambria Math" w:cs="Cambria Math"/>
          <w:color w:val="000000"/>
        </w:rPr>
        <w:t>Affordability</w:t>
      </w:r>
    </w:p>
    <w:p w14:paraId="12490208" w14:textId="3EBC52DE" w:rsidR="001F3FDB" w:rsidRPr="00485F66" w:rsidRDefault="001F3FDB" w:rsidP="00F96E11">
      <w:pPr>
        <w:pStyle w:val="ListParagraph"/>
        <w:numPr>
          <w:ilvl w:val="0"/>
          <w:numId w:val="34"/>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Combine the two dimensions on availability and affordability (access to medicines)</w:t>
      </w:r>
    </w:p>
    <w:p w14:paraId="08D54377" w14:textId="6382407C" w:rsidR="000F68E1" w:rsidRPr="00485F66" w:rsidRDefault="001F3FDB" w:rsidP="00F96E11">
      <w:pPr>
        <w:pStyle w:val="ListParagraph"/>
        <w:numPr>
          <w:ilvl w:val="0"/>
          <w:numId w:val="34"/>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Apply weights to the medicine in the basket according to the regional prevalence of the diseases that are cured</w:t>
      </w:r>
      <w:r w:rsidR="003E4F1A" w:rsidRPr="00485F66">
        <w:rPr>
          <w:rFonts w:eastAsia="Cambria Math" w:cs="Cambria Math"/>
          <w:color w:val="000000"/>
        </w:rPr>
        <w:t xml:space="preserve">, </w:t>
      </w:r>
      <w:r w:rsidRPr="00485F66">
        <w:rPr>
          <w:rFonts w:eastAsia="Cambria Math" w:cs="Cambria Math"/>
          <w:color w:val="000000"/>
        </w:rPr>
        <w:t>treated</w:t>
      </w:r>
      <w:r w:rsidR="003E4F1A" w:rsidRPr="00485F66">
        <w:rPr>
          <w:rFonts w:eastAsia="Cambria Math" w:cs="Cambria Math"/>
          <w:color w:val="000000"/>
        </w:rPr>
        <w:t xml:space="preserve">, and </w:t>
      </w:r>
      <w:r w:rsidRPr="00485F66">
        <w:rPr>
          <w:rFonts w:eastAsia="Cambria Math" w:cs="Cambria Math"/>
          <w:color w:val="000000"/>
        </w:rPr>
        <w:t>controlled by these medicines</w:t>
      </w:r>
    </w:p>
    <w:p w14:paraId="6AA4F05A" w14:textId="7889E7A5" w:rsidR="000F68E1" w:rsidRPr="00485F66" w:rsidRDefault="001F3FDB" w:rsidP="00F96E11">
      <w:pPr>
        <w:pStyle w:val="ListParagraph"/>
        <w:numPr>
          <w:ilvl w:val="0"/>
          <w:numId w:val="34"/>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Identify whether a facility has a core set of relevant essential medicines available and affordable</w:t>
      </w:r>
      <w:r w:rsidR="000F68E1" w:rsidRPr="00485F66">
        <w:rPr>
          <w:rFonts w:eastAsia="Cambria Math" w:cs="Cambria Math"/>
          <w:color w:val="000000"/>
        </w:rPr>
        <w:t xml:space="preserve"> </w:t>
      </w:r>
    </w:p>
    <w:p w14:paraId="5A3ACC7A" w14:textId="009CEA64" w:rsidR="001F3FDB" w:rsidRPr="00485F66" w:rsidRDefault="000F68E1" w:rsidP="00933936">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The next two steps are calculated </w:t>
      </w:r>
      <w:r w:rsidR="003E4F1A" w:rsidRPr="00485F66">
        <w:rPr>
          <w:rFonts w:eastAsia="Cambria Math" w:cs="Cambria Math"/>
          <w:color w:val="000000"/>
        </w:rPr>
        <w:t>at</w:t>
      </w:r>
      <w:r w:rsidRPr="00485F66">
        <w:rPr>
          <w:rFonts w:eastAsia="Cambria Math" w:cs="Cambria Math"/>
          <w:color w:val="000000"/>
        </w:rPr>
        <w:t xml:space="preserve"> the </w:t>
      </w:r>
      <w:r w:rsidRPr="00485F66">
        <w:rPr>
          <w:rFonts w:eastAsia="Cambria Math" w:cs="Cambria Math"/>
          <w:color w:val="000000"/>
          <w:u w:val="single"/>
        </w:rPr>
        <w:t>country level</w:t>
      </w:r>
      <w:r w:rsidRPr="00485F66">
        <w:rPr>
          <w:rFonts w:eastAsia="Cambria Math" w:cs="Cambria Math"/>
          <w:color w:val="000000"/>
        </w:rPr>
        <w:t xml:space="preserve"> across all the surveyed facilities:</w:t>
      </w:r>
    </w:p>
    <w:p w14:paraId="6020827D" w14:textId="49A9D143" w:rsidR="001F3FDB" w:rsidRPr="00485F66" w:rsidRDefault="000F68E1" w:rsidP="00F96E11">
      <w:pPr>
        <w:pStyle w:val="ListParagraph"/>
        <w:numPr>
          <w:ilvl w:val="0"/>
          <w:numId w:val="34"/>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Calculate the indicator as the proportion of facilities with accessible medicines in the country</w:t>
      </w:r>
    </w:p>
    <w:p w14:paraId="31A6AFA8" w14:textId="747A5AF3" w:rsidR="000F68E1" w:rsidRPr="00485F66" w:rsidRDefault="000F68E1" w:rsidP="00F96E11">
      <w:pPr>
        <w:pStyle w:val="ListParagraph"/>
        <w:numPr>
          <w:ilvl w:val="0"/>
          <w:numId w:val="34"/>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Consideration of </w:t>
      </w:r>
      <w:r w:rsidR="003E4F1A" w:rsidRPr="00485F66">
        <w:rPr>
          <w:rFonts w:eastAsia="Cambria Math" w:cs="Cambria Math"/>
          <w:color w:val="000000"/>
        </w:rPr>
        <w:t xml:space="preserve">the </w:t>
      </w:r>
      <w:r w:rsidRPr="00485F66">
        <w:rPr>
          <w:rFonts w:eastAsia="Cambria Math" w:cs="Cambria Math"/>
          <w:color w:val="000000"/>
        </w:rPr>
        <w:t>quality of the accessible medicines in the country using a proxy</w:t>
      </w:r>
    </w:p>
    <w:p w14:paraId="4966F1B9" w14:textId="77777777" w:rsidR="00A63804" w:rsidRPr="00485F66" w:rsidRDefault="00A63804"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Below is </w:t>
      </w:r>
      <w:r w:rsidR="00A46F44" w:rsidRPr="00485F66">
        <w:rPr>
          <w:rFonts w:eastAsia="Cambria Math" w:cs="Cambria Math"/>
          <w:color w:val="000000"/>
        </w:rPr>
        <w:t>a more detailed procedure of the index computation.</w:t>
      </w:r>
    </w:p>
    <w:p w14:paraId="7C9304CD" w14:textId="77777777" w:rsidR="0057670B" w:rsidRPr="00485F66" w:rsidRDefault="0057670B" w:rsidP="00F96E11">
      <w:p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 xml:space="preserve">Step 1: Review and selection of the core basket of medicines for primary health care </w:t>
      </w:r>
    </w:p>
    <w:p w14:paraId="7DA4D75D" w14:textId="22B4EE7D" w:rsidR="0078035E" w:rsidRPr="00485F66" w:rsidRDefault="00FA4BFA" w:rsidP="00F96E11">
      <w:pPr>
        <w:pBdr>
          <w:top w:val="nil"/>
          <w:left w:val="nil"/>
          <w:bottom w:val="nil"/>
          <w:right w:val="nil"/>
          <w:between w:val="nil"/>
        </w:pBdr>
        <w:spacing w:after="120" w:line="240" w:lineRule="auto"/>
        <w:jc w:val="both"/>
      </w:pPr>
      <w:r w:rsidRPr="00485F66">
        <w:rPr>
          <w:rFonts w:ascii="Calibri" w:eastAsia="SimSun" w:hAnsi="Calibri" w:cs="Arial"/>
        </w:rPr>
        <w:t>For some of the disease categories captured by the proposed basket of medicines, a therapeutic category of medicine has been specified (e.g. statins, beta blockers, corticosteroids, etc.) and a specific medicine must be identified for monitoring. For example, beclomethasone is used to treat non-communicable respiratory disease and if it is not supplied in a particular country for some policy or market reason, an alternative corticosteroid inhaler must be included in the analysis. In other cases, more than one medicine should be included in the basket per disease category. This will require a preliminary review of the basket before starting the data collection process.</w:t>
      </w:r>
    </w:p>
    <w:p w14:paraId="4E0DEB55" w14:textId="50C8A16C" w:rsidR="0057670B" w:rsidRPr="00485F66" w:rsidRDefault="0057670B" w:rsidP="00F96E11">
      <w:p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Step 2: Estimate weights for the defined medicines bas</w:t>
      </w:r>
      <w:r w:rsidR="00575F92" w:rsidRPr="00485F66">
        <w:rPr>
          <w:rFonts w:eastAsia="Times New Roman" w:cs="Times New Roman"/>
          <w:b/>
          <w:bCs/>
          <w:color w:val="4A4A4A"/>
          <w:lang w:eastAsia="en-GB"/>
        </w:rPr>
        <w:t>ed on regional burden of disease</w:t>
      </w:r>
    </w:p>
    <w:p w14:paraId="070A08AE" w14:textId="122DE989" w:rsidR="0057670B" w:rsidRPr="00485F66" w:rsidRDefault="0057670B"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lastRenderedPageBreak/>
        <w:t xml:space="preserve">The following </w:t>
      </w:r>
      <w:r w:rsidR="00690082" w:rsidRPr="00485F66">
        <w:rPr>
          <w:rFonts w:eastAsia="Cambria Math" w:cs="Cambria Math"/>
          <w:color w:val="000000"/>
        </w:rPr>
        <w:t xml:space="preserve">points </w:t>
      </w:r>
      <w:r w:rsidR="00FA4BFA" w:rsidRPr="00485F66">
        <w:rPr>
          <w:rFonts w:eastAsia="Cambria Math" w:cs="Cambria Math"/>
          <w:color w:val="000000"/>
        </w:rPr>
        <w:t>must be considered</w:t>
      </w:r>
      <w:r w:rsidRPr="00485F66">
        <w:rPr>
          <w:rFonts w:eastAsia="Cambria Math" w:cs="Cambria Math"/>
          <w:color w:val="000000"/>
        </w:rPr>
        <w:t xml:space="preserve"> when computing medicines’ weights:</w:t>
      </w:r>
    </w:p>
    <w:p w14:paraId="26FBA4CC" w14:textId="593C5BFD" w:rsidR="0057670B" w:rsidRPr="00485F66" w:rsidRDefault="00FA4BFA" w:rsidP="00F96E11">
      <w:pPr>
        <w:pStyle w:val="ListParagraph"/>
        <w:numPr>
          <w:ilvl w:val="0"/>
          <w:numId w:val="29"/>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Equal weights are assigned to </w:t>
      </w:r>
      <w:r w:rsidR="0057670B" w:rsidRPr="00485F66">
        <w:rPr>
          <w:rFonts w:eastAsia="Cambria Math" w:cs="Cambria Math"/>
          <w:color w:val="000000"/>
        </w:rPr>
        <w:t>medicines that are used to treat</w:t>
      </w:r>
      <w:r w:rsidRPr="00485F66">
        <w:rPr>
          <w:rFonts w:eastAsia="Cambria Math" w:cs="Cambria Math"/>
          <w:color w:val="000000"/>
        </w:rPr>
        <w:t xml:space="preserve">, </w:t>
      </w:r>
      <w:r w:rsidR="0057670B" w:rsidRPr="00485F66">
        <w:rPr>
          <w:rFonts w:eastAsia="Cambria Math" w:cs="Cambria Math"/>
          <w:color w:val="000000"/>
        </w:rPr>
        <w:t>cur</w:t>
      </w:r>
      <w:r w:rsidRPr="00485F66">
        <w:rPr>
          <w:rFonts w:eastAsia="Cambria Math" w:cs="Cambria Math"/>
          <w:color w:val="000000"/>
        </w:rPr>
        <w:t xml:space="preserve">e, and </w:t>
      </w:r>
      <w:r w:rsidR="0057670B" w:rsidRPr="00485F66">
        <w:rPr>
          <w:rFonts w:eastAsia="Cambria Math" w:cs="Cambria Math"/>
          <w:color w:val="000000"/>
        </w:rPr>
        <w:t>control the same disease(s) (e.g. gliclazide (or other sulfonylurea), metformin and insulin regular are assigned equal weights according to the diabetes disease burden).</w:t>
      </w:r>
    </w:p>
    <w:p w14:paraId="1EEDF8AF" w14:textId="77777777" w:rsidR="0057670B" w:rsidRPr="00485F66" w:rsidRDefault="0057670B" w:rsidP="00F96E11">
      <w:pPr>
        <w:pStyle w:val="ListParagraph"/>
        <w:numPr>
          <w:ilvl w:val="0"/>
          <w:numId w:val="29"/>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For a medicine indicated for multiple diseases, DALYs values for each disease are summed.</w:t>
      </w:r>
    </w:p>
    <w:p w14:paraId="7AB70B6B" w14:textId="712A5C4D" w:rsidR="00560D7D" w:rsidRPr="00485F66" w:rsidRDefault="00560D7D" w:rsidP="00560D7D">
      <w:pPr>
        <w:pStyle w:val="ListParagraph"/>
        <w:numPr>
          <w:ilvl w:val="0"/>
          <w:numId w:val="29"/>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For a medicine used for treating conditions for children (four medicines from the list) sum of DALYs is computed for males and females at the age between 0 and 14 years. </w:t>
      </w:r>
    </w:p>
    <w:p w14:paraId="2A6A0B7F" w14:textId="77777777" w:rsidR="0057670B" w:rsidRPr="00485F66" w:rsidRDefault="0057670B" w:rsidP="00F96E11">
      <w:pPr>
        <w:pStyle w:val="ListParagraph"/>
        <w:numPr>
          <w:ilvl w:val="0"/>
          <w:numId w:val="29"/>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For some of the medicines which cannot be assigned to a specific disease (e.g. paracetamol) the weight is computed as  </w:t>
      </w:r>
      <m:oMath>
        <m:f>
          <m:fPr>
            <m:ctrlPr>
              <w:rPr>
                <w:rFonts w:ascii="Cambria Math" w:eastAsia="Cambria Math" w:hAnsi="Cambria Math" w:cs="Cambria Math"/>
                <w:i/>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T</m:t>
            </m:r>
          </m:den>
        </m:f>
      </m:oMath>
      <w:r w:rsidRPr="00485F66">
        <w:rPr>
          <w:rFonts w:eastAsia="Cambria Math" w:cs="Cambria Math"/>
          <w:color w:val="000000"/>
        </w:rPr>
        <w:t xml:space="preserve">  (where T is a total number of medicines in the surveyed basket) assuming equal use of the medicine relative to other medicines in the core list. </w:t>
      </w:r>
    </w:p>
    <w:p w14:paraId="4147CA46" w14:textId="77777777" w:rsidR="0057670B" w:rsidRPr="00485F66" w:rsidRDefault="0057670B" w:rsidP="00F96E11">
      <w:pPr>
        <w:pStyle w:val="ListParagraph"/>
        <w:numPr>
          <w:ilvl w:val="0"/>
          <w:numId w:val="29"/>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For medicines not in the list but “suggested for monitoring” by the country, weight is computed as </w:t>
      </w:r>
      <m:oMath>
        <m:r>
          <w:rPr>
            <w:rFonts w:ascii="Cambria Math" w:eastAsia="Cambria Math" w:hAnsi="Cambria Math" w:cs="Cambria Math"/>
            <w:color w:val="000000"/>
          </w:rPr>
          <m:t>0.5*</m:t>
        </m:r>
        <m:f>
          <m:fPr>
            <m:ctrlPr>
              <w:rPr>
                <w:rFonts w:ascii="Cambria Math" w:eastAsia="Cambria Math" w:hAnsi="Cambria Math" w:cs="Cambria Math"/>
                <w:i/>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T</m:t>
            </m:r>
          </m:den>
        </m:f>
        <m:r>
          <w:rPr>
            <w:rFonts w:ascii="Cambria Math" w:eastAsia="Cambria Math" w:hAnsi="Cambria Math" w:cs="Cambria Math"/>
            <w:color w:val="000000"/>
          </w:rPr>
          <m:t xml:space="preserve"> </m:t>
        </m:r>
      </m:oMath>
      <w:r w:rsidRPr="00485F66">
        <w:rPr>
          <w:rFonts w:eastAsia="Cambria Math" w:cs="Cambria Math"/>
          <w:color w:val="000000"/>
        </w:rPr>
        <w:t xml:space="preserve"> assuming a minor relevance of these medicines for this indicator and to avoid major issues in inter-country comparison. </w:t>
      </w:r>
    </w:p>
    <w:p w14:paraId="78F5D821" w14:textId="7A9F127C" w:rsidR="0057670B" w:rsidRPr="00485F66" w:rsidRDefault="0057670B"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To estimate </w:t>
      </w:r>
      <w:r w:rsidR="00FA4BFA" w:rsidRPr="00485F66">
        <w:rPr>
          <w:rFonts w:eastAsia="Cambria Math" w:cs="Cambria Math"/>
          <w:color w:val="000000"/>
        </w:rPr>
        <w:t xml:space="preserve">the </w:t>
      </w:r>
      <w:r w:rsidRPr="00485F66">
        <w:rPr>
          <w:rFonts w:eastAsia="Cambria Math" w:cs="Cambria Math"/>
          <w:color w:val="000000"/>
        </w:rPr>
        <w:t xml:space="preserve">weight for each medicine, the following </w:t>
      </w:r>
      <w:r w:rsidRPr="00485F66">
        <w:rPr>
          <w:rFonts w:eastAsia="Cambria Math" w:cs="Cambria Math"/>
          <w:color w:val="000000"/>
          <w:u w:val="single"/>
        </w:rPr>
        <w:t>steps</w:t>
      </w:r>
      <w:r w:rsidRPr="00485F66">
        <w:rPr>
          <w:rFonts w:eastAsia="Cambria Math" w:cs="Cambria Math"/>
          <w:color w:val="000000"/>
        </w:rPr>
        <w:t xml:space="preserve"> have to be undertaken:</w:t>
      </w:r>
    </w:p>
    <w:p w14:paraId="3EEC80AB" w14:textId="77777777" w:rsidR="0074570F" w:rsidRPr="00485F66" w:rsidRDefault="0074570F" w:rsidP="0074570F">
      <w:pPr>
        <w:pStyle w:val="ListParagraph"/>
        <w:numPr>
          <w:ilvl w:val="0"/>
          <w:numId w:val="11"/>
        </w:numPr>
        <w:pBdr>
          <w:top w:val="nil"/>
          <w:left w:val="nil"/>
          <w:bottom w:val="nil"/>
          <w:right w:val="nil"/>
          <w:between w:val="nil"/>
        </w:pBdr>
        <w:spacing w:after="120" w:line="240" w:lineRule="auto"/>
        <w:jc w:val="both"/>
        <w:rPr>
          <w:rFonts w:eastAsia="Cambria Math" w:cs="Cambria Math"/>
          <w:vanish/>
          <w:color w:val="000000"/>
        </w:rPr>
      </w:pPr>
    </w:p>
    <w:p w14:paraId="2F74CE00" w14:textId="77777777" w:rsidR="0074570F" w:rsidRPr="00485F66" w:rsidRDefault="0074570F" w:rsidP="0074570F">
      <w:pPr>
        <w:pStyle w:val="ListParagraph"/>
        <w:numPr>
          <w:ilvl w:val="0"/>
          <w:numId w:val="11"/>
        </w:numPr>
        <w:pBdr>
          <w:top w:val="nil"/>
          <w:left w:val="nil"/>
          <w:bottom w:val="nil"/>
          <w:right w:val="nil"/>
          <w:between w:val="nil"/>
        </w:pBdr>
        <w:spacing w:after="120" w:line="240" w:lineRule="auto"/>
        <w:jc w:val="both"/>
        <w:rPr>
          <w:rFonts w:eastAsia="Cambria Math" w:cs="Cambria Math"/>
          <w:vanish/>
          <w:color w:val="000000"/>
        </w:rPr>
      </w:pPr>
    </w:p>
    <w:p w14:paraId="246F3351" w14:textId="5353EDDA" w:rsidR="006C1A6B" w:rsidRPr="00485F66" w:rsidRDefault="0057670B" w:rsidP="00B17716">
      <w:pPr>
        <w:pStyle w:val="ListParagraph"/>
        <w:numPr>
          <w:ilvl w:val="1"/>
          <w:numId w:val="11"/>
        </w:numPr>
        <w:pBdr>
          <w:top w:val="nil"/>
          <w:left w:val="nil"/>
          <w:bottom w:val="nil"/>
          <w:right w:val="nil"/>
          <w:between w:val="nil"/>
        </w:pBdr>
        <w:spacing w:before="120" w:after="240"/>
        <w:ind w:left="782" w:hanging="357"/>
        <w:jc w:val="both"/>
        <w:rPr>
          <w:rFonts w:eastAsia="Cambria Math" w:cs="Cambria Math"/>
          <w:color w:val="000000"/>
        </w:rPr>
      </w:pPr>
      <w:r w:rsidRPr="00485F66">
        <w:rPr>
          <w:rFonts w:eastAsia="Cambria Math" w:cs="Cambria Math"/>
          <w:color w:val="000000"/>
        </w:rPr>
        <w:t>Assign each medicine in the basket to one or several disease(s) that are treated</w:t>
      </w:r>
      <w:r w:rsidR="00FA4BFA" w:rsidRPr="00485F66">
        <w:rPr>
          <w:rFonts w:eastAsia="Cambria Math" w:cs="Cambria Math"/>
          <w:color w:val="000000"/>
        </w:rPr>
        <w:t>/</w:t>
      </w:r>
      <w:r w:rsidRPr="00485F66">
        <w:rPr>
          <w:rFonts w:eastAsia="Cambria Math" w:cs="Cambria Math"/>
          <w:color w:val="000000"/>
        </w:rPr>
        <w:t>cured/controlled by that medicine (</w:t>
      </w:r>
      <w:r w:rsidR="0074570F" w:rsidRPr="00485F66">
        <w:rPr>
          <w:rFonts w:eastAsia="Cambria Math" w:cs="Cambria Math"/>
          <w:i/>
          <w:iCs/>
          <w:color w:val="000000"/>
        </w:rPr>
        <w:t>Annex</w:t>
      </w:r>
      <w:r w:rsidRPr="00485F66">
        <w:rPr>
          <w:rFonts w:eastAsia="Cambria Math" w:cs="Cambria Math"/>
          <w:i/>
          <w:iCs/>
          <w:color w:val="000000"/>
        </w:rPr>
        <w:t xml:space="preserve"> </w:t>
      </w:r>
      <w:r w:rsidR="0074570F" w:rsidRPr="00485F66">
        <w:rPr>
          <w:rFonts w:eastAsia="Cambria Math" w:cs="Cambria Math"/>
          <w:i/>
          <w:iCs/>
          <w:color w:val="000000"/>
        </w:rPr>
        <w:t xml:space="preserve">1 table </w:t>
      </w:r>
      <w:r w:rsidRPr="00485F66">
        <w:rPr>
          <w:rFonts w:eastAsia="Cambria Math" w:cs="Cambria Math"/>
          <w:i/>
          <w:iCs/>
          <w:color w:val="000000"/>
        </w:rPr>
        <w:t>2</w:t>
      </w:r>
      <w:r w:rsidRPr="00485F66">
        <w:rPr>
          <w:rFonts w:eastAsia="Cambria Math" w:cs="Cambria Math"/>
          <w:color w:val="000000"/>
        </w:rPr>
        <w:t xml:space="preserve">) </w:t>
      </w:r>
    </w:p>
    <w:p w14:paraId="388B736F" w14:textId="77777777" w:rsidR="0057670B" w:rsidRPr="00485F66" w:rsidRDefault="0057670B" w:rsidP="00B17716">
      <w:pPr>
        <w:pStyle w:val="ListParagraph"/>
        <w:numPr>
          <w:ilvl w:val="1"/>
          <w:numId w:val="11"/>
        </w:numPr>
        <w:pBdr>
          <w:top w:val="nil"/>
          <w:left w:val="nil"/>
          <w:bottom w:val="nil"/>
          <w:right w:val="nil"/>
          <w:between w:val="nil"/>
        </w:pBdr>
        <w:spacing w:before="120" w:after="240"/>
        <w:ind w:left="782" w:hanging="357"/>
        <w:jc w:val="both"/>
        <w:rPr>
          <w:rFonts w:eastAsia="Cambria Math" w:cs="Cambria Math"/>
          <w:color w:val="000000"/>
        </w:rPr>
      </w:pPr>
      <w:r w:rsidRPr="00485F66">
        <w:rPr>
          <w:rFonts w:eastAsia="Cambria Math" w:cs="Cambria Math"/>
          <w:color w:val="000000"/>
        </w:rPr>
        <w:t>Assign to each disease the corresponding DALYs</w:t>
      </w:r>
      <w:r w:rsidRPr="00485F66">
        <w:rPr>
          <w:rStyle w:val="FootnoteReference"/>
          <w:rFonts w:eastAsia="Cambria Math" w:cs="Cambria Math"/>
          <w:color w:val="000000"/>
        </w:rPr>
        <w:footnoteReference w:id="8"/>
      </w:r>
      <w:r w:rsidRPr="00485F66">
        <w:rPr>
          <w:rFonts w:eastAsia="Cambria Math" w:cs="Cambria Math"/>
          <w:color w:val="000000"/>
        </w:rPr>
        <w:t xml:space="preserve"> (if several diseases are treated with the same medicine, compute sum of these DALYs accordingly) </w:t>
      </w:r>
      <w:r w:rsidRPr="00485F66">
        <w:rPr>
          <w:rFonts w:eastAsia="Cambria Math" w:cstheme="minorHAnsi"/>
          <w:color w:val="000000"/>
        </w:rPr>
        <w:t>[</w:t>
      </w:r>
      <m:oMath>
        <m:sSub>
          <m:sSubPr>
            <m:ctrlPr>
              <w:rPr>
                <w:rFonts w:ascii="Cambria Math" w:eastAsia="Cambria Math" w:hAnsi="Cambria Math" w:cs="Cambria Math"/>
                <w:i/>
                <w:color w:val="000000"/>
                <w:sz w:val="18"/>
              </w:rPr>
            </m:ctrlPr>
          </m:sSubPr>
          <m:e>
            <m:r>
              <w:rPr>
                <w:rFonts w:ascii="Cambria Math" w:eastAsia="Cambria Math" w:hAnsi="Cambria Math" w:cs="Cambria Math"/>
                <w:color w:val="000000"/>
                <w:sz w:val="18"/>
              </w:rPr>
              <m:t xml:space="preserve"> DALYs</m:t>
            </m:r>
          </m:e>
          <m:sub>
            <m:r>
              <w:rPr>
                <w:rFonts w:ascii="Cambria Math" w:eastAsia="Cambria Math" w:hAnsi="Cambria Math" w:cs="Cambria Math"/>
                <w:color w:val="000000"/>
                <w:sz w:val="18"/>
              </w:rPr>
              <m:t>Mi</m:t>
            </m:r>
          </m:sub>
        </m:sSub>
      </m:oMath>
      <w:r w:rsidRPr="00485F66">
        <w:rPr>
          <w:rFonts w:eastAsia="Cambria Math" w:cstheme="minorHAnsi"/>
          <w:color w:val="000000"/>
        </w:rPr>
        <w:t xml:space="preserve"> ]</w:t>
      </w:r>
    </w:p>
    <w:p w14:paraId="58D84A21" w14:textId="59E22F42" w:rsidR="0057670B" w:rsidRPr="00485F66" w:rsidRDefault="0057670B" w:rsidP="00560D7D">
      <w:pPr>
        <w:pStyle w:val="ListParagraph"/>
        <w:numPr>
          <w:ilvl w:val="1"/>
          <w:numId w:val="11"/>
        </w:numPr>
        <w:pBdr>
          <w:top w:val="nil"/>
          <w:left w:val="nil"/>
          <w:bottom w:val="nil"/>
          <w:right w:val="nil"/>
          <w:between w:val="nil"/>
        </w:pBdr>
        <w:spacing w:before="120" w:after="240"/>
        <w:ind w:left="782" w:hanging="357"/>
        <w:jc w:val="both"/>
        <w:rPr>
          <w:rFonts w:eastAsia="Cambria Math" w:cs="Cambria Math"/>
          <w:color w:val="000000"/>
        </w:rPr>
      </w:pPr>
      <w:r w:rsidRPr="00485F66">
        <w:rPr>
          <w:rFonts w:eastAsia="Cambria Math" w:cs="Cambria Math"/>
          <w:color w:val="000000"/>
        </w:rPr>
        <w:t xml:space="preserve">Compute total sum of the DALYs per medicine </w:t>
      </w:r>
      <w:r w:rsidRPr="00485F66">
        <w:rPr>
          <w:rFonts w:eastAsia="Cambria Math" w:cstheme="minorHAnsi"/>
          <w:color w:val="000000"/>
        </w:rPr>
        <w:t xml:space="preserve">[ </w:t>
      </w:r>
      <m:oMath>
        <m:sSub>
          <m:sSubPr>
            <m:ctrlPr>
              <w:rPr>
                <w:rFonts w:ascii="Cambria Math" w:eastAsia="Cambria Math" w:hAnsi="Cambria Math" w:cs="Cambria Math"/>
                <w:i/>
                <w:color w:val="000000"/>
                <w:sz w:val="18"/>
              </w:rPr>
            </m:ctrlPr>
          </m:sSubPr>
          <m:e>
            <m:nary>
              <m:naryPr>
                <m:chr m:val="∑"/>
                <m:limLoc m:val="undOvr"/>
                <m:ctrlPr>
                  <w:rPr>
                    <w:rFonts w:ascii="Cambria Math" w:eastAsia="Cambria Math" w:hAnsi="Cambria Math" w:cs="Cambria Math"/>
                    <w:i/>
                    <w:color w:val="000000"/>
                    <w:sz w:val="18"/>
                  </w:rPr>
                </m:ctrlPr>
              </m:naryPr>
              <m:sub>
                <m:r>
                  <w:rPr>
                    <w:rFonts w:ascii="Cambria Math" w:eastAsia="Cambria Math" w:hAnsi="Cambria Math" w:cs="Cambria Math"/>
                    <w:color w:val="000000"/>
                    <w:sz w:val="18"/>
                  </w:rPr>
                  <m:t>i=1</m:t>
                </m:r>
              </m:sub>
              <m:sup>
                <m:r>
                  <w:rPr>
                    <w:rFonts w:ascii="Cambria Math" w:eastAsia="Cambria Math" w:hAnsi="Cambria Math" w:cs="Cambria Math"/>
                    <w:color w:val="000000"/>
                    <w:sz w:val="18"/>
                  </w:rPr>
                  <m:t>32</m:t>
                </m:r>
              </m:sup>
              <m:e>
                <m:r>
                  <w:rPr>
                    <w:rFonts w:ascii="Cambria Math" w:eastAsia="Cambria Math" w:hAnsi="Cambria Math" w:cs="Cambria Math"/>
                    <w:color w:val="000000"/>
                    <w:sz w:val="18"/>
                  </w:rPr>
                  <m:t>DALYs</m:t>
                </m:r>
              </m:e>
            </m:nary>
          </m:e>
          <m:sub>
            <m:r>
              <w:rPr>
                <w:rFonts w:ascii="Cambria Math" w:eastAsia="Cambria Math" w:hAnsi="Cambria Math" w:cs="Cambria Math"/>
                <w:color w:val="000000"/>
                <w:sz w:val="18"/>
              </w:rPr>
              <m:t>Mi</m:t>
            </m:r>
          </m:sub>
        </m:sSub>
      </m:oMath>
      <w:r w:rsidRPr="00485F66">
        <w:rPr>
          <w:rFonts w:eastAsia="Cambria Math" w:cstheme="minorHAnsi"/>
          <w:color w:val="000000"/>
        </w:rPr>
        <w:t xml:space="preserve"> ]</w:t>
      </w:r>
    </w:p>
    <w:p w14:paraId="54A91F54" w14:textId="5955A18D" w:rsidR="001D661D" w:rsidRPr="00485F66" w:rsidRDefault="0057670B" w:rsidP="00B17716">
      <w:pPr>
        <w:pStyle w:val="ListParagraph"/>
        <w:numPr>
          <w:ilvl w:val="1"/>
          <w:numId w:val="11"/>
        </w:numPr>
        <w:pBdr>
          <w:top w:val="nil"/>
          <w:left w:val="nil"/>
          <w:bottom w:val="nil"/>
          <w:right w:val="nil"/>
          <w:between w:val="nil"/>
        </w:pBdr>
        <w:spacing w:before="120" w:after="240"/>
        <w:ind w:left="782" w:hanging="357"/>
        <w:jc w:val="both"/>
        <w:rPr>
          <w:rFonts w:eastAsia="Cambria Math" w:cs="Cambria Math"/>
          <w:color w:val="000000"/>
        </w:rPr>
      </w:pPr>
      <w:r w:rsidRPr="00485F66">
        <w:rPr>
          <w:rFonts w:eastAsia="Cambria Math" w:cs="Cambria Math"/>
          <w:color w:val="000000"/>
        </w:rPr>
        <w:t xml:space="preserve">Compute weight of each medicine as a proportion of the medicine specific DALYs to the total sum of DALYs in the basket </w:t>
      </w:r>
      <w:r w:rsidRPr="00485F66">
        <w:rPr>
          <w:rFonts w:eastAsia="Cambria Math" w:cstheme="minorHAnsi"/>
          <w:color w:val="000000"/>
        </w:rPr>
        <w:t>[</w:t>
      </w:r>
      <m:oMath>
        <m:r>
          <w:rPr>
            <w:rFonts w:ascii="Cambria Math" w:eastAsia="Cambria Math" w:hAnsi="Cambria Math" w:cstheme="minorHAnsi"/>
            <w:color w:val="000000"/>
          </w:rPr>
          <m:t xml:space="preserve"> </m:t>
        </m:r>
        <m:sSub>
          <m:sSubPr>
            <m:ctrlPr>
              <w:rPr>
                <w:rFonts w:ascii="Cambria Math" w:eastAsia="Cambria Math" w:hAnsi="Cambria Math" w:cs="Cambria Math"/>
                <w:i/>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Mi</m:t>
            </m:r>
          </m:sub>
        </m:sSub>
      </m:oMath>
      <w:r w:rsidRPr="00485F66">
        <w:rPr>
          <w:rFonts w:eastAsia="Cambria Math" w:cstheme="minorHAnsi"/>
          <w:color w:val="000000"/>
        </w:rPr>
        <w:t xml:space="preserve"> ]</w:t>
      </w:r>
      <w:r w:rsidR="001D661D" w:rsidRPr="00485F66">
        <w:rPr>
          <w:rFonts w:eastAsia="Cambria Math" w:cs="Cambria Math"/>
          <w:color w:val="000000"/>
        </w:rPr>
        <w:t>:</w:t>
      </w:r>
    </w:p>
    <w:p w14:paraId="3F21C2AF" w14:textId="766449F4" w:rsidR="0057670B" w:rsidRPr="00485F66" w:rsidRDefault="008459A4" w:rsidP="00560D7D">
      <w:pPr>
        <w:pStyle w:val="ListParagraph"/>
        <w:pBdr>
          <w:top w:val="nil"/>
          <w:left w:val="nil"/>
          <w:bottom w:val="nil"/>
          <w:right w:val="nil"/>
          <w:between w:val="nil"/>
        </w:pBdr>
        <w:spacing w:after="120"/>
        <w:ind w:left="1440"/>
        <w:jc w:val="both"/>
        <w:rPr>
          <w:rFonts w:eastAsia="Cambria Math" w:cs="Cambria Math"/>
          <w:color w:val="000000"/>
        </w:rPr>
      </w:pPr>
      <m:oMathPara>
        <m:oMathParaPr>
          <m:jc m:val="center"/>
        </m:oMathParaPr>
        <m:oMath>
          <m:sSub>
            <m:sSubPr>
              <m:ctrlPr>
                <w:rPr>
                  <w:rFonts w:ascii="Cambria Math" w:eastAsia="Cambria Math" w:hAnsi="Cambria Math" w:cs="Cambria Math"/>
                  <w:i/>
                  <w:color w:val="000000"/>
                  <w:sz w:val="18"/>
                </w:rPr>
              </m:ctrlPr>
            </m:sSubPr>
            <m:e>
              <m:r>
                <w:rPr>
                  <w:rFonts w:ascii="Cambria Math" w:eastAsia="Cambria Math" w:hAnsi="Cambria Math" w:cs="Cambria Math"/>
                  <w:color w:val="000000"/>
                  <w:sz w:val="18"/>
                </w:rPr>
                <m:t>W</m:t>
              </m:r>
            </m:e>
            <m:sub>
              <m:r>
                <w:rPr>
                  <w:rFonts w:ascii="Cambria Math" w:eastAsia="Cambria Math" w:hAnsi="Cambria Math" w:cs="Cambria Math"/>
                  <w:color w:val="000000"/>
                  <w:sz w:val="18"/>
                </w:rPr>
                <m:t>Mi</m:t>
              </m:r>
            </m:sub>
          </m:sSub>
          <m:r>
            <w:rPr>
              <w:rFonts w:ascii="Cambria Math" w:eastAsia="Cambria Math" w:hAnsi="Cambria Math" w:cs="Cambria Math"/>
              <w:color w:val="000000"/>
              <w:sz w:val="18"/>
            </w:rPr>
            <m:t>=</m:t>
          </m:r>
          <m:f>
            <m:fPr>
              <m:ctrlPr>
                <w:rPr>
                  <w:rFonts w:ascii="Cambria Math" w:eastAsia="Cambria Math" w:hAnsi="Cambria Math" w:cs="Cambria Math"/>
                  <w:i/>
                  <w:color w:val="000000"/>
                  <w:sz w:val="18"/>
                </w:rPr>
              </m:ctrlPr>
            </m:fPr>
            <m:num>
              <m:sSub>
                <m:sSubPr>
                  <m:ctrlPr>
                    <w:rPr>
                      <w:rFonts w:ascii="Cambria Math" w:eastAsia="Cambria Math" w:hAnsi="Cambria Math" w:cs="Cambria Math"/>
                      <w:i/>
                      <w:color w:val="000000"/>
                      <w:sz w:val="18"/>
                    </w:rPr>
                  </m:ctrlPr>
                </m:sSubPr>
                <m:e>
                  <m:r>
                    <w:rPr>
                      <w:rFonts w:ascii="Cambria Math" w:eastAsia="Cambria Math" w:hAnsi="Cambria Math" w:cs="Cambria Math"/>
                      <w:color w:val="000000"/>
                      <w:sz w:val="18"/>
                    </w:rPr>
                    <m:t>DALYs</m:t>
                  </m:r>
                </m:e>
                <m:sub>
                  <m:r>
                    <w:rPr>
                      <w:rFonts w:ascii="Cambria Math" w:eastAsia="Cambria Math" w:hAnsi="Cambria Math" w:cs="Cambria Math"/>
                      <w:color w:val="000000"/>
                      <w:sz w:val="18"/>
                    </w:rPr>
                    <m:t>Mi</m:t>
                  </m:r>
                </m:sub>
              </m:sSub>
            </m:num>
            <m:den>
              <m:sSub>
                <m:sSubPr>
                  <m:ctrlPr>
                    <w:rPr>
                      <w:rFonts w:ascii="Cambria Math" w:eastAsia="Cambria Math" w:hAnsi="Cambria Math" w:cs="Cambria Math"/>
                      <w:i/>
                      <w:color w:val="000000"/>
                      <w:sz w:val="18"/>
                    </w:rPr>
                  </m:ctrlPr>
                </m:sSubPr>
                <m:e>
                  <m:nary>
                    <m:naryPr>
                      <m:chr m:val="∑"/>
                      <m:limLoc m:val="undOvr"/>
                      <m:ctrlPr>
                        <w:rPr>
                          <w:rFonts w:ascii="Cambria Math" w:eastAsia="Cambria Math" w:hAnsi="Cambria Math" w:cs="Cambria Math"/>
                          <w:i/>
                          <w:color w:val="000000"/>
                          <w:sz w:val="18"/>
                        </w:rPr>
                      </m:ctrlPr>
                    </m:naryPr>
                    <m:sub>
                      <m:r>
                        <w:rPr>
                          <w:rFonts w:ascii="Cambria Math" w:eastAsia="Cambria Math" w:hAnsi="Cambria Math" w:cs="Cambria Math"/>
                          <w:color w:val="000000"/>
                          <w:sz w:val="18"/>
                        </w:rPr>
                        <m:t>i=1</m:t>
                      </m:r>
                    </m:sub>
                    <m:sup>
                      <m:r>
                        <w:rPr>
                          <w:rFonts w:ascii="Cambria Math" w:eastAsia="Cambria Math" w:hAnsi="Cambria Math" w:cs="Cambria Math"/>
                          <w:color w:val="000000"/>
                          <w:sz w:val="18"/>
                        </w:rPr>
                        <m:t>32</m:t>
                      </m:r>
                    </m:sup>
                    <m:e>
                      <m:r>
                        <w:rPr>
                          <w:rFonts w:ascii="Cambria Math" w:eastAsia="Cambria Math" w:hAnsi="Cambria Math" w:cs="Cambria Math"/>
                          <w:color w:val="000000"/>
                          <w:sz w:val="18"/>
                        </w:rPr>
                        <m:t>DALYs</m:t>
                      </m:r>
                    </m:e>
                  </m:nary>
                </m:e>
                <m:sub>
                  <m:r>
                    <w:rPr>
                      <w:rFonts w:ascii="Cambria Math" w:eastAsia="Cambria Math" w:hAnsi="Cambria Math" w:cs="Cambria Math"/>
                      <w:color w:val="000000"/>
                      <w:sz w:val="18"/>
                    </w:rPr>
                    <m:t>Mi</m:t>
                  </m:r>
                </m:sub>
              </m:sSub>
            </m:den>
          </m:f>
        </m:oMath>
      </m:oMathPara>
    </w:p>
    <w:p w14:paraId="79D20D3D" w14:textId="19CBD40B" w:rsidR="006C1A6B" w:rsidRPr="00485F66" w:rsidRDefault="006C1A6B" w:rsidP="00F96E11">
      <w:pPr>
        <w:pBdr>
          <w:top w:val="nil"/>
          <w:left w:val="nil"/>
          <w:bottom w:val="nil"/>
          <w:right w:val="nil"/>
          <w:between w:val="nil"/>
        </w:pBdr>
        <w:spacing w:after="120" w:line="240" w:lineRule="auto"/>
        <w:jc w:val="both"/>
        <w:rPr>
          <w:rFonts w:eastAsia="Cambria Math" w:cs="Cambria Math"/>
          <w:b/>
          <w:bCs/>
          <w:color w:val="000000"/>
        </w:rPr>
      </w:pPr>
      <w:r w:rsidRPr="00485F66">
        <w:rPr>
          <w:rFonts w:eastAsia="Cambria Math" w:cs="Cambria Math"/>
          <w:color w:val="000000"/>
        </w:rPr>
        <w:t>As an example, t</w:t>
      </w:r>
      <w:r w:rsidR="0057670B" w:rsidRPr="00485F66">
        <w:rPr>
          <w:rFonts w:eastAsia="Cambria Math" w:cs="Cambria Math"/>
          <w:color w:val="000000"/>
        </w:rPr>
        <w:t>he weights computed across regions for year 2015 are represented in</w:t>
      </w:r>
      <w:r w:rsidR="0057670B" w:rsidRPr="00485F66">
        <w:rPr>
          <w:rFonts w:eastAsia="Cambria Math" w:cs="Cambria Math"/>
          <w:color w:val="000000"/>
          <w:u w:val="single"/>
        </w:rPr>
        <w:t xml:space="preserve"> </w:t>
      </w:r>
      <w:r w:rsidR="0057670B" w:rsidRPr="00485F66">
        <w:rPr>
          <w:rFonts w:eastAsia="Cambria Math" w:cs="Cambria Math"/>
          <w:b/>
          <w:bCs/>
          <w:color w:val="000000"/>
          <w:u w:val="single"/>
        </w:rPr>
        <w:t>Annex 2</w:t>
      </w:r>
      <w:r w:rsidRPr="00485F66">
        <w:rPr>
          <w:rFonts w:eastAsia="Cambria Math" w:cs="Cambria Math"/>
          <w:b/>
          <w:bCs/>
          <w:color w:val="000000"/>
          <w:u w:val="single"/>
        </w:rPr>
        <w:t xml:space="preserve"> table 2</w:t>
      </w:r>
      <w:r w:rsidR="0057670B" w:rsidRPr="00485F66">
        <w:rPr>
          <w:rFonts w:eastAsia="Cambria Math" w:cs="Cambria Math"/>
          <w:b/>
          <w:bCs/>
          <w:color w:val="000000"/>
          <w:u w:val="single"/>
        </w:rPr>
        <w:t>.1 and 2.2</w:t>
      </w:r>
      <w:r w:rsidR="0057670B" w:rsidRPr="00485F66">
        <w:rPr>
          <w:rFonts w:eastAsia="Cambria Math" w:cs="Cambria Math"/>
          <w:b/>
          <w:bCs/>
          <w:color w:val="000000"/>
        </w:rPr>
        <w:t xml:space="preserve">. </w:t>
      </w:r>
    </w:p>
    <w:p w14:paraId="33A78292" w14:textId="1BFE3A7A" w:rsidR="0057670B" w:rsidRPr="00485F66" w:rsidRDefault="0057670B" w:rsidP="00F96E11">
      <w:p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Step 3: Measure the two dimensions of access to medicine</w:t>
      </w:r>
    </w:p>
    <w:p w14:paraId="51861FD9" w14:textId="01027A4F" w:rsidR="0057670B" w:rsidRPr="00485F66" w:rsidRDefault="0057670B" w:rsidP="006C1A6B">
      <w:pPr>
        <w:pBdr>
          <w:top w:val="nil"/>
          <w:left w:val="nil"/>
          <w:bottom w:val="nil"/>
          <w:right w:val="nil"/>
          <w:between w:val="nil"/>
        </w:pBdr>
        <w:spacing w:after="120" w:line="240" w:lineRule="auto"/>
        <w:jc w:val="both"/>
        <w:rPr>
          <w:rFonts w:eastAsia="Cambria Math" w:cs="Cambria Math"/>
          <w:b/>
          <w:bCs/>
          <w:color w:val="000000"/>
        </w:rPr>
      </w:pPr>
      <w:r w:rsidRPr="00485F66">
        <w:rPr>
          <w:rFonts w:eastAsia="Cambria Math" w:cs="Cambria Math"/>
          <w:i/>
          <w:iCs/>
          <w:color w:val="000000"/>
        </w:rPr>
        <w:t>Availability</w:t>
      </w:r>
      <w:r w:rsidRPr="00485F66">
        <w:rPr>
          <w:rFonts w:eastAsia="Cambria Math" w:cs="Cambria Math"/>
          <w:color w:val="000000"/>
        </w:rPr>
        <w:t xml:space="preserve"> and </w:t>
      </w:r>
      <w:r w:rsidRPr="00485F66">
        <w:rPr>
          <w:rFonts w:eastAsia="Cambria Math" w:cs="Cambria Math"/>
          <w:i/>
          <w:iCs/>
          <w:color w:val="000000"/>
        </w:rPr>
        <w:t>affordability</w:t>
      </w:r>
      <w:r w:rsidRPr="00485F66">
        <w:rPr>
          <w:rFonts w:eastAsia="Cambria Math" w:cs="Cambria Math"/>
          <w:color w:val="000000"/>
        </w:rPr>
        <w:t xml:space="preserve"> of medicines </w:t>
      </w:r>
      <w:r w:rsidR="004F40A4" w:rsidRPr="00485F66">
        <w:rPr>
          <w:rFonts w:eastAsia="Cambria Math" w:cs="Cambria Math"/>
          <w:color w:val="000000"/>
        </w:rPr>
        <w:t>must</w:t>
      </w:r>
      <w:r w:rsidRPr="00485F66">
        <w:rPr>
          <w:rFonts w:eastAsia="Cambria Math" w:cs="Cambria Math"/>
          <w:color w:val="000000"/>
        </w:rPr>
        <w:t xml:space="preserve"> be measured and transformed (when necessary) into the format of a binary variable. </w:t>
      </w:r>
    </w:p>
    <w:p w14:paraId="206A0EBD" w14:textId="041B6EBF" w:rsidR="001F3FDB" w:rsidRPr="00485F66" w:rsidRDefault="0057670B" w:rsidP="00F96E11">
      <w:pPr>
        <w:pStyle w:val="ListParagraph"/>
        <w:numPr>
          <w:ilvl w:val="0"/>
          <w:numId w:val="6"/>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i/>
          <w:iCs/>
          <w:color w:val="000000"/>
        </w:rPr>
        <w:t>Availability</w:t>
      </w:r>
      <w:r w:rsidRPr="00485F66">
        <w:rPr>
          <w:rFonts w:eastAsia="Cambria Math" w:cs="Cambria Math"/>
          <w:color w:val="000000"/>
        </w:rPr>
        <w:t xml:space="preserve"> is measured as a binary variable coded as “1” when the medicine is in the facility on the day of the survey and coded as “0” otherwise. This approach is currently used in the HAI/WHO methodology.</w:t>
      </w:r>
      <w:r w:rsidRPr="00485F66">
        <w:rPr>
          <w:rStyle w:val="FootnoteReference"/>
          <w:rFonts w:eastAsia="Cambria Math" w:cs="Cambria Math"/>
          <w:color w:val="000000"/>
        </w:rPr>
        <w:footnoteReference w:id="9"/>
      </w:r>
    </w:p>
    <w:p w14:paraId="3E02A77B" w14:textId="2B743F20" w:rsidR="0057670B" w:rsidRPr="00485F66" w:rsidRDefault="0057670B" w:rsidP="00F96E11">
      <w:pPr>
        <w:pStyle w:val="ListParagraph"/>
        <w:numPr>
          <w:ilvl w:val="0"/>
          <w:numId w:val="6"/>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i/>
          <w:iCs/>
          <w:color w:val="000000"/>
        </w:rPr>
        <w:t>Affordability</w:t>
      </w:r>
      <w:r w:rsidRPr="00485F66">
        <w:rPr>
          <w:rFonts w:eastAsia="Cambria Math" w:cs="Cambria Math"/>
          <w:color w:val="000000"/>
        </w:rPr>
        <w:t xml:space="preserve"> is computed following these </w:t>
      </w:r>
      <w:r w:rsidRPr="00485F66">
        <w:rPr>
          <w:rFonts w:eastAsia="Cambria Math" w:cs="Cambria Math"/>
          <w:color w:val="000000"/>
          <w:u w:val="single"/>
        </w:rPr>
        <w:t>steps</w:t>
      </w:r>
      <w:r w:rsidRPr="00485F66">
        <w:rPr>
          <w:rFonts w:eastAsia="Cambria Math" w:cs="Cambria Math"/>
          <w:color w:val="000000"/>
        </w:rPr>
        <w:t>:</w:t>
      </w:r>
    </w:p>
    <w:p w14:paraId="06DFF7CC" w14:textId="3D1BC3DE" w:rsidR="0057670B" w:rsidRPr="00485F66" w:rsidRDefault="0057670B"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b/>
          <w:bCs/>
          <w:color w:val="000000"/>
        </w:rPr>
        <w:t>3.1</w:t>
      </w:r>
      <w:r w:rsidRPr="00485F66">
        <w:rPr>
          <w:rFonts w:eastAsia="Cambria Math" w:cs="Cambria Math"/>
          <w:color w:val="000000"/>
        </w:rPr>
        <w:t xml:space="preserve"> </w:t>
      </w:r>
      <w:r w:rsidRPr="00485F66">
        <w:rPr>
          <w:rFonts w:eastAsia="Cambria Math" w:cs="Cambria Math"/>
          <w:b/>
          <w:bCs/>
          <w:color w:val="000000"/>
        </w:rPr>
        <w:t>Compute daily</w:t>
      </w:r>
      <w:r w:rsidR="00AC1602" w:rsidRPr="00485F66">
        <w:rPr>
          <w:rFonts w:eastAsia="Cambria Math" w:cs="Cambria Math"/>
          <w:b/>
          <w:bCs/>
          <w:color w:val="000000"/>
        </w:rPr>
        <w:t xml:space="preserve"> price per</w:t>
      </w:r>
      <w:r w:rsidRPr="00485F66">
        <w:rPr>
          <w:rFonts w:eastAsia="Cambria Math" w:cs="Cambria Math"/>
          <w:b/>
          <w:bCs/>
          <w:color w:val="000000"/>
        </w:rPr>
        <w:t xml:space="preserve"> dose of treatment for each medicine (</w:t>
      </w:r>
      <w:r w:rsidR="00AC1602" w:rsidRPr="00485F66">
        <w:rPr>
          <w:rFonts w:eastAsia="Cambria Math" w:cs="Cambria Math"/>
          <w:b/>
          <w:bCs/>
          <w:color w:val="000000"/>
        </w:rPr>
        <w:t xml:space="preserve">price per </w:t>
      </w:r>
      <w:r w:rsidRPr="00485F66">
        <w:rPr>
          <w:rFonts w:eastAsia="Cambria Math" w:cs="Cambria Math"/>
          <w:b/>
          <w:bCs/>
          <w:color w:val="000000"/>
        </w:rPr>
        <w:t>DDD) in the selected basket of medicines</w:t>
      </w:r>
      <w:r w:rsidRPr="00485F66">
        <w:rPr>
          <w:rFonts w:eastAsia="Cambria Math" w:cs="Cambria Math"/>
          <w:color w:val="000000"/>
        </w:rPr>
        <w:t xml:space="preserve"> </w:t>
      </w:r>
    </w:p>
    <w:p w14:paraId="593205FB" w14:textId="77777777" w:rsidR="0057670B" w:rsidRPr="00485F66" w:rsidRDefault="0057670B"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WHO treatment guidelines provide the needed information to compute DDD. </w:t>
      </w:r>
    </w:p>
    <w:p w14:paraId="6F1C42DA" w14:textId="77777777" w:rsidR="0057670B" w:rsidRPr="00485F66" w:rsidRDefault="0057670B"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DDD of a medicine is defined using the following formula:</w:t>
      </w:r>
    </w:p>
    <w:p w14:paraId="2A3D88C7" w14:textId="0ACDED00" w:rsidR="0057670B" w:rsidRPr="00485F66" w:rsidRDefault="00AC1602" w:rsidP="00F96E11">
      <w:pPr>
        <w:pBdr>
          <w:top w:val="nil"/>
          <w:left w:val="nil"/>
          <w:bottom w:val="nil"/>
          <w:right w:val="nil"/>
          <w:between w:val="nil"/>
        </w:pBdr>
        <w:spacing w:after="120" w:line="240" w:lineRule="auto"/>
        <w:ind w:left="720"/>
        <w:jc w:val="both"/>
        <w:rPr>
          <w:rFonts w:eastAsia="Cambria Math" w:cs="Cambria Math"/>
          <w:color w:val="000000"/>
        </w:rPr>
      </w:pPr>
      <m:oMathPara>
        <m:oMath>
          <m:r>
            <w:rPr>
              <w:rFonts w:ascii="Cambria Math" w:eastAsia="Cambria Math" w:hAnsi="Cambria Math" w:cs="Cambria Math"/>
              <w:color w:val="000000"/>
              <w:sz w:val="18"/>
            </w:rPr>
            <m:t>price per DDD=</m:t>
          </m:r>
          <m:f>
            <m:fPr>
              <m:ctrlPr>
                <w:rPr>
                  <w:rFonts w:ascii="Cambria Math" w:eastAsia="Cambria Math" w:hAnsi="Cambria Math" w:cs="Cambria Math"/>
                  <w:i/>
                  <w:color w:val="000000"/>
                  <w:sz w:val="18"/>
                </w:rPr>
              </m:ctrlPr>
            </m:fPr>
            <m:num>
              <m:r>
                <w:rPr>
                  <w:rFonts w:ascii="Cambria Math" w:eastAsia="Cambria Math" w:hAnsi="Cambria Math" w:cs="Cambria Math"/>
                  <w:color w:val="000000"/>
                  <w:sz w:val="18"/>
                </w:rPr>
                <m:t xml:space="preserve">Medicine price </m:t>
              </m:r>
              <m:d>
                <m:dPr>
                  <m:ctrlPr>
                    <w:rPr>
                      <w:rFonts w:ascii="Cambria Math" w:eastAsia="Cambria Math" w:hAnsi="Cambria Math" w:cs="Cambria Math"/>
                      <w:i/>
                      <w:color w:val="000000"/>
                      <w:sz w:val="18"/>
                    </w:rPr>
                  </m:ctrlPr>
                </m:dPr>
                <m:e>
                  <m:r>
                    <w:rPr>
                      <w:rFonts w:ascii="Cambria Math" w:eastAsia="Cambria Math" w:hAnsi="Cambria Math" w:cs="Cambria Math"/>
                      <w:color w:val="000000"/>
                      <w:sz w:val="18"/>
                    </w:rPr>
                    <m:t>month</m:t>
                  </m:r>
                </m:e>
              </m:d>
              <m:r>
                <w:rPr>
                  <w:rFonts w:ascii="Cambria Math" w:eastAsia="Cambria Math" w:hAnsi="Cambria Math" w:cs="Cambria Math"/>
                  <w:color w:val="000000"/>
                  <w:sz w:val="18"/>
                </w:rPr>
                <m:t>*Units per treatment(month)</m:t>
              </m:r>
            </m:num>
            <m:den>
              <m:r>
                <w:rPr>
                  <w:rFonts w:ascii="Cambria Math" w:eastAsia="Cambria Math" w:hAnsi="Cambria Math" w:cs="Cambria Math"/>
                  <w:color w:val="000000"/>
                  <w:sz w:val="18"/>
                </w:rPr>
                <m:t>365/12</m:t>
              </m:r>
            </m:den>
          </m:f>
        </m:oMath>
      </m:oMathPara>
    </w:p>
    <w:p w14:paraId="15B4FD35" w14:textId="1CA3702B" w:rsidR="0057670B" w:rsidRPr="00485F66" w:rsidRDefault="0057670B"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lastRenderedPageBreak/>
        <w:t>where:</w:t>
      </w:r>
    </w:p>
    <w:p w14:paraId="5B629599" w14:textId="25A67FC5" w:rsidR="0057670B" w:rsidRPr="00485F66" w:rsidRDefault="0057670B" w:rsidP="00F96E11">
      <w:pPr>
        <w:pStyle w:val="ListParagraph"/>
        <w:numPr>
          <w:ilvl w:val="0"/>
          <w:numId w:val="30"/>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Units per treatments are tablets/vials or other forms that are needed for an individual with the average severity of the disease per one course of treatment of a duration of one month (365 days per year / 12 months per year = 30.42 days given 30 or 31 day per month), and</w:t>
      </w:r>
    </w:p>
    <w:p w14:paraId="793F5237" w14:textId="63297786" w:rsidR="0057670B" w:rsidRPr="00485F66" w:rsidRDefault="0057670B" w:rsidP="00F96E11">
      <w:pPr>
        <w:pStyle w:val="ListParagraph"/>
        <w:numPr>
          <w:ilvl w:val="0"/>
          <w:numId w:val="30"/>
        </w:num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Medicine prices are calculated per unit (per tablet/vial/other form) requiring adjustments for gram or milligram according to the potency. </w:t>
      </w:r>
    </w:p>
    <w:p w14:paraId="0D41FD8C" w14:textId="77777777" w:rsidR="0057670B" w:rsidRPr="00485F66" w:rsidRDefault="0057670B"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This ratio varies between “0” and infinity and is measured in local currency units per day </w:t>
      </w:r>
      <w:r w:rsidRPr="00485F66">
        <w:rPr>
          <w:rFonts w:eastAsia="Cambria Math" w:cstheme="minorHAnsi"/>
          <w:color w:val="000000"/>
        </w:rPr>
        <w:t>[LCU/d]</w:t>
      </w:r>
      <w:r w:rsidRPr="00485F66">
        <w:rPr>
          <w:rFonts w:eastAsia="Cambria Math" w:cs="Cambria Math"/>
          <w:color w:val="000000"/>
        </w:rPr>
        <w:t>.</w:t>
      </w:r>
    </w:p>
    <w:p w14:paraId="5BA06CB5" w14:textId="77777777" w:rsidR="006941B1" w:rsidRPr="00485F66" w:rsidRDefault="0057670B" w:rsidP="006941B1">
      <w:pPr>
        <w:pBdr>
          <w:top w:val="nil"/>
          <w:left w:val="nil"/>
          <w:bottom w:val="nil"/>
          <w:right w:val="nil"/>
          <w:between w:val="nil"/>
        </w:pBdr>
        <w:spacing w:after="120" w:line="240" w:lineRule="auto"/>
        <w:ind w:left="720"/>
        <w:jc w:val="both"/>
        <w:rPr>
          <w:rFonts w:eastAsia="Cambria Math" w:cs="Cambria Math"/>
        </w:rPr>
      </w:pPr>
      <w:r w:rsidRPr="00485F66">
        <w:rPr>
          <w:rFonts w:eastAsia="Cambria Math" w:cs="Cambria Math"/>
          <w:color w:val="000000"/>
        </w:rPr>
        <w:t xml:space="preserve">Information on the number of units per treatment is specified in </w:t>
      </w:r>
      <w:r w:rsidRPr="00485F66">
        <w:rPr>
          <w:rFonts w:eastAsia="Cambria Math" w:cs="Cambria Math"/>
          <w:b/>
          <w:bCs/>
          <w:u w:val="single"/>
        </w:rPr>
        <w:t>Annex 3</w:t>
      </w:r>
      <w:r w:rsidRPr="00485F66">
        <w:rPr>
          <w:rFonts w:eastAsia="Cambria Math" w:cs="Cambria Math"/>
        </w:rPr>
        <w:t>.</w:t>
      </w:r>
      <w:r w:rsidRPr="00485F66">
        <w:rPr>
          <w:rFonts w:eastAsia="Cambria Math" w:cs="Cambria Math"/>
          <w:b/>
          <w:bCs/>
          <w:color w:val="C00000"/>
        </w:rPr>
        <w:t xml:space="preserve"> </w:t>
      </w:r>
      <w:r w:rsidR="006941B1" w:rsidRPr="00485F66">
        <w:rPr>
          <w:rFonts w:eastAsia="Cambria Math" w:cs="Cambria Math"/>
        </w:rPr>
        <w:t xml:space="preserve">The price per DDD can be measured in per day or per month. </w:t>
      </w:r>
    </w:p>
    <w:p w14:paraId="5E9A5D0F" w14:textId="34773705" w:rsidR="004D3064" w:rsidRPr="00485F66" w:rsidRDefault="00606985" w:rsidP="006941B1">
      <w:pPr>
        <w:pBdr>
          <w:top w:val="nil"/>
          <w:left w:val="nil"/>
          <w:bottom w:val="nil"/>
          <w:right w:val="nil"/>
          <w:between w:val="nil"/>
        </w:pBdr>
        <w:spacing w:after="120" w:line="240" w:lineRule="auto"/>
        <w:ind w:left="720"/>
        <w:jc w:val="both"/>
        <w:rPr>
          <w:rFonts w:eastAsia="Cambria Math" w:cs="Cambria Math"/>
          <w:b/>
          <w:bCs/>
          <w:color w:val="000000"/>
        </w:rPr>
      </w:pPr>
      <w:r w:rsidRPr="00485F66">
        <w:rPr>
          <w:rFonts w:eastAsia="Cambria Math" w:cs="Cambria Math"/>
          <w:b/>
          <w:bCs/>
          <w:color w:val="000000"/>
        </w:rPr>
        <w:t>3.2</w:t>
      </w:r>
      <w:r w:rsidR="00A85B69" w:rsidRPr="00485F66">
        <w:rPr>
          <w:rFonts w:eastAsia="Cambria Math" w:cs="Cambria Math"/>
          <w:color w:val="000000"/>
        </w:rPr>
        <w:t xml:space="preserve"> </w:t>
      </w:r>
      <w:r w:rsidR="00A85B69" w:rsidRPr="00485F66">
        <w:rPr>
          <w:rFonts w:eastAsia="Cambria Math" w:cs="Cambria Math"/>
          <w:b/>
          <w:bCs/>
          <w:color w:val="000000"/>
        </w:rPr>
        <w:t>D</w:t>
      </w:r>
      <w:r w:rsidRPr="00485F66">
        <w:rPr>
          <w:rFonts w:eastAsia="Cambria Math" w:cs="Cambria Math"/>
          <w:b/>
          <w:bCs/>
          <w:color w:val="000000"/>
        </w:rPr>
        <w:t>efine National poverty line</w:t>
      </w:r>
      <w:r w:rsidR="00A85B69" w:rsidRPr="00485F66">
        <w:rPr>
          <w:rFonts w:eastAsia="Cambria Math" w:cs="Cambria Math"/>
          <w:b/>
          <w:bCs/>
          <w:color w:val="000000"/>
        </w:rPr>
        <w:t xml:space="preserve"> (NPL)</w:t>
      </w:r>
      <w:r w:rsidRPr="00485F66">
        <w:rPr>
          <w:rFonts w:eastAsia="Cambria Math" w:cs="Cambria Math"/>
          <w:b/>
          <w:bCs/>
          <w:color w:val="000000"/>
        </w:rPr>
        <w:t xml:space="preserve"> and minimum wage</w:t>
      </w:r>
      <w:r w:rsidR="00A85B69" w:rsidRPr="00485F66">
        <w:rPr>
          <w:rFonts w:eastAsia="Cambria Math" w:cs="Cambria Math"/>
          <w:b/>
          <w:bCs/>
          <w:color w:val="000000"/>
        </w:rPr>
        <w:t xml:space="preserve"> of the LPGW</w:t>
      </w:r>
      <w:r w:rsidR="00E24A1D" w:rsidRPr="00485F66">
        <w:rPr>
          <w:rFonts w:eastAsia="Cambria Math" w:cs="Cambria Math"/>
          <w:b/>
          <w:bCs/>
          <w:color w:val="000000"/>
        </w:rPr>
        <w:t xml:space="preserve"> for the analysed country</w:t>
      </w:r>
    </w:p>
    <w:p w14:paraId="7F96D028" w14:textId="7F806FE5" w:rsidR="00BB22E7" w:rsidRPr="00485F66" w:rsidRDefault="004D3064"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u w:val="single"/>
        </w:rPr>
        <w:t>National poverty line (NLP)</w:t>
      </w:r>
      <w:r w:rsidR="00475070" w:rsidRPr="00485F66">
        <w:rPr>
          <w:rFonts w:eastAsia="Cambria Math" w:cs="Cambria Math"/>
          <w:color w:val="000000"/>
          <w:u w:val="single"/>
        </w:rPr>
        <w:t>:</w:t>
      </w:r>
      <w:r w:rsidRPr="00485F66">
        <w:rPr>
          <w:rFonts w:eastAsia="Cambria Math" w:cs="Cambria Math"/>
          <w:color w:val="000000"/>
        </w:rPr>
        <w:t xml:space="preserve"> </w:t>
      </w:r>
      <w:r w:rsidR="00475070" w:rsidRPr="00485F66">
        <w:rPr>
          <w:rFonts w:eastAsia="Cambria Math" w:cs="Cambria Math"/>
          <w:color w:val="000000"/>
        </w:rPr>
        <w:t>c</w:t>
      </w:r>
      <w:r w:rsidRPr="00485F66">
        <w:rPr>
          <w:rFonts w:eastAsia="Cambria Math" w:cs="Cambria Math"/>
          <w:color w:val="000000"/>
        </w:rPr>
        <w:t>ountries periodically recalculate</w:t>
      </w:r>
      <w:r w:rsidR="00475070" w:rsidRPr="00485F66">
        <w:rPr>
          <w:rFonts w:eastAsia="Cambria Math" w:cs="Cambria Math"/>
          <w:color w:val="000000"/>
        </w:rPr>
        <w:t xml:space="preserve"> and update</w:t>
      </w:r>
      <w:r w:rsidRPr="00485F66">
        <w:rPr>
          <w:rFonts w:eastAsia="Cambria Math" w:cs="Cambria Math"/>
          <w:color w:val="000000"/>
        </w:rPr>
        <w:t xml:space="preserve"> the</w:t>
      </w:r>
      <w:r w:rsidR="00475070" w:rsidRPr="00485F66">
        <w:rPr>
          <w:rFonts w:eastAsia="Cambria Math" w:cs="Cambria Math"/>
          <w:color w:val="000000"/>
        </w:rPr>
        <w:t>ir</w:t>
      </w:r>
      <w:r w:rsidRPr="00485F66">
        <w:rPr>
          <w:rFonts w:eastAsia="Cambria Math" w:cs="Cambria Math"/>
          <w:color w:val="000000"/>
        </w:rPr>
        <w:t xml:space="preserve"> poverty line</w:t>
      </w:r>
      <w:r w:rsidR="00475070" w:rsidRPr="00485F66">
        <w:rPr>
          <w:rFonts w:eastAsia="Cambria Math" w:cs="Cambria Math"/>
          <w:color w:val="000000"/>
        </w:rPr>
        <w:t>s</w:t>
      </w:r>
      <w:r w:rsidRPr="00485F66">
        <w:rPr>
          <w:rFonts w:eastAsia="Cambria Math" w:cs="Cambria Math"/>
          <w:color w:val="000000"/>
        </w:rPr>
        <w:t xml:space="preserve"> based on new survey data and publish this information in their national reports on poverty. To adjust the latest available NPLs to the relevant year</w:t>
      </w:r>
      <w:r w:rsidR="00475070" w:rsidRPr="00485F66">
        <w:rPr>
          <w:rFonts w:eastAsia="Cambria Math" w:cs="Cambria Math"/>
          <w:color w:val="000000"/>
        </w:rPr>
        <w:t xml:space="preserve"> of analysis</w:t>
      </w:r>
      <w:r w:rsidRPr="00485F66">
        <w:rPr>
          <w:rFonts w:eastAsia="Cambria Math" w:cs="Cambria Math"/>
          <w:color w:val="000000"/>
        </w:rPr>
        <w:t xml:space="preserve"> (when needed) information on </w:t>
      </w:r>
      <w:r w:rsidR="004F40A4" w:rsidRPr="00485F66">
        <w:rPr>
          <w:rFonts w:eastAsia="Cambria Math" w:cs="Cambria Math"/>
          <w:color w:val="000000"/>
        </w:rPr>
        <w:t xml:space="preserve">the </w:t>
      </w:r>
      <w:r w:rsidRPr="00485F66">
        <w:rPr>
          <w:rFonts w:eastAsia="Cambria Math" w:cs="Cambria Math"/>
          <w:color w:val="000000"/>
        </w:rPr>
        <w:t xml:space="preserve">Consumer Price Index (CPI) </w:t>
      </w:r>
      <w:r w:rsidR="00475070" w:rsidRPr="00485F66">
        <w:rPr>
          <w:rFonts w:eastAsia="Cambria Math" w:cs="Cambria Math"/>
          <w:color w:val="000000"/>
        </w:rPr>
        <w:t>in the</w:t>
      </w:r>
      <w:r w:rsidRPr="00485F66">
        <w:rPr>
          <w:rFonts w:eastAsia="Cambria Math" w:cs="Cambria Math"/>
          <w:color w:val="000000"/>
        </w:rPr>
        <w:t xml:space="preserve"> </w:t>
      </w:r>
      <w:r w:rsidR="00475070" w:rsidRPr="00485F66">
        <w:rPr>
          <w:rFonts w:eastAsia="Cambria Math" w:cs="Cambria Math"/>
          <w:color w:val="000000"/>
        </w:rPr>
        <w:t>analysed</w:t>
      </w:r>
      <w:r w:rsidRPr="00485F66">
        <w:rPr>
          <w:rFonts w:eastAsia="Cambria Math" w:cs="Cambria Math"/>
          <w:color w:val="000000"/>
        </w:rPr>
        <w:t xml:space="preserve"> country has to be used to account for deflation/inflation.</w:t>
      </w:r>
      <w:r w:rsidR="00BB22E7" w:rsidRPr="00485F66">
        <w:rPr>
          <w:rFonts w:eastAsia="Cambria Math" w:cs="Cambria Math"/>
          <w:color w:val="000000"/>
        </w:rPr>
        <w:t xml:space="preserve"> </w:t>
      </w:r>
    </w:p>
    <w:p w14:paraId="62FDCF17" w14:textId="7D51A165" w:rsidR="004D3064" w:rsidRPr="00485F66" w:rsidRDefault="00BB22E7"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National poverty reports consistently provide information on the NPLs in local currency units but often refer to different recall periods from country to country (NPL can be measured per day, per month or per year). For consistency, NPL has to be adjusted to be measured per day </w:t>
      </w:r>
      <w:r w:rsidRPr="00485F66">
        <w:rPr>
          <w:rFonts w:eastAsia="Cambria Math" w:cstheme="minorHAnsi"/>
          <w:color w:val="000000"/>
        </w:rPr>
        <w:t>[LCU/d].</w:t>
      </w:r>
    </w:p>
    <w:p w14:paraId="62F0EA61" w14:textId="71CE31CB" w:rsidR="004D3064" w:rsidRPr="00485F66" w:rsidRDefault="004D3064" w:rsidP="00F96E11">
      <w:pPr>
        <w:pBdr>
          <w:top w:val="nil"/>
          <w:left w:val="nil"/>
          <w:bottom w:val="nil"/>
          <w:right w:val="nil"/>
          <w:between w:val="nil"/>
        </w:pBdr>
        <w:spacing w:after="120" w:line="240" w:lineRule="auto"/>
        <w:ind w:left="720"/>
        <w:jc w:val="both"/>
        <w:rPr>
          <w:rFonts w:eastAsia="Cambria Math" w:cstheme="minorHAnsi"/>
          <w:color w:val="000000"/>
        </w:rPr>
      </w:pPr>
      <w:r w:rsidRPr="00485F66">
        <w:rPr>
          <w:rFonts w:eastAsia="Cambria Math" w:cs="Cambria Math"/>
          <w:color w:val="000000"/>
          <w:u w:val="single"/>
        </w:rPr>
        <w:t xml:space="preserve">The </w:t>
      </w:r>
      <w:r w:rsidR="00D9571E" w:rsidRPr="00485F66">
        <w:rPr>
          <w:rFonts w:eastAsia="Cambria Math" w:cs="Cambria Math"/>
          <w:color w:val="000000"/>
          <w:u w:val="single"/>
        </w:rPr>
        <w:t>wage</w:t>
      </w:r>
      <w:r w:rsidRPr="00485F66">
        <w:rPr>
          <w:rFonts w:eastAsia="Cambria Math" w:cs="Cambria Math"/>
          <w:color w:val="000000"/>
          <w:u w:val="single"/>
        </w:rPr>
        <w:t xml:space="preserve"> of the lowest paid unskilled government worker (LPGW)</w:t>
      </w:r>
      <w:r w:rsidR="00475070" w:rsidRPr="00485F66">
        <w:rPr>
          <w:rFonts w:eastAsia="Cambria Math" w:cs="Cambria Math"/>
          <w:color w:val="000000"/>
          <w:u w:val="single"/>
        </w:rPr>
        <w:t>:</w:t>
      </w:r>
      <w:r w:rsidR="00475070" w:rsidRPr="00485F66">
        <w:rPr>
          <w:rFonts w:eastAsia="Cambria Math" w:cs="Cambria Math"/>
          <w:color w:val="000000"/>
        </w:rPr>
        <w:t xml:space="preserve"> </w:t>
      </w:r>
      <w:r w:rsidRPr="00485F66">
        <w:rPr>
          <w:rFonts w:eastAsia="Cambria Math" w:cs="Cambria Math"/>
          <w:color w:val="000000"/>
        </w:rPr>
        <w:t>is estimated and published in the ILOSTAT database. For countries with the latest available data collected in a year different from the year of analysis, LPGW wage is actualised using the CPI conversion factor.</w:t>
      </w:r>
      <w:r w:rsidR="00BB22E7" w:rsidRPr="00485F66">
        <w:rPr>
          <w:rFonts w:eastAsia="Cambria Math" w:cs="Cambria Math"/>
          <w:color w:val="000000"/>
        </w:rPr>
        <w:t xml:space="preserve"> </w:t>
      </w:r>
    </w:p>
    <w:p w14:paraId="2BA83C69" w14:textId="1D7AB306" w:rsidR="00BB22E7" w:rsidRPr="00485F66" w:rsidRDefault="00BB22E7" w:rsidP="00F96E11">
      <w:pPr>
        <w:pBdr>
          <w:top w:val="nil"/>
          <w:left w:val="nil"/>
          <w:bottom w:val="nil"/>
          <w:right w:val="nil"/>
          <w:between w:val="nil"/>
        </w:pBdr>
        <w:spacing w:after="120" w:line="240" w:lineRule="auto"/>
        <w:ind w:left="720"/>
        <w:jc w:val="both"/>
        <w:rPr>
          <w:rFonts w:eastAsia="Cambria Math" w:cstheme="minorHAnsi"/>
          <w:color w:val="000000"/>
        </w:rPr>
      </w:pPr>
      <w:r w:rsidRPr="00485F66">
        <w:rPr>
          <w:rFonts w:eastAsia="Cambria Math" w:cs="Cambria Math"/>
          <w:color w:val="000000"/>
        </w:rPr>
        <w:t xml:space="preserve">ILO provides information on the minimum LPGW wages in local currency units per month. LPGW wage has to be adjusted to be measured per day as well </w:t>
      </w:r>
      <w:r w:rsidRPr="00485F66">
        <w:rPr>
          <w:rFonts w:eastAsia="Cambria Math" w:cstheme="minorHAnsi"/>
          <w:color w:val="000000"/>
        </w:rPr>
        <w:t>[LCU/d].</w:t>
      </w:r>
    </w:p>
    <w:p w14:paraId="5C86776F" w14:textId="276B506A" w:rsidR="006941B1" w:rsidRPr="00485F66" w:rsidRDefault="006941B1"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The NPL and LPGW wage can be measured in per day or per month.</w:t>
      </w:r>
    </w:p>
    <w:p w14:paraId="5AF8C72D" w14:textId="77777777" w:rsidR="006941B1" w:rsidRPr="00485F66" w:rsidRDefault="006941B1" w:rsidP="00F96E11">
      <w:pPr>
        <w:pBdr>
          <w:top w:val="nil"/>
          <w:left w:val="nil"/>
          <w:bottom w:val="nil"/>
          <w:right w:val="nil"/>
          <w:between w:val="nil"/>
        </w:pBdr>
        <w:spacing w:after="120" w:line="240" w:lineRule="auto"/>
        <w:ind w:left="720"/>
        <w:jc w:val="both"/>
        <w:rPr>
          <w:rFonts w:eastAsia="Cambria Math" w:cs="Cambria Math"/>
          <w:color w:val="000000"/>
        </w:rPr>
      </w:pPr>
    </w:p>
    <w:p w14:paraId="50C1A22B" w14:textId="028263D9" w:rsidR="00A85B69" w:rsidRPr="00485F66" w:rsidRDefault="00606985" w:rsidP="00F96E11">
      <w:pPr>
        <w:pBdr>
          <w:top w:val="nil"/>
          <w:left w:val="nil"/>
          <w:bottom w:val="nil"/>
          <w:right w:val="nil"/>
          <w:between w:val="nil"/>
        </w:pBdr>
        <w:spacing w:after="120" w:line="240" w:lineRule="auto"/>
        <w:ind w:left="720"/>
        <w:jc w:val="both"/>
        <w:rPr>
          <w:rFonts w:eastAsia="Cambria Math" w:cs="Cambria Math"/>
          <w:b/>
          <w:bCs/>
          <w:color w:val="000000"/>
        </w:rPr>
      </w:pPr>
      <w:r w:rsidRPr="00485F66">
        <w:rPr>
          <w:rFonts w:eastAsia="Cambria Math" w:cs="Cambria Math"/>
          <w:b/>
          <w:bCs/>
          <w:color w:val="000000"/>
        </w:rPr>
        <w:t>3.3</w:t>
      </w:r>
      <w:r w:rsidRPr="00485F66">
        <w:rPr>
          <w:rFonts w:eastAsia="Cambria Math" w:cs="Cambria Math"/>
          <w:color w:val="000000"/>
        </w:rPr>
        <w:t xml:space="preserve"> </w:t>
      </w:r>
      <w:r w:rsidRPr="00485F66">
        <w:rPr>
          <w:rFonts w:eastAsia="Cambria Math" w:cs="Cambria Math"/>
          <w:b/>
          <w:bCs/>
          <w:color w:val="000000"/>
        </w:rPr>
        <w:t>Compute extra daily wages (EDW)</w:t>
      </w:r>
      <w:r w:rsidR="00A85B69" w:rsidRPr="00485F66">
        <w:rPr>
          <w:rFonts w:eastAsia="Cambria Math" w:cs="Cambria Math"/>
          <w:b/>
          <w:bCs/>
          <w:color w:val="000000"/>
        </w:rPr>
        <w:t xml:space="preserve"> </w:t>
      </w:r>
    </w:p>
    <w:p w14:paraId="74E75A57" w14:textId="3FA98D9D" w:rsidR="00500632" w:rsidRPr="00485F66" w:rsidRDefault="00500632"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First, the LPGW wage is compared to the NPL and if it is lower, medicine is considered unaffordable. In this case</w:t>
      </w:r>
      <w:r w:rsidR="004F40A4" w:rsidRPr="00485F66">
        <w:rPr>
          <w:rFonts w:eastAsia="Cambria Math" w:cs="Cambria Math"/>
          <w:color w:val="000000"/>
        </w:rPr>
        <w:t>,</w:t>
      </w:r>
      <w:r w:rsidRPr="00485F66">
        <w:rPr>
          <w:rFonts w:eastAsia="Cambria Math" w:cs="Cambria Math"/>
          <w:color w:val="000000"/>
        </w:rPr>
        <w:t xml:space="preserve"> only medicines </w:t>
      </w:r>
      <w:r w:rsidR="00D9571E" w:rsidRPr="00485F66">
        <w:rPr>
          <w:rFonts w:eastAsia="Cambria Math" w:cs="Cambria Math"/>
          <w:color w:val="000000"/>
        </w:rPr>
        <w:t>with a price equal to zero</w:t>
      </w:r>
      <w:r w:rsidRPr="00485F66">
        <w:rPr>
          <w:rFonts w:eastAsia="Cambria Math" w:cs="Cambria Math"/>
          <w:color w:val="000000"/>
        </w:rPr>
        <w:t xml:space="preserve"> will be considered affordable. </w:t>
      </w:r>
    </w:p>
    <w:p w14:paraId="2587CEBB" w14:textId="66AA857E" w:rsidR="00475070" w:rsidRPr="00485F66" w:rsidRDefault="004F40A4"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Next</w:t>
      </w:r>
      <w:r w:rsidR="00500632" w:rsidRPr="00485F66">
        <w:rPr>
          <w:rFonts w:eastAsia="Cambria Math" w:cs="Cambria Math"/>
          <w:color w:val="000000"/>
        </w:rPr>
        <w:t xml:space="preserve">, the affordability </w:t>
      </w:r>
      <w:r w:rsidR="005018BB" w:rsidRPr="00485F66">
        <w:rPr>
          <w:rFonts w:eastAsia="Cambria Math" w:cs="Cambria Math"/>
          <w:color w:val="000000"/>
        </w:rPr>
        <w:t>is</w:t>
      </w:r>
      <w:r w:rsidR="00500632" w:rsidRPr="00485F66">
        <w:rPr>
          <w:rFonts w:eastAsia="Cambria Math" w:cs="Cambria Math"/>
          <w:color w:val="000000"/>
        </w:rPr>
        <w:t xml:space="preserve"> measured via the number of extra daily wages (EDW) that are needed for the LPGW to pay for one</w:t>
      </w:r>
      <w:r w:rsidR="00690082" w:rsidRPr="00485F66">
        <w:rPr>
          <w:rFonts w:eastAsia="Cambria Math" w:cs="Cambria Math"/>
          <w:color w:val="000000"/>
        </w:rPr>
        <w:t>-</w:t>
      </w:r>
      <w:r w:rsidR="00500632" w:rsidRPr="00485F66">
        <w:rPr>
          <w:rFonts w:eastAsia="Cambria Math" w:cs="Cambria Math"/>
          <w:color w:val="000000"/>
        </w:rPr>
        <w:t>month course of treatment using</w:t>
      </w:r>
      <w:r w:rsidR="0057670B" w:rsidRPr="00485F66">
        <w:rPr>
          <w:rFonts w:eastAsia="Cambria Math" w:cs="Cambria Math"/>
          <w:color w:val="000000"/>
        </w:rPr>
        <w:t xml:space="preserve"> the</w:t>
      </w:r>
      <w:r w:rsidR="00500632" w:rsidRPr="00485F66">
        <w:rPr>
          <w:rFonts w:eastAsia="Cambria Math" w:cs="Cambria Math"/>
          <w:color w:val="000000"/>
        </w:rPr>
        <w:t xml:space="preserve"> formula</w:t>
      </w:r>
      <w:r w:rsidR="0057670B" w:rsidRPr="00485F66">
        <w:rPr>
          <w:rFonts w:eastAsia="Cambria Math" w:cs="Cambria Math"/>
          <w:color w:val="000000"/>
        </w:rPr>
        <w:t xml:space="preserve"> below</w:t>
      </w:r>
      <w:r w:rsidR="00500632" w:rsidRPr="00485F66">
        <w:rPr>
          <w:rFonts w:eastAsia="Cambria Math" w:cs="Cambria Math"/>
          <w:color w:val="000000"/>
        </w:rPr>
        <w:t>.</w:t>
      </w:r>
      <w:r w:rsidR="005018BB" w:rsidRPr="00485F66">
        <w:rPr>
          <w:rFonts w:eastAsia="Cambria Math" w:cs="Cambria Math"/>
          <w:color w:val="000000"/>
        </w:rPr>
        <w:t xml:space="preserve"> In particular, </w:t>
      </w:r>
      <w:r w:rsidR="00475070" w:rsidRPr="00485F66">
        <w:rPr>
          <w:rFonts w:eastAsia="Cambria Math" w:cs="Cambria Math"/>
          <w:color w:val="000000"/>
        </w:rPr>
        <w:t>the number of extra daily wages can be computed using the following formula:</w:t>
      </w:r>
    </w:p>
    <w:p w14:paraId="0BD9E87A" w14:textId="1A67EE8D" w:rsidR="00475070" w:rsidRPr="00485F66" w:rsidRDefault="00475070" w:rsidP="00F96E11">
      <w:pPr>
        <w:pBdr>
          <w:top w:val="nil"/>
          <w:left w:val="nil"/>
          <w:bottom w:val="nil"/>
          <w:right w:val="nil"/>
          <w:between w:val="nil"/>
        </w:pBdr>
        <w:spacing w:after="120" w:line="240" w:lineRule="auto"/>
        <w:ind w:left="720"/>
        <w:jc w:val="both"/>
        <w:rPr>
          <w:rFonts w:eastAsia="Cambria Math" w:cs="Cambria Math"/>
          <w:color w:val="000000"/>
        </w:rPr>
      </w:pPr>
      <m:oMathPara>
        <m:oMath>
          <m:r>
            <w:rPr>
              <w:rFonts w:ascii="Cambria Math" w:eastAsia="Cambria Math" w:hAnsi="Cambria Math" w:cs="Cambria Math"/>
              <w:color w:val="000000"/>
              <w:sz w:val="18"/>
              <w:lang w:val="ru-RU"/>
            </w:rPr>
            <m:t>Extra daily wages</m:t>
          </m:r>
          <m:r>
            <w:rPr>
              <w:rFonts w:ascii="Cambria Math" w:eastAsia="Cambria Math" w:hAnsi="Cambria Math" w:cs="Cambria Math"/>
              <w:color w:val="000000"/>
              <w:sz w:val="18"/>
              <w:lang w:val="en-US"/>
            </w:rPr>
            <m:t> </m:t>
          </m:r>
          <m:d>
            <m:dPr>
              <m:ctrlPr>
                <w:rPr>
                  <w:rFonts w:ascii="Cambria Math" w:eastAsia="Cambria Math" w:hAnsi="Cambria Math" w:cs="Cambria Math"/>
                  <w:i/>
                  <w:iCs/>
                  <w:color w:val="000000"/>
                  <w:sz w:val="18"/>
                  <w:lang w:val="en-US"/>
                </w:rPr>
              </m:ctrlPr>
            </m:dPr>
            <m:e>
              <m:r>
                <w:rPr>
                  <w:rFonts w:ascii="Cambria Math" w:eastAsia="Cambria Math" w:hAnsi="Cambria Math" w:cs="Cambria Math"/>
                  <w:color w:val="000000"/>
                  <w:sz w:val="18"/>
                  <w:lang w:val="en-US"/>
                </w:rPr>
                <m:t>EDW</m:t>
              </m:r>
            </m:e>
          </m:d>
          <m:r>
            <m:rPr>
              <m:sty m:val="p"/>
            </m:rPr>
            <w:rPr>
              <w:rFonts w:ascii="Cambria Math" w:eastAsia="Cambria Math" w:hAnsi="Cambria Math" w:cs="Cambria Math"/>
              <w:color w:val="000000"/>
              <w:sz w:val="18"/>
              <w:lang w:val="en-US"/>
            </w:rPr>
            <m:t>= </m:t>
          </m:r>
          <m:f>
            <m:fPr>
              <m:ctrlPr>
                <w:rPr>
                  <w:rFonts w:ascii="Cambria Math" w:eastAsia="Cambria Math" w:hAnsi="Cambria Math" w:cs="Cambria Math"/>
                  <w:i/>
                  <w:iCs/>
                  <w:color w:val="000000"/>
                  <w:sz w:val="18"/>
                  <w:lang w:val="ru-RU"/>
                </w:rPr>
              </m:ctrlPr>
            </m:fPr>
            <m:num>
              <m:r>
                <w:rPr>
                  <w:rFonts w:ascii="Cambria Math" w:eastAsia="Cambria Math" w:hAnsi="Cambria Math" w:cs="Cambria Math"/>
                  <w:color w:val="000000"/>
                  <w:sz w:val="18"/>
                  <w:lang w:val="ru-RU"/>
                </w:rPr>
                <m:t>NPL+price</m:t>
              </m:r>
              <m:r>
                <m:rPr>
                  <m:sty m:val="p"/>
                </m:rPr>
                <w:rPr>
                  <w:rFonts w:ascii="Cambria Math" w:eastAsia="Cambria Math" w:hAnsi="Cambria Math" w:cs="Cambria Math"/>
                  <w:color w:val="000000"/>
                  <w:sz w:val="18"/>
                  <w:lang w:val="ru-RU"/>
                </w:rPr>
                <m:t> </m:t>
              </m:r>
              <m:r>
                <w:rPr>
                  <w:rFonts w:ascii="Cambria Math" w:eastAsia="Cambria Math" w:hAnsi="Cambria Math" w:cs="Cambria Math"/>
                  <w:color w:val="000000"/>
                  <w:sz w:val="18"/>
                  <w:lang w:val="ru-RU"/>
                </w:rPr>
                <m:t>per</m:t>
              </m:r>
              <m:r>
                <m:rPr>
                  <m:sty m:val="p"/>
                </m:rPr>
                <w:rPr>
                  <w:rFonts w:ascii="Cambria Math" w:eastAsia="Cambria Math" w:hAnsi="Cambria Math" w:cs="Cambria Math"/>
                  <w:color w:val="000000"/>
                  <w:sz w:val="18"/>
                  <w:lang w:val="ru-RU"/>
                </w:rPr>
                <m:t> </m:t>
              </m:r>
              <m:r>
                <w:rPr>
                  <w:rFonts w:ascii="Cambria Math" w:eastAsia="Cambria Math" w:hAnsi="Cambria Math" w:cs="Cambria Math"/>
                  <w:color w:val="000000"/>
                  <w:sz w:val="18"/>
                  <w:lang w:val="ru-RU"/>
                </w:rPr>
                <m:t>DDD</m:t>
              </m:r>
            </m:num>
            <m:den>
              <m:r>
                <w:rPr>
                  <w:rFonts w:ascii="Cambria Math" w:eastAsia="Cambria Math" w:hAnsi="Cambria Math" w:cs="Cambria Math"/>
                  <w:color w:val="000000"/>
                  <w:sz w:val="18"/>
                  <w:lang w:val="ru-RU"/>
                </w:rPr>
                <m:t>daily</m:t>
              </m:r>
              <m:r>
                <m:rPr>
                  <m:sty m:val="p"/>
                </m:rPr>
                <w:rPr>
                  <w:rFonts w:ascii="Cambria Math" w:eastAsia="Cambria Math" w:hAnsi="Cambria Math" w:cs="Cambria Math"/>
                  <w:color w:val="000000"/>
                  <w:sz w:val="18"/>
                  <w:lang w:val="ru-RU"/>
                </w:rPr>
                <m:t> </m:t>
              </m:r>
              <m:r>
                <w:rPr>
                  <w:rFonts w:ascii="Cambria Math" w:eastAsia="Cambria Math" w:hAnsi="Cambria Math" w:cs="Cambria Math"/>
                  <w:color w:val="000000"/>
                  <w:sz w:val="18"/>
                  <w:lang w:val="ru-RU"/>
                </w:rPr>
                <m:t>wage</m:t>
              </m:r>
              <m:r>
                <m:rPr>
                  <m:sty m:val="p"/>
                </m:rPr>
                <w:rPr>
                  <w:rFonts w:ascii="Cambria Math" w:eastAsia="Cambria Math" w:hAnsi="Cambria Math" w:cs="Cambria Math"/>
                  <w:color w:val="000000"/>
                  <w:sz w:val="18"/>
                  <w:lang w:val="ru-RU"/>
                </w:rPr>
                <m:t> </m:t>
              </m:r>
              <m:r>
                <w:rPr>
                  <w:rFonts w:ascii="Cambria Math" w:eastAsia="Cambria Math" w:hAnsi="Cambria Math" w:cs="Cambria Math"/>
                  <w:color w:val="000000"/>
                  <w:sz w:val="18"/>
                  <w:lang w:val="ru-RU"/>
                </w:rPr>
                <m:t>of</m:t>
              </m:r>
              <m:r>
                <m:rPr>
                  <m:sty m:val="p"/>
                </m:rPr>
                <w:rPr>
                  <w:rFonts w:ascii="Cambria Math" w:eastAsia="Cambria Math" w:hAnsi="Cambria Math" w:cs="Cambria Math"/>
                  <w:color w:val="000000"/>
                  <w:sz w:val="18"/>
                  <w:lang w:val="ru-RU"/>
                </w:rPr>
                <m:t> </m:t>
              </m:r>
              <m:r>
                <w:rPr>
                  <w:rFonts w:ascii="Cambria Math" w:eastAsia="Cambria Math" w:hAnsi="Cambria Math" w:cs="Cambria Math"/>
                  <w:color w:val="000000"/>
                  <w:sz w:val="18"/>
                  <w:lang w:val="ru-RU"/>
                </w:rPr>
                <m:t>LPGW</m:t>
              </m:r>
            </m:den>
          </m:f>
        </m:oMath>
      </m:oMathPara>
    </w:p>
    <w:p w14:paraId="016689D2" w14:textId="48C551A2" w:rsidR="00A85B69" w:rsidRPr="00485F66" w:rsidRDefault="00A85B69"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b/>
          <w:bCs/>
          <w:color w:val="000000"/>
        </w:rPr>
        <w:t>3.4</w:t>
      </w:r>
      <w:r w:rsidRPr="00485F66">
        <w:rPr>
          <w:rFonts w:eastAsia="Cambria Math" w:cs="Cambria Math"/>
          <w:color w:val="000000"/>
        </w:rPr>
        <w:t xml:space="preserve"> </w:t>
      </w:r>
      <w:r w:rsidRPr="00485F66">
        <w:rPr>
          <w:rFonts w:eastAsia="Cambria Math" w:cs="Cambria Math"/>
          <w:b/>
          <w:bCs/>
          <w:color w:val="000000"/>
        </w:rPr>
        <w:t>Transform EDW variable into a binary format</w:t>
      </w:r>
    </w:p>
    <w:p w14:paraId="06756F13" w14:textId="00864236" w:rsidR="00E24A1D" w:rsidRPr="00485F66" w:rsidRDefault="00BB22E7"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Following the definition, medicine is considered to be affordable when the sum of NPL and price of a daily dose of the treatment </w:t>
      </w:r>
      <w:r w:rsidRPr="00485F66">
        <w:rPr>
          <w:rFonts w:eastAsia="Cambria Math" w:cs="Cambria Math"/>
          <w:color w:val="000000"/>
          <w:u w:val="single"/>
        </w:rPr>
        <w:t>is equal</w:t>
      </w:r>
      <w:r w:rsidR="004F40A4" w:rsidRPr="00485F66">
        <w:rPr>
          <w:rFonts w:eastAsia="Cambria Math" w:cs="Cambria Math"/>
          <w:color w:val="000000"/>
          <w:u w:val="single"/>
        </w:rPr>
        <w:t xml:space="preserve"> to</w:t>
      </w:r>
      <w:r w:rsidRPr="00485F66">
        <w:rPr>
          <w:rFonts w:eastAsia="Cambria Math" w:cs="Cambria Math"/>
          <w:color w:val="000000"/>
          <w:u w:val="single"/>
        </w:rPr>
        <w:t xml:space="preserve"> or less</w:t>
      </w:r>
      <w:r w:rsidRPr="00485F66">
        <w:rPr>
          <w:rFonts w:eastAsia="Cambria Math" w:cs="Cambria Math"/>
          <w:color w:val="000000"/>
        </w:rPr>
        <w:t xml:space="preserve"> than the minimum daily wage of the LPGW:</w:t>
      </w:r>
    </w:p>
    <w:p w14:paraId="467BB958" w14:textId="4232255C" w:rsidR="00BB22E7" w:rsidRPr="00485F66" w:rsidRDefault="008459A4" w:rsidP="00F96E11">
      <w:pPr>
        <w:pBdr>
          <w:top w:val="nil"/>
          <w:left w:val="nil"/>
          <w:bottom w:val="nil"/>
          <w:right w:val="nil"/>
          <w:between w:val="nil"/>
        </w:pBdr>
        <w:spacing w:after="120" w:line="240" w:lineRule="auto"/>
        <w:ind w:left="720"/>
        <w:jc w:val="both"/>
        <w:rPr>
          <w:rFonts w:eastAsia="Cambria Math" w:cs="Cambria Math"/>
          <w:color w:val="000000"/>
        </w:rPr>
      </w:pPr>
      <m:oMathPara>
        <m:oMath>
          <m:d>
            <m:dPr>
              <m:begChr m:val="{"/>
              <m:endChr m:val=""/>
              <m:ctrlPr>
                <w:rPr>
                  <w:rFonts w:ascii="Cambria Math" w:eastAsia="Cambria Math" w:hAnsi="Cambria Math" w:cs="Cambria Math"/>
                  <w:i/>
                  <w:color w:val="000000"/>
                  <w:sz w:val="18"/>
                </w:rPr>
              </m:ctrlPr>
            </m:dPr>
            <m:e>
              <m:r>
                <w:rPr>
                  <w:rFonts w:ascii="Cambria Math" w:eastAsia="Cambria Math" w:hAnsi="Cambria Math" w:cs="Cambria Math"/>
                  <w:color w:val="000000"/>
                  <w:sz w:val="18"/>
                </w:rPr>
                <m:t xml:space="preserve"> </m:t>
              </m:r>
              <m:eqArr>
                <m:eqArrPr>
                  <m:ctrlPr>
                    <w:rPr>
                      <w:rFonts w:ascii="Cambria Math" w:eastAsia="Cambria Math" w:hAnsi="Cambria Math" w:cs="Cambria Math"/>
                      <w:i/>
                      <w:color w:val="000000"/>
                      <w:sz w:val="18"/>
                    </w:rPr>
                  </m:ctrlPr>
                </m:eqArrPr>
                <m:e>
                  <m:r>
                    <w:rPr>
                      <w:rFonts w:ascii="Cambria Math" w:eastAsia="Cambria Math" w:hAnsi="Cambria Math" w:cs="Cambria Math"/>
                      <w:color w:val="000000"/>
                      <w:sz w:val="18"/>
                    </w:rPr>
                    <m:t>if EDW ≤1,  affordability=1,</m:t>
                  </m:r>
                </m:e>
                <m:e>
                  <m:r>
                    <w:rPr>
                      <w:rFonts w:ascii="Cambria Math" w:eastAsia="Cambria Math" w:hAnsi="Cambria Math" w:cs="Cambria Math"/>
                      <w:color w:val="000000"/>
                      <w:sz w:val="18"/>
                    </w:rPr>
                    <m:t>otherwise,  affordability=0</m:t>
                  </m:r>
                </m:e>
              </m:eqArr>
            </m:e>
          </m:d>
        </m:oMath>
      </m:oMathPara>
    </w:p>
    <w:p w14:paraId="13823FC9" w14:textId="77777777" w:rsidR="00BB22E7" w:rsidRPr="00485F66" w:rsidRDefault="00BB22E7"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lastRenderedPageBreak/>
        <w:t>Hence, the affordability of medicines is also measured as a binary variable that is coded as “1” when the medicine is affordable and “0” otherwise.</w:t>
      </w:r>
    </w:p>
    <w:p w14:paraId="1EB15B39" w14:textId="38B29A3D" w:rsidR="00CC0D15" w:rsidRPr="00485F66" w:rsidRDefault="00CC0D15"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u w:val="single"/>
        </w:rPr>
        <w:t xml:space="preserve">When </w:t>
      </w:r>
      <w:r w:rsidR="00D9571E" w:rsidRPr="00485F66">
        <w:rPr>
          <w:rFonts w:eastAsia="Cambria Math" w:cs="Cambria Math"/>
          <w:color w:val="000000"/>
          <w:u w:val="single"/>
        </w:rPr>
        <w:t xml:space="preserve">the price of the </w:t>
      </w:r>
      <w:r w:rsidRPr="00485F66">
        <w:rPr>
          <w:rFonts w:eastAsia="Cambria Math" w:cs="Cambria Math"/>
          <w:color w:val="000000"/>
          <w:u w:val="single"/>
        </w:rPr>
        <w:t>medicine</w:t>
      </w:r>
      <w:r w:rsidR="00D9571E" w:rsidRPr="00485F66">
        <w:rPr>
          <w:rFonts w:eastAsia="Cambria Math" w:cs="Cambria Math"/>
          <w:color w:val="000000"/>
          <w:u w:val="single"/>
        </w:rPr>
        <w:t xml:space="preserve"> is 0</w:t>
      </w:r>
      <w:r w:rsidR="00D9571E" w:rsidRPr="00485F66">
        <w:rPr>
          <w:rFonts w:eastAsia="Cambria Math" w:cs="Cambria Math"/>
          <w:color w:val="000000"/>
        </w:rPr>
        <w:t>, there is</w:t>
      </w:r>
      <w:r w:rsidRPr="00485F66">
        <w:rPr>
          <w:rFonts w:eastAsia="Cambria Math" w:cs="Cambria Math"/>
          <w:color w:val="000000"/>
        </w:rPr>
        <w:t xml:space="preserve"> no</w:t>
      </w:r>
      <w:r w:rsidR="00D9571E" w:rsidRPr="00485F66">
        <w:rPr>
          <w:rFonts w:eastAsia="Cambria Math" w:cs="Cambria Math"/>
          <w:color w:val="000000"/>
        </w:rPr>
        <w:t xml:space="preserve"> need for the</w:t>
      </w:r>
      <w:r w:rsidRPr="00485F66">
        <w:rPr>
          <w:rFonts w:eastAsia="Cambria Math" w:cs="Cambria Math"/>
          <w:color w:val="000000"/>
        </w:rPr>
        <w:t xml:space="preserve"> above</w:t>
      </w:r>
      <w:r w:rsidR="00690082" w:rsidRPr="00485F66">
        <w:rPr>
          <w:rFonts w:eastAsia="Cambria Math" w:cs="Cambria Math"/>
          <w:color w:val="000000"/>
        </w:rPr>
        <w:t>-</w:t>
      </w:r>
      <w:r w:rsidRPr="00485F66">
        <w:rPr>
          <w:rFonts w:eastAsia="Cambria Math" w:cs="Cambria Math"/>
          <w:color w:val="000000"/>
        </w:rPr>
        <w:t>mentioned computations</w:t>
      </w:r>
      <w:r w:rsidR="004F40A4" w:rsidRPr="00485F66">
        <w:rPr>
          <w:rFonts w:eastAsia="Cambria Math" w:cs="Cambria Math"/>
          <w:color w:val="000000"/>
        </w:rPr>
        <w:t xml:space="preserve"> and </w:t>
      </w:r>
      <w:r w:rsidR="00D9571E" w:rsidRPr="00485F66">
        <w:rPr>
          <w:rFonts w:eastAsia="Cambria Math" w:cs="Cambria Math"/>
          <w:color w:val="000000"/>
        </w:rPr>
        <w:t>the</w:t>
      </w:r>
      <w:r w:rsidRPr="00485F66">
        <w:rPr>
          <w:rFonts w:eastAsia="Cambria Math" w:cs="Cambria Math"/>
          <w:color w:val="000000"/>
        </w:rPr>
        <w:t xml:space="preserve"> medicine </w:t>
      </w:r>
      <w:r w:rsidR="00D9571E" w:rsidRPr="00485F66">
        <w:rPr>
          <w:rFonts w:eastAsia="Cambria Math" w:cs="Cambria Math"/>
          <w:color w:val="000000"/>
        </w:rPr>
        <w:t xml:space="preserve">is </w:t>
      </w:r>
      <w:r w:rsidR="004F40A4" w:rsidRPr="00485F66">
        <w:rPr>
          <w:rFonts w:eastAsia="Cambria Math" w:cs="Cambria Math"/>
          <w:color w:val="000000"/>
        </w:rPr>
        <w:t xml:space="preserve">considered </w:t>
      </w:r>
      <w:r w:rsidR="00D9571E" w:rsidRPr="00485F66">
        <w:rPr>
          <w:rFonts w:eastAsia="Cambria Math" w:cs="Cambria Math"/>
          <w:color w:val="000000"/>
        </w:rPr>
        <w:t xml:space="preserve">affordable </w:t>
      </w:r>
      <w:r w:rsidRPr="00485F66">
        <w:rPr>
          <w:rFonts w:eastAsia="Cambria Math" w:cs="Cambria Math"/>
          <w:color w:val="000000"/>
        </w:rPr>
        <w:t xml:space="preserve">(i.e. </w:t>
      </w:r>
      <w:r w:rsidR="00D9571E" w:rsidRPr="00485F66">
        <w:rPr>
          <w:rFonts w:eastAsia="Cambria Math" w:cs="Cambria Math"/>
          <w:color w:val="000000"/>
        </w:rPr>
        <w:t>“1”</w:t>
      </w:r>
      <w:r w:rsidRPr="00485F66">
        <w:rPr>
          <w:rFonts w:eastAsia="Cambria Math" w:cs="Cambria Math"/>
          <w:color w:val="000000"/>
        </w:rPr>
        <w:t>). If all medicines in the coun</w:t>
      </w:r>
      <w:r w:rsidR="00D9571E" w:rsidRPr="00485F66">
        <w:rPr>
          <w:rFonts w:eastAsia="Cambria Math" w:cs="Cambria Math"/>
          <w:color w:val="000000"/>
        </w:rPr>
        <w:t>try are provided free of charge,</w:t>
      </w:r>
      <w:r w:rsidRPr="00485F66">
        <w:rPr>
          <w:rFonts w:eastAsia="Cambria Math" w:cs="Cambria Math"/>
          <w:color w:val="000000"/>
        </w:rPr>
        <w:t xml:space="preserve"> all medicines are directly marked as affordable and further computation of </w:t>
      </w:r>
      <w:r w:rsidR="004F40A4" w:rsidRPr="00485F66">
        <w:rPr>
          <w:rFonts w:eastAsia="Cambria Math" w:cs="Cambria Math"/>
          <w:color w:val="000000"/>
        </w:rPr>
        <w:t xml:space="preserve">the </w:t>
      </w:r>
      <w:r w:rsidRPr="00485F66">
        <w:rPr>
          <w:rFonts w:eastAsia="Cambria Math" w:cs="Cambria Math"/>
          <w:color w:val="000000"/>
        </w:rPr>
        <w:t>index depend</w:t>
      </w:r>
      <w:r w:rsidR="00980604" w:rsidRPr="00485F66">
        <w:rPr>
          <w:rFonts w:eastAsia="Cambria Math" w:cs="Cambria Math"/>
          <w:color w:val="000000"/>
        </w:rPr>
        <w:t>s</w:t>
      </w:r>
      <w:r w:rsidRPr="00485F66">
        <w:rPr>
          <w:rFonts w:eastAsia="Cambria Math" w:cs="Cambria Math"/>
          <w:color w:val="000000"/>
        </w:rPr>
        <w:t xml:space="preserve"> on the availability of these medicines.</w:t>
      </w:r>
    </w:p>
    <w:p w14:paraId="36D3D5DA" w14:textId="77777777" w:rsidR="00B17716" w:rsidRPr="00485F66" w:rsidRDefault="00B17716" w:rsidP="00F96E11">
      <w:pPr>
        <w:pBdr>
          <w:top w:val="nil"/>
          <w:left w:val="nil"/>
          <w:bottom w:val="nil"/>
          <w:right w:val="nil"/>
          <w:between w:val="nil"/>
        </w:pBdr>
        <w:spacing w:after="120" w:line="240" w:lineRule="auto"/>
        <w:ind w:left="720"/>
        <w:jc w:val="both"/>
        <w:rPr>
          <w:rFonts w:eastAsia="Cambria Math" w:cs="Cambria Math"/>
          <w:color w:val="000000"/>
          <w:sz w:val="4"/>
        </w:rPr>
      </w:pPr>
    </w:p>
    <w:p w14:paraId="5E3F3D67" w14:textId="352E6826" w:rsidR="006E1E66" w:rsidRPr="00485F66" w:rsidRDefault="006E1E66" w:rsidP="00F96E11">
      <w:p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Step 4: Combine the two dimensions on availability and affordability (access to medicines)</w:t>
      </w:r>
    </w:p>
    <w:p w14:paraId="69F5D35B" w14:textId="2A25B044" w:rsidR="00380C8D" w:rsidRPr="00485F66" w:rsidRDefault="00D9571E"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In</w:t>
      </w:r>
      <w:r w:rsidR="00380C8D" w:rsidRPr="00485F66">
        <w:rPr>
          <w:rFonts w:eastAsia="Cambria Math" w:cs="Cambria Math"/>
          <w:color w:val="000000"/>
        </w:rPr>
        <w:t xml:space="preserve"> this step</w:t>
      </w:r>
      <w:r w:rsidR="0094434D" w:rsidRPr="00485F66">
        <w:rPr>
          <w:rFonts w:eastAsia="Cambria Math" w:cs="Cambria Math"/>
          <w:color w:val="000000"/>
        </w:rPr>
        <w:t>,</w:t>
      </w:r>
      <w:r w:rsidR="00380C8D" w:rsidRPr="00485F66">
        <w:rPr>
          <w:rFonts w:eastAsia="Cambria Math" w:cs="Cambria Math"/>
          <w:color w:val="000000"/>
        </w:rPr>
        <w:t xml:space="preserve"> </w:t>
      </w:r>
      <w:r w:rsidRPr="00485F66">
        <w:rPr>
          <w:rFonts w:eastAsia="Cambria Math" w:cs="Cambria Math"/>
          <w:color w:val="000000"/>
        </w:rPr>
        <w:t xml:space="preserve">the </w:t>
      </w:r>
      <w:r w:rsidR="007E11F5" w:rsidRPr="00485F66">
        <w:rPr>
          <w:rFonts w:eastAsia="Cambria Math" w:cs="Cambria Math"/>
          <w:color w:val="000000"/>
        </w:rPr>
        <w:t>two</w:t>
      </w:r>
      <w:r w:rsidR="00380C8D" w:rsidRPr="00485F66">
        <w:rPr>
          <w:rFonts w:eastAsia="Cambria Math" w:cs="Cambria Math"/>
          <w:color w:val="000000"/>
        </w:rPr>
        <w:t xml:space="preserve"> dimensions o</w:t>
      </w:r>
      <w:r w:rsidRPr="00485F66">
        <w:rPr>
          <w:rFonts w:eastAsia="Cambria Math" w:cs="Cambria Math"/>
          <w:color w:val="000000"/>
        </w:rPr>
        <w:t>f</w:t>
      </w:r>
      <w:r w:rsidR="00380C8D" w:rsidRPr="00485F66">
        <w:rPr>
          <w:rFonts w:eastAsia="Cambria Math" w:cs="Cambria Math"/>
          <w:color w:val="000000"/>
        </w:rPr>
        <w:t xml:space="preserve"> access to medicines (availability and affordability) </w:t>
      </w:r>
      <w:r w:rsidR="007E11F5" w:rsidRPr="00485F66">
        <w:rPr>
          <w:rFonts w:eastAsia="Cambria Math" w:cs="Cambria Math"/>
          <w:color w:val="000000"/>
        </w:rPr>
        <w:t xml:space="preserve">are </w:t>
      </w:r>
      <w:r w:rsidR="00380C8D" w:rsidRPr="00485F66">
        <w:rPr>
          <w:rFonts w:eastAsia="Cambria Math" w:cs="Cambria Math"/>
          <w:color w:val="000000"/>
        </w:rPr>
        <w:t xml:space="preserve">combined into a multidimensional index. </w:t>
      </w:r>
    </w:p>
    <w:p w14:paraId="16BA3A9B" w14:textId="69099B96" w:rsidR="00EA28AB" w:rsidRPr="00485F66" w:rsidRDefault="00EA28AB"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The construction of a multidimensional index is based on </w:t>
      </w:r>
      <w:r w:rsidR="0094434D" w:rsidRPr="00485F66">
        <w:rPr>
          <w:rFonts w:eastAsia="Cambria Math" w:cs="Cambria Math"/>
          <w:color w:val="000000"/>
        </w:rPr>
        <w:t>the union identification approach</w:t>
      </w:r>
      <w:r w:rsidR="0094434D" w:rsidRPr="00485F66">
        <w:rPr>
          <w:rStyle w:val="FootnoteReference"/>
          <w:rFonts w:eastAsia="Cambria Math" w:cs="Cambria Math"/>
          <w:color w:val="000000"/>
        </w:rPr>
        <w:footnoteReference w:id="10"/>
      </w:r>
      <w:r w:rsidR="0094434D" w:rsidRPr="00485F66">
        <w:rPr>
          <w:rFonts w:eastAsia="Cambria Math" w:cs="Cambria Math"/>
          <w:color w:val="000000"/>
        </w:rPr>
        <w:t xml:space="preserve"> </w:t>
      </w:r>
      <w:r w:rsidR="00B1514E" w:rsidRPr="00485F66">
        <w:rPr>
          <w:rFonts w:eastAsia="Cambria Math" w:cs="Cambria Math"/>
          <w:color w:val="000000"/>
        </w:rPr>
        <w:t>proposed</w:t>
      </w:r>
      <w:r w:rsidR="007E11F5" w:rsidRPr="00485F66">
        <w:rPr>
          <w:rFonts w:eastAsia="Cambria Math" w:cs="Cambria Math"/>
          <w:color w:val="000000"/>
        </w:rPr>
        <w:t xml:space="preserve"> by S. Alkire and </w:t>
      </w:r>
      <w:r w:rsidR="00B1514E" w:rsidRPr="00485F66">
        <w:rPr>
          <w:rFonts w:eastAsia="Cambria Math" w:cs="Cambria Math"/>
          <w:color w:val="000000"/>
        </w:rPr>
        <w:t>G</w:t>
      </w:r>
      <w:r w:rsidR="007E11F5" w:rsidRPr="00485F66">
        <w:rPr>
          <w:rFonts w:eastAsia="Cambria Math" w:cs="Cambria Math"/>
          <w:color w:val="000000"/>
        </w:rPr>
        <w:t xml:space="preserve">. </w:t>
      </w:r>
      <w:r w:rsidR="00B1514E" w:rsidRPr="00485F66">
        <w:rPr>
          <w:rFonts w:eastAsia="Cambria Math" w:cs="Cambria Math"/>
          <w:color w:val="000000"/>
        </w:rPr>
        <w:t>Robles</w:t>
      </w:r>
      <w:r w:rsidRPr="00485F66">
        <w:rPr>
          <w:rFonts w:eastAsia="Cambria Math" w:cs="Cambria Math"/>
          <w:color w:val="000000"/>
        </w:rPr>
        <w:t>.</w:t>
      </w:r>
    </w:p>
    <w:p w14:paraId="0166F90C" w14:textId="30A2B192" w:rsidR="00EA28AB" w:rsidRPr="00485F66" w:rsidRDefault="00092D3A" w:rsidP="00F96E11">
      <w:pPr>
        <w:spacing w:after="120" w:line="240" w:lineRule="auto"/>
        <w:jc w:val="both"/>
        <w:rPr>
          <w:rFonts w:eastAsia="Cambria Math" w:cs="Cambria Math"/>
          <w:color w:val="000000"/>
        </w:rPr>
      </w:pPr>
      <w:r w:rsidRPr="00485F66">
        <w:rPr>
          <w:rFonts w:eastAsia="Cambria Math" w:cs="Cambria Math"/>
          <w:color w:val="000000"/>
        </w:rPr>
        <w:t>The combination of the dimensions of medicines</w:t>
      </w:r>
      <w:r w:rsidR="00005E66" w:rsidRPr="00485F66">
        <w:rPr>
          <w:rFonts w:eastAsia="Cambria Math" w:cs="Cambria Math"/>
          <w:color w:val="000000"/>
        </w:rPr>
        <w:t xml:space="preserve"> </w:t>
      </w:r>
      <w:r w:rsidR="007E1879" w:rsidRPr="00485F66">
        <w:rPr>
          <w:rFonts w:eastAsia="Cambria Math" w:cs="Cambria Math"/>
          <w:color w:val="000000"/>
        </w:rPr>
        <w:t>can be</w:t>
      </w:r>
      <w:r w:rsidR="00005E66" w:rsidRPr="00485F66">
        <w:rPr>
          <w:rFonts w:eastAsia="Cambria Math" w:cs="Cambria Math"/>
          <w:color w:val="000000"/>
        </w:rPr>
        <w:t xml:space="preserve"> built in matri</w:t>
      </w:r>
      <w:r w:rsidR="007E1879" w:rsidRPr="00485F66">
        <w:rPr>
          <w:rFonts w:eastAsia="Cambria Math" w:cs="Cambria Math"/>
          <w:color w:val="000000"/>
        </w:rPr>
        <w:t>x</w:t>
      </w:r>
      <w:r w:rsidR="00005E66" w:rsidRPr="00485F66">
        <w:rPr>
          <w:rFonts w:eastAsia="Cambria Math" w:cs="Cambria Math"/>
          <w:color w:val="000000"/>
        </w:rPr>
        <w:t xml:space="preserve"> form</w:t>
      </w:r>
      <w:r w:rsidR="00EA28AB" w:rsidRPr="00485F66">
        <w:rPr>
          <w:rFonts w:eastAsia="Cambria Math" w:cs="Cambria Math"/>
          <w:color w:val="000000"/>
        </w:rPr>
        <w:t xml:space="preserve">: </w:t>
      </w:r>
    </w:p>
    <w:p w14:paraId="666CDF54" w14:textId="77777777" w:rsidR="00EA28AB" w:rsidRPr="00485F66" w:rsidRDefault="008459A4" w:rsidP="00F96E11">
      <w:pPr>
        <w:spacing w:after="120" w:line="240" w:lineRule="auto"/>
        <w:ind w:firstLine="397"/>
        <w:jc w:val="center"/>
        <w:rPr>
          <w:rFonts w:ascii="Times New Roman" w:hAnsi="Times New Roman" w:cs="Times New Roman"/>
          <w:sz w:val="21"/>
          <w:szCs w:val="21"/>
          <w:lang w:val="en-US"/>
        </w:rPr>
      </w:pPr>
      <m:oMathPara>
        <m:oMath>
          <m:sSubSup>
            <m:sSubSupPr>
              <m:ctrlPr>
                <w:rPr>
                  <w:rFonts w:ascii="Cambria Math" w:hAnsi="Cambria Math" w:cs="Times New Roman"/>
                  <w:i/>
                  <w:sz w:val="18"/>
                  <w:szCs w:val="21"/>
                  <w:lang w:val="en-US"/>
                </w:rPr>
              </m:ctrlPr>
            </m:sSubSupPr>
            <m:e>
              <m:r>
                <w:rPr>
                  <w:rFonts w:ascii="Cambria Math" w:hAnsi="Cambria Math" w:cs="Times New Roman"/>
                  <w:sz w:val="18"/>
                  <w:szCs w:val="21"/>
                  <w:lang w:val="en-US"/>
                </w:rPr>
                <m:t>g</m:t>
              </m:r>
            </m:e>
            <m:sub>
              <m:r>
                <w:rPr>
                  <w:rFonts w:ascii="Cambria Math" w:hAnsi="Cambria Math" w:cs="Times New Roman"/>
                  <w:sz w:val="18"/>
                  <w:szCs w:val="21"/>
                  <w:lang w:val="en-US"/>
                </w:rPr>
                <m:t>ij</m:t>
              </m:r>
            </m:sub>
            <m:sup>
              <m:r>
                <w:rPr>
                  <w:rFonts w:ascii="Cambria Math" w:hAnsi="Cambria Math" w:cs="Times New Roman"/>
                  <w:sz w:val="18"/>
                  <w:szCs w:val="21"/>
                  <w:lang w:val="en-US"/>
                </w:rPr>
                <m:t>o</m:t>
              </m:r>
            </m:sup>
          </m:sSubSup>
          <m:r>
            <w:rPr>
              <w:rFonts w:ascii="Cambria Math" w:hAnsi="Cambria Math" w:cs="Times New Roman"/>
              <w:sz w:val="18"/>
              <w:szCs w:val="21"/>
              <w:lang w:val="en-US"/>
            </w:rPr>
            <m:t xml:space="preserve">= </m:t>
          </m:r>
          <m:d>
            <m:dPr>
              <m:begChr m:val="["/>
              <m:endChr m:val="]"/>
              <m:ctrlPr>
                <w:rPr>
                  <w:rFonts w:ascii="Cambria Math" w:hAnsi="Cambria Math" w:cs="Times New Roman"/>
                  <w:i/>
                  <w:sz w:val="18"/>
                  <w:szCs w:val="21"/>
                  <w:lang w:val="en-US"/>
                </w:rPr>
              </m:ctrlPr>
            </m:dPr>
            <m:e>
              <m:m>
                <m:mPr>
                  <m:mcs>
                    <m:mc>
                      <m:mcPr>
                        <m:count m:val="3"/>
                        <m:mcJc m:val="center"/>
                      </m:mcPr>
                    </m:mc>
                  </m:mcs>
                  <m:ctrlPr>
                    <w:rPr>
                      <w:rFonts w:ascii="Cambria Math" w:hAnsi="Cambria Math" w:cs="Times New Roman"/>
                      <w:i/>
                      <w:sz w:val="18"/>
                      <w:szCs w:val="21"/>
                      <w:lang w:val="en-US"/>
                    </w:rPr>
                  </m:ctrlPr>
                </m:mPr>
                <m:mr>
                  <m:e>
                    <m:sSub>
                      <m:sSubPr>
                        <m:ctrlPr>
                          <w:rPr>
                            <w:rFonts w:ascii="Cambria Math" w:hAnsi="Cambria Math" w:cs="Times New Roman"/>
                            <w:i/>
                            <w:sz w:val="18"/>
                            <w:szCs w:val="21"/>
                            <w:lang w:val="en-US"/>
                          </w:rPr>
                        </m:ctrlPr>
                      </m:sSubPr>
                      <m:e>
                        <m:r>
                          <w:rPr>
                            <w:rFonts w:ascii="Cambria Math" w:hAnsi="Cambria Math" w:cs="Times New Roman"/>
                            <w:sz w:val="18"/>
                            <w:szCs w:val="21"/>
                            <w:lang w:val="en-US"/>
                          </w:rPr>
                          <m:t>x</m:t>
                        </m:r>
                      </m:e>
                      <m:sub>
                        <m:r>
                          <w:rPr>
                            <w:rFonts w:ascii="Cambria Math" w:hAnsi="Cambria Math" w:cs="Times New Roman"/>
                            <w:sz w:val="18"/>
                            <w:szCs w:val="21"/>
                            <w:lang w:val="en-US"/>
                          </w:rPr>
                          <m:t>11</m:t>
                        </m:r>
                      </m:sub>
                    </m:sSub>
                  </m:e>
                  <m:e>
                    <m:r>
                      <w:rPr>
                        <w:rFonts w:ascii="Cambria Math" w:hAnsi="Cambria Math" w:cs="Times New Roman"/>
                        <w:sz w:val="18"/>
                        <w:szCs w:val="21"/>
                        <w:lang w:val="en-US"/>
                      </w:rPr>
                      <m:t>…</m:t>
                    </m:r>
                  </m:e>
                  <m:e>
                    <m:sSub>
                      <m:sSubPr>
                        <m:ctrlPr>
                          <w:rPr>
                            <w:rFonts w:ascii="Cambria Math" w:hAnsi="Cambria Math" w:cs="Times New Roman"/>
                            <w:i/>
                            <w:sz w:val="18"/>
                            <w:szCs w:val="21"/>
                            <w:lang w:val="en-US"/>
                          </w:rPr>
                        </m:ctrlPr>
                      </m:sSubPr>
                      <m:e>
                        <m:r>
                          <w:rPr>
                            <w:rFonts w:ascii="Cambria Math" w:hAnsi="Cambria Math" w:cs="Times New Roman"/>
                            <w:sz w:val="18"/>
                            <w:szCs w:val="21"/>
                            <w:lang w:val="en-US"/>
                          </w:rPr>
                          <m:t>x</m:t>
                        </m:r>
                      </m:e>
                      <m:sub>
                        <m:r>
                          <w:rPr>
                            <w:rFonts w:ascii="Cambria Math" w:hAnsi="Cambria Math" w:cs="Times New Roman"/>
                            <w:sz w:val="18"/>
                            <w:szCs w:val="21"/>
                            <w:lang w:val="en-US"/>
                          </w:rPr>
                          <m:t>1d</m:t>
                        </m:r>
                      </m:sub>
                    </m:sSub>
                  </m:e>
                </m:mr>
                <m:mr>
                  <m:e>
                    <m:r>
                      <w:rPr>
                        <w:rFonts w:ascii="Cambria Math" w:hAnsi="Cambria Math" w:cs="Times New Roman"/>
                        <w:sz w:val="18"/>
                        <w:szCs w:val="21"/>
                        <w:lang w:val="en-US"/>
                      </w:rPr>
                      <m:t>…</m:t>
                    </m:r>
                  </m:e>
                  <m:e>
                    <m:r>
                      <w:rPr>
                        <w:rFonts w:ascii="Cambria Math" w:hAnsi="Cambria Math" w:cs="Times New Roman"/>
                        <w:sz w:val="18"/>
                        <w:szCs w:val="21"/>
                        <w:lang w:val="en-US"/>
                      </w:rPr>
                      <m:t>…</m:t>
                    </m:r>
                  </m:e>
                  <m:e>
                    <m:r>
                      <w:rPr>
                        <w:rFonts w:ascii="Cambria Math" w:hAnsi="Cambria Math" w:cs="Times New Roman"/>
                        <w:sz w:val="18"/>
                        <w:szCs w:val="21"/>
                        <w:lang w:val="en-US"/>
                      </w:rPr>
                      <m:t>…</m:t>
                    </m:r>
                  </m:e>
                </m:mr>
                <m:mr>
                  <m:e>
                    <m:sSub>
                      <m:sSubPr>
                        <m:ctrlPr>
                          <w:rPr>
                            <w:rFonts w:ascii="Cambria Math" w:hAnsi="Cambria Math" w:cs="Times New Roman"/>
                            <w:i/>
                            <w:sz w:val="18"/>
                            <w:szCs w:val="21"/>
                            <w:lang w:val="en-US"/>
                          </w:rPr>
                        </m:ctrlPr>
                      </m:sSubPr>
                      <m:e>
                        <m:r>
                          <w:rPr>
                            <w:rFonts w:ascii="Cambria Math" w:hAnsi="Cambria Math" w:cs="Times New Roman"/>
                            <w:sz w:val="18"/>
                            <w:szCs w:val="21"/>
                            <w:lang w:val="en-US"/>
                          </w:rPr>
                          <m:t>x</m:t>
                        </m:r>
                      </m:e>
                      <m:sub>
                        <m:r>
                          <w:rPr>
                            <w:rFonts w:ascii="Cambria Math" w:hAnsi="Cambria Math" w:cs="Times New Roman"/>
                            <w:sz w:val="18"/>
                            <w:szCs w:val="21"/>
                            <w:lang w:val="en-US"/>
                          </w:rPr>
                          <m:t>n1</m:t>
                        </m:r>
                      </m:sub>
                    </m:sSub>
                  </m:e>
                  <m:e>
                    <m:r>
                      <w:rPr>
                        <w:rFonts w:ascii="Cambria Math" w:hAnsi="Cambria Math" w:cs="Times New Roman"/>
                        <w:sz w:val="18"/>
                        <w:szCs w:val="21"/>
                        <w:lang w:val="en-US"/>
                      </w:rPr>
                      <m:t>…</m:t>
                    </m:r>
                  </m:e>
                  <m:e>
                    <m:sSub>
                      <m:sSubPr>
                        <m:ctrlPr>
                          <w:rPr>
                            <w:rFonts w:ascii="Cambria Math" w:hAnsi="Cambria Math" w:cs="Times New Roman"/>
                            <w:i/>
                            <w:sz w:val="18"/>
                            <w:szCs w:val="21"/>
                            <w:lang w:val="en-US"/>
                          </w:rPr>
                        </m:ctrlPr>
                      </m:sSubPr>
                      <m:e>
                        <m:r>
                          <w:rPr>
                            <w:rFonts w:ascii="Cambria Math" w:hAnsi="Cambria Math" w:cs="Times New Roman"/>
                            <w:sz w:val="18"/>
                            <w:szCs w:val="21"/>
                            <w:lang w:val="en-US"/>
                          </w:rPr>
                          <m:t>x</m:t>
                        </m:r>
                      </m:e>
                      <m:sub>
                        <m:r>
                          <w:rPr>
                            <w:rFonts w:ascii="Cambria Math" w:hAnsi="Cambria Math" w:cs="Times New Roman"/>
                            <w:sz w:val="18"/>
                            <w:szCs w:val="21"/>
                            <w:lang w:val="en-US"/>
                          </w:rPr>
                          <m:t>nd</m:t>
                        </m:r>
                      </m:sub>
                    </m:sSub>
                  </m:e>
                </m:mr>
              </m:m>
            </m:e>
          </m:d>
        </m:oMath>
      </m:oMathPara>
    </w:p>
    <w:p w14:paraId="79C08C87" w14:textId="727094C5" w:rsidR="00EA28AB" w:rsidRPr="00485F66" w:rsidRDefault="00B1514E" w:rsidP="00F96E11">
      <w:pPr>
        <w:spacing w:after="120" w:line="240" w:lineRule="auto"/>
        <w:jc w:val="both"/>
        <w:rPr>
          <w:rFonts w:eastAsia="Cambria Math" w:cs="Cambria Math"/>
          <w:color w:val="000000"/>
        </w:rPr>
      </w:pPr>
      <w:r w:rsidRPr="00485F66">
        <w:rPr>
          <w:rFonts w:eastAsia="Cambria Math" w:cs="Cambria Math"/>
          <w:color w:val="000000"/>
        </w:rPr>
        <w:t>T</w:t>
      </w:r>
      <w:r w:rsidR="00EA28AB" w:rsidRPr="00485F66">
        <w:rPr>
          <w:rFonts w:eastAsia="Cambria Math" w:cs="Cambria Math"/>
          <w:color w:val="000000"/>
        </w:rPr>
        <w:t xml:space="preserve">his matrix contains performance for n objects of analysis (specified in rows) in d dimensions (specified in columns). The performance of any object </w:t>
      </w:r>
      <m:oMath>
        <m:r>
          <m:rPr>
            <m:sty m:val="p"/>
          </m:rPr>
          <w:rPr>
            <w:rFonts w:ascii="Cambria Math" w:eastAsia="Cambria Math" w:hAnsi="Cambria Math" w:cs="Cambria Math"/>
            <w:color w:val="000000"/>
          </w:rPr>
          <m:t>i</m:t>
        </m:r>
      </m:oMath>
      <w:r w:rsidR="00EA28AB" w:rsidRPr="00485F66">
        <w:rPr>
          <w:rFonts w:eastAsia="Cambria Math" w:cs="Cambria Math"/>
          <w:color w:val="000000"/>
        </w:rPr>
        <w:t xml:space="preserve"> </w:t>
      </w:r>
      <w:r w:rsidR="00092D3A" w:rsidRPr="00485F66">
        <w:rPr>
          <w:rFonts w:eastAsia="Cambria Math" w:cs="Cambria Math"/>
          <w:color w:val="000000"/>
        </w:rPr>
        <w:t xml:space="preserve">in </w:t>
      </w:r>
      <w:r w:rsidR="00EA28AB" w:rsidRPr="00485F66">
        <w:rPr>
          <w:rFonts w:eastAsia="Cambria Math" w:cs="Cambria Math"/>
          <w:color w:val="000000"/>
        </w:rPr>
        <w:t xml:space="preserve">all </w:t>
      </w:r>
      <m:oMath>
        <m:r>
          <m:rPr>
            <m:sty m:val="p"/>
          </m:rPr>
          <w:rPr>
            <w:rFonts w:ascii="Cambria Math" w:eastAsia="Cambria Math" w:hAnsi="Cambria Math" w:cs="Cambria Math"/>
            <w:color w:val="000000"/>
          </w:rPr>
          <m:t>d</m:t>
        </m:r>
      </m:oMath>
      <w:r w:rsidR="00EA28AB" w:rsidRPr="00485F66">
        <w:rPr>
          <w:rFonts w:eastAsia="Cambria Math" w:cs="Cambria Math"/>
          <w:color w:val="000000"/>
        </w:rPr>
        <w:t xml:space="preserve"> dimensions </w:t>
      </w:r>
      <w:r w:rsidR="007E1879" w:rsidRPr="00485F66">
        <w:rPr>
          <w:rFonts w:eastAsia="Cambria Math" w:cs="Cambria Math"/>
          <w:color w:val="000000"/>
        </w:rPr>
        <w:t>is</w:t>
      </w:r>
      <w:r w:rsidR="00EA28AB" w:rsidRPr="00485F66">
        <w:rPr>
          <w:rFonts w:eastAsia="Cambria Math" w:cs="Cambria Math"/>
          <w:color w:val="000000"/>
        </w:rPr>
        <w:t xml:space="preserve"> represented by the d-dimensional vector </w:t>
      </w:r>
      <m:oMath>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x</m:t>
            </m:r>
          </m:e>
          <m:sub>
            <m:r>
              <m:rPr>
                <m:sty m:val="p"/>
              </m:rPr>
              <w:rPr>
                <w:rFonts w:ascii="Cambria Math" w:eastAsia="Cambria Math" w:hAnsi="Cambria Math" w:cs="Cambria Math"/>
                <w:color w:val="000000"/>
              </w:rPr>
              <m:t>i.</m:t>
            </m:r>
          </m:sub>
        </m:sSub>
      </m:oMath>
      <w:r w:rsidRPr="00485F66">
        <w:rPr>
          <w:rFonts w:eastAsia="Cambria Math" w:cs="Cambria Math"/>
          <w:color w:val="000000"/>
        </w:rPr>
        <w:t xml:space="preserve"> for </w:t>
      </w:r>
      <w:r w:rsidR="00EA28AB" w:rsidRPr="00485F66">
        <w:rPr>
          <w:rFonts w:eastAsia="Cambria Math" w:cs="Cambria Math"/>
          <w:color w:val="000000"/>
        </w:rPr>
        <w:t>all</w:t>
      </w:r>
      <w:r w:rsidRPr="00485F66">
        <w:rPr>
          <w:rFonts w:eastAsia="Cambria Math" w:cs="Cambria Math"/>
          <w:color w:val="000000"/>
        </w:rPr>
        <w:t xml:space="preserve"> </w:t>
      </w:r>
      <w:r w:rsidR="00EA28AB" w:rsidRPr="00485F66">
        <w:rPr>
          <w:rFonts w:eastAsia="Cambria Math" w:cs="Cambria Math"/>
          <w:color w:val="000000"/>
        </w:rPr>
        <w:t xml:space="preserve"> </w:t>
      </w:r>
      <m:oMath>
        <m:r>
          <m:rPr>
            <m:sty m:val="p"/>
          </m:rPr>
          <w:rPr>
            <w:rFonts w:ascii="Cambria Math" w:eastAsia="Cambria Math" w:hAnsi="Cambria Math" w:cs="Cambria Math"/>
            <w:color w:val="000000"/>
          </w:rPr>
          <m:t>i=1,…, n</m:t>
        </m:r>
      </m:oMath>
      <w:r w:rsidR="00EA28AB" w:rsidRPr="00485F66">
        <w:rPr>
          <w:rFonts w:eastAsia="Cambria Math" w:cs="Cambria Math"/>
          <w:color w:val="000000"/>
        </w:rPr>
        <w:t xml:space="preserve">. The performance in any dimension </w:t>
      </w:r>
      <m:oMath>
        <m:r>
          <m:rPr>
            <m:sty m:val="p"/>
          </m:rPr>
          <w:rPr>
            <w:rFonts w:ascii="Cambria Math" w:eastAsia="Cambria Math" w:hAnsi="Cambria Math" w:cs="Cambria Math"/>
            <w:color w:val="000000"/>
          </w:rPr>
          <m:t>j</m:t>
        </m:r>
      </m:oMath>
      <w:r w:rsidR="00EA28AB" w:rsidRPr="00485F66">
        <w:rPr>
          <w:rFonts w:eastAsia="Cambria Math" w:cs="Cambria Math"/>
          <w:color w:val="000000"/>
        </w:rPr>
        <w:t xml:space="preserve"> for all </w:t>
      </w:r>
      <m:oMath>
        <m:r>
          <m:rPr>
            <m:sty m:val="p"/>
          </m:rPr>
          <w:rPr>
            <w:rFonts w:ascii="Cambria Math" w:eastAsia="Cambria Math" w:hAnsi="Cambria Math" w:cs="Cambria Math"/>
            <w:color w:val="000000"/>
          </w:rPr>
          <m:t>n</m:t>
        </m:r>
      </m:oMath>
      <w:r w:rsidR="00EA28AB" w:rsidRPr="00485F66">
        <w:rPr>
          <w:rFonts w:eastAsia="Cambria Math" w:cs="Cambria Math"/>
          <w:color w:val="000000"/>
        </w:rPr>
        <w:t xml:space="preserve"> objects are represented by the n-dimensional vector </w:t>
      </w:r>
      <m:oMath>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x</m:t>
            </m:r>
          </m:e>
          <m:sub>
            <m:r>
              <m:rPr>
                <m:sty m:val="p"/>
              </m:rPr>
              <w:rPr>
                <w:rFonts w:ascii="Cambria Math" w:eastAsia="Cambria Math" w:hAnsi="Cambria Math" w:cs="Cambria Math"/>
                <w:color w:val="000000"/>
              </w:rPr>
              <m:t>.j</m:t>
            </m:r>
          </m:sub>
        </m:sSub>
      </m:oMath>
      <w:r w:rsidR="00EA28AB" w:rsidRPr="00485F66">
        <w:rPr>
          <w:rFonts w:eastAsia="Cambria Math" w:cs="Cambria Math"/>
          <w:color w:val="000000"/>
        </w:rPr>
        <w:t xml:space="preserve"> for all </w:t>
      </w:r>
      <m:oMath>
        <m:r>
          <m:rPr>
            <m:sty m:val="p"/>
          </m:rPr>
          <w:rPr>
            <w:rFonts w:ascii="Cambria Math" w:eastAsia="Cambria Math" w:hAnsi="Cambria Math" w:cs="Cambria Math"/>
            <w:color w:val="000000"/>
          </w:rPr>
          <m:t>j=1,…,d</m:t>
        </m:r>
      </m:oMath>
      <w:r w:rsidR="00EA28AB" w:rsidRPr="00485F66">
        <w:rPr>
          <w:rFonts w:eastAsia="Cambria Math" w:cs="Cambria Math"/>
          <w:color w:val="000000"/>
        </w:rPr>
        <w:t xml:space="preserve">. Overall, an index should be computed via two main steps: identification and aggregation. </w:t>
      </w:r>
      <w:r w:rsidR="003267E6" w:rsidRPr="00485F66">
        <w:rPr>
          <w:rFonts w:eastAsia="Cambria Math" w:cs="Cambria Math"/>
          <w:color w:val="000000"/>
        </w:rPr>
        <w:t xml:space="preserve">An example of how to combine the 2 dimensions can be found in </w:t>
      </w:r>
      <w:r w:rsidR="003267E6" w:rsidRPr="00485F66">
        <w:rPr>
          <w:rFonts w:eastAsia="Cambria Math" w:cs="Cambria Math"/>
          <w:b/>
          <w:color w:val="000000"/>
        </w:rPr>
        <w:t>A</w:t>
      </w:r>
      <w:r w:rsidR="00612DD8" w:rsidRPr="00485F66">
        <w:rPr>
          <w:rFonts w:eastAsia="Cambria Math" w:cs="Cambria Math"/>
          <w:b/>
          <w:color w:val="000000"/>
        </w:rPr>
        <w:t>nnex 4</w:t>
      </w:r>
      <w:r w:rsidR="003267E6" w:rsidRPr="00485F66">
        <w:rPr>
          <w:rFonts w:eastAsia="Cambria Math" w:cs="Cambria Math"/>
          <w:color w:val="000000"/>
        </w:rPr>
        <w:t>.</w:t>
      </w:r>
    </w:p>
    <w:p w14:paraId="163DF25E" w14:textId="622C5918" w:rsidR="00121865" w:rsidRPr="00485F66" w:rsidRDefault="00121865" w:rsidP="00F96E11">
      <w:p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 xml:space="preserve">Step 5: </w:t>
      </w:r>
      <w:r w:rsidR="002B2FB7" w:rsidRPr="00485F66">
        <w:rPr>
          <w:rFonts w:eastAsia="Times New Roman" w:cs="Times New Roman"/>
          <w:b/>
          <w:bCs/>
          <w:color w:val="4A4A4A"/>
          <w:lang w:eastAsia="en-GB"/>
        </w:rPr>
        <w:t xml:space="preserve">Apply weights to the </w:t>
      </w:r>
      <w:r w:rsidR="00473C93" w:rsidRPr="00485F66">
        <w:rPr>
          <w:rFonts w:eastAsia="Times New Roman" w:cs="Times New Roman"/>
          <w:b/>
          <w:bCs/>
          <w:color w:val="4A4A4A"/>
          <w:lang w:eastAsia="en-GB"/>
        </w:rPr>
        <w:t>medicine in the basket according to the regional prevalence of the diseases that are cured/treated/controlled by these medicines</w:t>
      </w:r>
    </w:p>
    <w:p w14:paraId="146DA109" w14:textId="77777777" w:rsidR="00B17716" w:rsidRPr="00485F66" w:rsidRDefault="00DE1500"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After identifying the access variable, medicines in the basket have to be weighted according to the prevalence of the disease(s) that these medicines are used to cure/treat/control using </w:t>
      </w:r>
      <w:r w:rsidR="0094434D" w:rsidRPr="00485F66">
        <w:rPr>
          <w:rFonts w:eastAsia="Cambria Math" w:cs="Cambria Math"/>
          <w:color w:val="000000"/>
        </w:rPr>
        <w:t xml:space="preserve">the </w:t>
      </w:r>
      <w:r w:rsidRPr="00485F66">
        <w:rPr>
          <w:rFonts w:eastAsia="Cambria Math" w:cs="Cambria Math"/>
          <w:color w:val="000000"/>
        </w:rPr>
        <w:t>weight</w:t>
      </w:r>
      <w:r w:rsidR="0094434D" w:rsidRPr="00485F66">
        <w:rPr>
          <w:rFonts w:eastAsia="Cambria Math" w:cs="Cambria Math"/>
          <w:color w:val="000000"/>
        </w:rPr>
        <w:t>s</w:t>
      </w:r>
      <w:r w:rsidRPr="00485F66">
        <w:rPr>
          <w:rFonts w:eastAsia="Cambria Math" w:cs="Cambria Math"/>
          <w:color w:val="000000"/>
        </w:rPr>
        <w:t xml:space="preserve"> identified </w:t>
      </w:r>
      <w:r w:rsidR="0094434D" w:rsidRPr="00485F66">
        <w:rPr>
          <w:rFonts w:eastAsia="Cambria Math" w:cs="Cambria Math"/>
          <w:color w:val="000000"/>
        </w:rPr>
        <w:t>i</w:t>
      </w:r>
      <w:r w:rsidRPr="00485F66">
        <w:rPr>
          <w:rFonts w:eastAsia="Cambria Math" w:cs="Cambria Math"/>
          <w:color w:val="000000"/>
        </w:rPr>
        <w:t xml:space="preserve">n </w:t>
      </w:r>
      <w:r w:rsidRPr="00485F66">
        <w:rPr>
          <w:rFonts w:eastAsia="Cambria Math" w:cs="Cambria Math"/>
          <w:b/>
          <w:bCs/>
          <w:color w:val="000000"/>
        </w:rPr>
        <w:t>step 2</w:t>
      </w:r>
      <w:r w:rsidRPr="00485F66">
        <w:rPr>
          <w:rFonts w:eastAsia="Cambria Math" w:cs="Cambria Math"/>
          <w:color w:val="000000"/>
        </w:rPr>
        <w:t xml:space="preserve"> and provided in </w:t>
      </w:r>
      <w:r w:rsidRPr="00485F66">
        <w:rPr>
          <w:rFonts w:eastAsia="Cambria Math" w:cs="Cambria Math"/>
          <w:b/>
          <w:bCs/>
          <w:color w:val="000000"/>
        </w:rPr>
        <w:t>Annex 2, tables 2.1 and 2.2.</w:t>
      </w:r>
      <w:r w:rsidR="00CB0E09" w:rsidRPr="00485F66">
        <w:rPr>
          <w:rFonts w:eastAsia="Cambria Math" w:cs="Cambria Math"/>
          <w:b/>
          <w:bCs/>
          <w:color w:val="000000"/>
        </w:rPr>
        <w:t xml:space="preserve"> </w:t>
      </w:r>
      <w:r w:rsidR="00CB0E09" w:rsidRPr="00485F66">
        <w:rPr>
          <w:rFonts w:eastAsia="Cambria Math" w:cs="Cambria Math"/>
          <w:color w:val="000000"/>
        </w:rPr>
        <w:t xml:space="preserve">This is performed by multiplying the access variable with the medicine weights: </w:t>
      </w:r>
    </w:p>
    <w:p w14:paraId="31AE93EA" w14:textId="77BFCECE" w:rsidR="002B2FB7" w:rsidRPr="00485F66" w:rsidRDefault="00CB0E09" w:rsidP="00F96E11">
      <w:pPr>
        <w:pBdr>
          <w:top w:val="nil"/>
          <w:left w:val="nil"/>
          <w:bottom w:val="nil"/>
          <w:right w:val="nil"/>
          <w:between w:val="nil"/>
        </w:pBdr>
        <w:spacing w:after="120" w:line="240" w:lineRule="auto"/>
        <w:jc w:val="both"/>
        <w:rPr>
          <w:rFonts w:eastAsia="Cambria Math" w:cs="Cambria Math"/>
          <w:b/>
          <w:bCs/>
          <w:color w:val="000000"/>
        </w:rPr>
      </w:pPr>
      <w:r w:rsidRPr="00485F66">
        <w:rPr>
          <w:rFonts w:eastAsia="Cambria Math" w:cs="Cambria Math"/>
          <w:b/>
          <w:bCs/>
          <w:color w:val="000000"/>
        </w:rPr>
        <w:t xml:space="preserve"> </w:t>
      </w:r>
    </w:p>
    <w:p w14:paraId="24922EE2" w14:textId="30F56413" w:rsidR="00367EB6" w:rsidRPr="00485F66" w:rsidRDefault="00367EB6" w:rsidP="00F96E11">
      <w:pPr>
        <w:spacing w:after="120" w:line="240" w:lineRule="auto"/>
        <w:jc w:val="center"/>
        <w:rPr>
          <w:rFonts w:eastAsia="Cambria Math" w:cs="Cambria Math"/>
          <w:noProof/>
          <w:color w:val="000000"/>
          <w:lang w:val="en-US"/>
        </w:rPr>
      </w:pPr>
      <w:r w:rsidRPr="00485F66">
        <w:rPr>
          <w:rFonts w:eastAsia="Cambria Math" w:cs="Cambria Math"/>
          <w:b/>
          <w:bCs/>
          <w:color w:val="000000"/>
          <w:sz w:val="20"/>
          <w:szCs w:val="20"/>
        </w:rPr>
        <w:t xml:space="preserve">Figure </w:t>
      </w:r>
      <w:r w:rsidR="00AD00B5" w:rsidRPr="00485F66">
        <w:rPr>
          <w:rFonts w:eastAsia="Cambria Math" w:cs="Cambria Math"/>
          <w:b/>
          <w:bCs/>
          <w:color w:val="000000"/>
          <w:sz w:val="20"/>
          <w:szCs w:val="20"/>
        </w:rPr>
        <w:t>1</w:t>
      </w:r>
      <w:r w:rsidRPr="00485F66">
        <w:rPr>
          <w:rFonts w:eastAsia="Cambria Math" w:cs="Cambria Math"/>
          <w:b/>
          <w:bCs/>
          <w:color w:val="000000"/>
          <w:sz w:val="20"/>
          <w:szCs w:val="20"/>
        </w:rPr>
        <w:t>.</w:t>
      </w:r>
      <w:r w:rsidRPr="00485F66">
        <w:rPr>
          <w:rFonts w:eastAsia="Cambria Math" w:cs="Cambria Math"/>
          <w:color w:val="000000"/>
          <w:sz w:val="20"/>
          <w:szCs w:val="20"/>
        </w:rPr>
        <w:t xml:space="preserve"> Achievement matrix of weighted access to medicine</w:t>
      </w:r>
    </w:p>
    <w:p w14:paraId="116D5512" w14:textId="64CCC069" w:rsidR="002B2FB7" w:rsidRPr="00485F66" w:rsidRDefault="00367EB6" w:rsidP="00F96E11">
      <w:pPr>
        <w:pBdr>
          <w:top w:val="nil"/>
          <w:left w:val="nil"/>
          <w:bottom w:val="nil"/>
          <w:right w:val="nil"/>
          <w:between w:val="nil"/>
        </w:pBdr>
        <w:spacing w:after="120" w:line="240" w:lineRule="auto"/>
        <w:jc w:val="center"/>
        <w:rPr>
          <w:rFonts w:eastAsia="Cambria Math" w:cs="Cambria Math"/>
          <w:b/>
          <w:bCs/>
          <w:color w:val="000000"/>
          <w:sz w:val="28"/>
          <w:szCs w:val="28"/>
        </w:rPr>
      </w:pPr>
      <w:r w:rsidRPr="00485F66">
        <w:rPr>
          <w:rFonts w:eastAsia="Cambria Math" w:cs="Cambria Math"/>
          <w:b/>
          <w:bCs/>
          <w:noProof/>
          <w:color w:val="000000"/>
          <w:sz w:val="28"/>
          <w:szCs w:val="28"/>
          <w:lang w:val="en-US"/>
        </w:rPr>
        <w:drawing>
          <wp:inline distT="0" distB="0" distL="0" distR="0" wp14:anchorId="2D88DB29" wp14:editId="794F5055">
            <wp:extent cx="2255954" cy="9376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522" cy="946175"/>
                    </a:xfrm>
                    <a:prstGeom prst="rect">
                      <a:avLst/>
                    </a:prstGeom>
                    <a:noFill/>
                    <a:ln>
                      <a:noFill/>
                    </a:ln>
                  </pic:spPr>
                </pic:pic>
              </a:graphicData>
            </a:graphic>
          </wp:inline>
        </w:drawing>
      </w:r>
    </w:p>
    <w:p w14:paraId="78371F99" w14:textId="51981879" w:rsidR="001C6B93" w:rsidRPr="00485F66" w:rsidRDefault="00367EB6" w:rsidP="00F96E11">
      <w:p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 xml:space="preserve">Step 6: </w:t>
      </w:r>
      <w:r w:rsidR="001C6B93" w:rsidRPr="00485F66">
        <w:rPr>
          <w:rFonts w:eastAsia="Times New Roman" w:cs="Times New Roman"/>
          <w:b/>
          <w:bCs/>
          <w:color w:val="4A4A4A"/>
          <w:lang w:eastAsia="en-GB"/>
        </w:rPr>
        <w:t>Identify whether a facility has a core set of relevant essential med</w:t>
      </w:r>
      <w:r w:rsidR="0014164B" w:rsidRPr="00485F66">
        <w:rPr>
          <w:rFonts w:eastAsia="Times New Roman" w:cs="Times New Roman"/>
          <w:b/>
          <w:bCs/>
          <w:color w:val="4A4A4A"/>
          <w:lang w:eastAsia="en-GB"/>
        </w:rPr>
        <w:t>icines available and affordable</w:t>
      </w:r>
    </w:p>
    <w:p w14:paraId="2CBE2B2A" w14:textId="4C1A73F2" w:rsidR="001C6B93" w:rsidRPr="00485F66" w:rsidRDefault="001C6B93"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The following comp</w:t>
      </w:r>
      <w:r w:rsidR="00162741" w:rsidRPr="00485F66">
        <w:rPr>
          <w:rFonts w:eastAsia="Cambria Math" w:cs="Cambria Math"/>
          <w:color w:val="000000"/>
        </w:rPr>
        <w:t xml:space="preserve">utations </w:t>
      </w:r>
      <w:r w:rsidR="0094434D" w:rsidRPr="00485F66">
        <w:rPr>
          <w:rFonts w:eastAsia="Cambria Math" w:cs="Cambria Math"/>
          <w:color w:val="000000"/>
        </w:rPr>
        <w:t>must</w:t>
      </w:r>
      <w:r w:rsidR="00162741" w:rsidRPr="00485F66">
        <w:rPr>
          <w:rFonts w:eastAsia="Cambria Math" w:cs="Cambria Math"/>
          <w:color w:val="000000"/>
        </w:rPr>
        <w:t xml:space="preserve"> be undertaken i</w:t>
      </w:r>
      <w:r w:rsidRPr="00485F66">
        <w:rPr>
          <w:rFonts w:eastAsia="Cambria Math" w:cs="Cambria Math"/>
          <w:color w:val="000000"/>
        </w:rPr>
        <w:t xml:space="preserve">n this step: </w:t>
      </w:r>
    </w:p>
    <w:p w14:paraId="095081C8" w14:textId="30F57DB6" w:rsidR="001C6B93" w:rsidRPr="00485F66" w:rsidRDefault="001C6B93" w:rsidP="00F96E11">
      <w:pPr>
        <w:pBdr>
          <w:top w:val="nil"/>
          <w:left w:val="nil"/>
          <w:bottom w:val="nil"/>
          <w:right w:val="nil"/>
          <w:between w:val="nil"/>
        </w:pBdr>
        <w:spacing w:after="120" w:line="240" w:lineRule="auto"/>
        <w:ind w:left="720"/>
        <w:jc w:val="both"/>
        <w:rPr>
          <w:rFonts w:eastAsia="Cambria Math" w:cs="Cambria Math"/>
          <w:b/>
          <w:bCs/>
          <w:color w:val="000000"/>
        </w:rPr>
      </w:pPr>
      <w:r w:rsidRPr="00485F66">
        <w:rPr>
          <w:rFonts w:eastAsia="Cambria Math" w:cs="Cambria Math"/>
          <w:b/>
          <w:bCs/>
          <w:color w:val="000000"/>
        </w:rPr>
        <w:t>6.1</w:t>
      </w:r>
      <w:r w:rsidRPr="00485F66">
        <w:rPr>
          <w:rFonts w:eastAsia="Cambria Math" w:cs="Cambria Math"/>
          <w:color w:val="000000"/>
        </w:rPr>
        <w:t xml:space="preserve"> </w:t>
      </w:r>
      <w:r w:rsidRPr="00485F66">
        <w:rPr>
          <w:rFonts w:eastAsia="Cambria Math" w:cs="Cambria Math"/>
          <w:b/>
          <w:bCs/>
          <w:color w:val="000000"/>
        </w:rPr>
        <w:t xml:space="preserve">Calculate </w:t>
      </w:r>
      <w:r w:rsidR="00F57728" w:rsidRPr="00485F66">
        <w:rPr>
          <w:rFonts w:eastAsia="Cambria Math" w:cs="Cambria Math"/>
          <w:b/>
          <w:bCs/>
          <w:color w:val="000000"/>
        </w:rPr>
        <w:t>proportion</w:t>
      </w:r>
      <w:r w:rsidRPr="00485F66">
        <w:rPr>
          <w:rFonts w:eastAsia="Cambria Math" w:cs="Cambria Math"/>
          <w:b/>
          <w:bCs/>
          <w:color w:val="000000"/>
        </w:rPr>
        <w:t xml:space="preserve"> of medicines that are accessible (both available and affordable) in each facility</w:t>
      </w:r>
    </w:p>
    <w:p w14:paraId="3D205399" w14:textId="2DDEDAA4" w:rsidR="00F57728" w:rsidRPr="00485F66" w:rsidRDefault="00354278"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Because </w:t>
      </w:r>
      <w:r w:rsidR="00F57728" w:rsidRPr="00485F66">
        <w:rPr>
          <w:rFonts w:eastAsia="Cambria Math" w:cs="Cambria Math"/>
          <w:color w:val="000000"/>
        </w:rPr>
        <w:t xml:space="preserve">medicines are weighted, the proportion is computed as a weighted sum of medicines that are both available and affordable (accessible) in each facility using the following formula: </w:t>
      </w:r>
    </w:p>
    <w:p w14:paraId="6855267F" w14:textId="36104585" w:rsidR="00F57728" w:rsidRPr="00485F66" w:rsidRDefault="00F57728" w:rsidP="00F96E11">
      <w:pPr>
        <w:pBdr>
          <w:top w:val="nil"/>
          <w:left w:val="nil"/>
          <w:bottom w:val="nil"/>
          <w:right w:val="nil"/>
          <w:between w:val="nil"/>
        </w:pBdr>
        <w:spacing w:after="120" w:line="240" w:lineRule="auto"/>
        <w:ind w:left="720"/>
        <w:jc w:val="both"/>
        <w:rPr>
          <w:rFonts w:eastAsia="Cambria Math" w:cs="Cambria Math"/>
          <w:i/>
          <w:color w:val="000000"/>
          <w:sz w:val="21"/>
          <w:szCs w:val="21"/>
        </w:rPr>
      </w:pPr>
      <m:oMathPara>
        <m:oMath>
          <m:r>
            <w:rPr>
              <w:rFonts w:ascii="Cambria Math" w:eastAsia="Cambria Math" w:hAnsi="Cambria Math" w:cs="Cambria Math"/>
              <w:color w:val="000000"/>
              <w:sz w:val="18"/>
              <w:szCs w:val="21"/>
            </w:rPr>
            <w:lastRenderedPageBreak/>
            <m:t xml:space="preserve">Access= </m:t>
          </m:r>
          <m:nary>
            <m:naryPr>
              <m:chr m:val="∑"/>
              <m:limLoc m:val="undOvr"/>
              <m:ctrlPr>
                <w:rPr>
                  <w:rFonts w:ascii="Cambria Math" w:eastAsia="Cambria Math" w:hAnsi="Cambria Math" w:cs="Cambria Math"/>
                  <w:i/>
                  <w:color w:val="000000"/>
                  <w:sz w:val="18"/>
                  <w:szCs w:val="21"/>
                </w:rPr>
              </m:ctrlPr>
            </m:naryPr>
            <m:sub>
              <m:r>
                <w:rPr>
                  <w:rFonts w:ascii="Cambria Math" w:eastAsia="Cambria Math" w:hAnsi="Cambria Math" w:cs="Cambria Math"/>
                  <w:color w:val="000000"/>
                  <w:sz w:val="18"/>
                  <w:szCs w:val="21"/>
                </w:rPr>
                <m:t>i=1</m:t>
              </m:r>
            </m:sub>
            <m:sup>
              <m:r>
                <w:rPr>
                  <w:rFonts w:ascii="Cambria Math" w:eastAsia="Cambria Math" w:hAnsi="Cambria Math" w:cs="Cambria Math"/>
                  <w:color w:val="000000"/>
                  <w:sz w:val="18"/>
                  <w:szCs w:val="21"/>
                </w:rPr>
                <m:t>n</m:t>
              </m:r>
            </m:sup>
            <m:e>
              <m:sSub>
                <m:sSubPr>
                  <m:ctrlPr>
                    <w:rPr>
                      <w:rFonts w:ascii="Cambria Math" w:eastAsia="Cambria Math" w:hAnsi="Cambria Math" w:cs="Cambria Math"/>
                      <w:i/>
                      <w:color w:val="000000"/>
                      <w:sz w:val="18"/>
                      <w:szCs w:val="21"/>
                    </w:rPr>
                  </m:ctrlPr>
                </m:sSubPr>
                <m:e>
                  <m:r>
                    <w:rPr>
                      <w:rFonts w:ascii="Cambria Math" w:eastAsia="Cambria Math" w:hAnsi="Cambria Math" w:cs="Cambria Math"/>
                      <w:color w:val="000000"/>
                      <w:sz w:val="18"/>
                      <w:szCs w:val="21"/>
                    </w:rPr>
                    <m:t>w</m:t>
                  </m:r>
                </m:e>
                <m:sub>
                  <m:r>
                    <w:rPr>
                      <w:rFonts w:ascii="Cambria Math" w:eastAsia="Cambria Math" w:hAnsi="Cambria Math" w:cs="Cambria Math"/>
                      <w:color w:val="000000"/>
                      <w:sz w:val="18"/>
                      <w:szCs w:val="21"/>
                    </w:rPr>
                    <m:t>mi</m:t>
                  </m:r>
                </m:sub>
              </m:sSub>
            </m:e>
          </m:nary>
        </m:oMath>
      </m:oMathPara>
    </w:p>
    <w:p w14:paraId="5FFFB458" w14:textId="38132FFF" w:rsidR="00204759" w:rsidRPr="00485F66" w:rsidRDefault="00204759"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This variable is then transformed into </w:t>
      </w:r>
      <w:r w:rsidR="00354278" w:rsidRPr="00485F66">
        <w:rPr>
          <w:rFonts w:eastAsia="Cambria Math" w:cs="Cambria Math"/>
          <w:color w:val="000000"/>
        </w:rPr>
        <w:t xml:space="preserve">a percentage </w:t>
      </w:r>
      <w:r w:rsidRPr="00485F66">
        <w:rPr>
          <w:rFonts w:eastAsia="Cambria Math" w:cs="Cambria Math"/>
          <w:color w:val="000000"/>
        </w:rPr>
        <w:t>and vari</w:t>
      </w:r>
      <w:r w:rsidR="00354278" w:rsidRPr="00485F66">
        <w:rPr>
          <w:rFonts w:eastAsia="Cambria Math" w:cs="Cambria Math"/>
          <w:color w:val="000000"/>
        </w:rPr>
        <w:t>es</w:t>
      </w:r>
      <w:r w:rsidRPr="00485F66">
        <w:rPr>
          <w:rFonts w:eastAsia="Cambria Math" w:cs="Cambria Math"/>
          <w:color w:val="000000"/>
        </w:rPr>
        <w:t xml:space="preserve"> from 0 to 100. </w:t>
      </w:r>
    </w:p>
    <w:p w14:paraId="25B2CFBF" w14:textId="7CC7DA3D" w:rsidR="00F57728" w:rsidRPr="00485F66" w:rsidRDefault="00F57728"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The computed number of accessible medicines accounts for the importance of the analysed medicines in the country. In particular, </w:t>
      </w:r>
      <w:r w:rsidR="00162741" w:rsidRPr="00485F66">
        <w:rPr>
          <w:rFonts w:eastAsia="Cambria Math" w:cs="Cambria Math"/>
          <w:color w:val="000000"/>
        </w:rPr>
        <w:t xml:space="preserve">if a medicine with </w:t>
      </w:r>
      <w:r w:rsidR="00354278" w:rsidRPr="00485F66">
        <w:rPr>
          <w:rFonts w:eastAsia="Cambria Math" w:cs="Cambria Math"/>
          <w:color w:val="000000"/>
        </w:rPr>
        <w:t xml:space="preserve">a </w:t>
      </w:r>
      <w:r w:rsidR="00162741" w:rsidRPr="00485F66">
        <w:rPr>
          <w:rFonts w:eastAsia="Cambria Math" w:cs="Cambria Math"/>
          <w:color w:val="000000"/>
        </w:rPr>
        <w:t>high</w:t>
      </w:r>
      <w:r w:rsidR="00354278" w:rsidRPr="00485F66">
        <w:rPr>
          <w:rFonts w:eastAsia="Cambria Math" w:cs="Cambria Math"/>
          <w:color w:val="000000"/>
        </w:rPr>
        <w:t>er</w:t>
      </w:r>
      <w:r w:rsidR="00162741" w:rsidRPr="00485F66">
        <w:rPr>
          <w:rFonts w:eastAsia="Cambria Math" w:cs="Cambria Math"/>
          <w:color w:val="000000"/>
        </w:rPr>
        <w:t xml:space="preserve"> weight (for example hypertension) is not accessible, the index will be sensitive t</w:t>
      </w:r>
      <w:r w:rsidR="00354278" w:rsidRPr="00485F66">
        <w:rPr>
          <w:rFonts w:eastAsia="Cambria Math" w:cs="Cambria Math"/>
          <w:color w:val="000000"/>
        </w:rPr>
        <w:t>o this</w:t>
      </w:r>
      <w:r w:rsidR="00162741" w:rsidRPr="00485F66">
        <w:rPr>
          <w:rFonts w:eastAsia="Cambria Math" w:cs="Cambria Math"/>
          <w:color w:val="000000"/>
        </w:rPr>
        <w:t xml:space="preserve"> and will demonstrate </w:t>
      </w:r>
      <w:r w:rsidR="00354278" w:rsidRPr="00485F66">
        <w:rPr>
          <w:rFonts w:eastAsia="Cambria Math" w:cs="Cambria Math"/>
          <w:color w:val="000000"/>
        </w:rPr>
        <w:t xml:space="preserve">the </w:t>
      </w:r>
      <w:r w:rsidR="00162741" w:rsidRPr="00485F66">
        <w:rPr>
          <w:rFonts w:eastAsia="Cambria Math" w:cs="Cambria Math"/>
          <w:color w:val="000000"/>
        </w:rPr>
        <w:t>lack of access. On the contrary, i</w:t>
      </w:r>
      <w:r w:rsidRPr="00485F66">
        <w:rPr>
          <w:rFonts w:eastAsia="Cambria Math" w:cs="Cambria Math"/>
          <w:color w:val="000000"/>
        </w:rPr>
        <w:t>f a medicine has</w:t>
      </w:r>
      <w:r w:rsidR="00354278" w:rsidRPr="00485F66">
        <w:rPr>
          <w:rFonts w:eastAsia="Cambria Math" w:cs="Cambria Math"/>
          <w:color w:val="000000"/>
        </w:rPr>
        <w:t xml:space="preserve"> a</w:t>
      </w:r>
      <w:r w:rsidR="00162741" w:rsidRPr="00485F66">
        <w:rPr>
          <w:rFonts w:eastAsia="Cambria Math" w:cs="Cambria Math"/>
          <w:color w:val="000000"/>
        </w:rPr>
        <w:t xml:space="preserve"> low</w:t>
      </w:r>
      <w:r w:rsidRPr="00485F66">
        <w:rPr>
          <w:rFonts w:eastAsia="Cambria Math" w:cs="Cambria Math"/>
          <w:color w:val="000000"/>
        </w:rPr>
        <w:t xml:space="preserve"> weight </w:t>
      </w:r>
      <w:r w:rsidR="00162741" w:rsidRPr="00485F66">
        <w:rPr>
          <w:rFonts w:eastAsia="Cambria Math" w:cs="Cambria Math"/>
          <w:color w:val="000000"/>
        </w:rPr>
        <w:t xml:space="preserve">(i.e. </w:t>
      </w:r>
      <w:r w:rsidRPr="00485F66">
        <w:rPr>
          <w:rFonts w:eastAsia="Cambria Math" w:cs="Cambria Math"/>
          <w:color w:val="000000"/>
        </w:rPr>
        <w:t>approaching zero</w:t>
      </w:r>
      <w:r w:rsidR="00354278" w:rsidRPr="00485F66">
        <w:rPr>
          <w:rFonts w:eastAsia="Cambria Math" w:cs="Cambria Math"/>
          <w:color w:val="000000"/>
        </w:rPr>
        <w:t>, such as antimalarial medication in a non-endemic country</w:t>
      </w:r>
      <w:r w:rsidR="00162741" w:rsidRPr="00485F66">
        <w:rPr>
          <w:rFonts w:eastAsia="Cambria Math" w:cs="Cambria Math"/>
          <w:color w:val="000000"/>
        </w:rPr>
        <w:t>) and</w:t>
      </w:r>
      <w:r w:rsidRPr="00485F66">
        <w:rPr>
          <w:rFonts w:eastAsia="Cambria Math" w:cs="Cambria Math"/>
          <w:color w:val="000000"/>
        </w:rPr>
        <w:t xml:space="preserve"> is not accessible, </w:t>
      </w:r>
      <w:r w:rsidR="00162741" w:rsidRPr="00485F66">
        <w:rPr>
          <w:rFonts w:eastAsia="Cambria Math" w:cs="Cambria Math"/>
          <w:color w:val="000000"/>
        </w:rPr>
        <w:t>the index</w:t>
      </w:r>
      <w:r w:rsidRPr="00485F66">
        <w:rPr>
          <w:rFonts w:eastAsia="Cambria Math" w:cs="Cambria Math"/>
          <w:color w:val="000000"/>
        </w:rPr>
        <w:t xml:space="preserve"> will not be </w:t>
      </w:r>
      <w:r w:rsidR="00162741" w:rsidRPr="00485F66">
        <w:rPr>
          <w:rFonts w:eastAsia="Cambria Math" w:cs="Cambria Math"/>
          <w:color w:val="000000"/>
        </w:rPr>
        <w:t>affected</w:t>
      </w:r>
      <w:r w:rsidRPr="00485F66">
        <w:rPr>
          <w:rFonts w:eastAsia="Cambria Math" w:cs="Cambria Math"/>
          <w:color w:val="000000"/>
        </w:rPr>
        <w:t xml:space="preserve">. </w:t>
      </w:r>
    </w:p>
    <w:p w14:paraId="2EFFDE4A" w14:textId="1A0C4F9F" w:rsidR="001C6B93" w:rsidRPr="00485F66" w:rsidRDefault="001C6B93" w:rsidP="00F96E11">
      <w:pPr>
        <w:pBdr>
          <w:top w:val="nil"/>
          <w:left w:val="nil"/>
          <w:bottom w:val="nil"/>
          <w:right w:val="nil"/>
          <w:between w:val="nil"/>
        </w:pBdr>
        <w:spacing w:after="120" w:line="240" w:lineRule="auto"/>
        <w:ind w:left="720"/>
        <w:jc w:val="both"/>
        <w:rPr>
          <w:rFonts w:eastAsia="Cambria Math" w:cs="Cambria Math"/>
          <w:b/>
          <w:bCs/>
          <w:color w:val="000000"/>
        </w:rPr>
      </w:pPr>
      <w:r w:rsidRPr="00485F66">
        <w:rPr>
          <w:rFonts w:eastAsia="Cambria Math" w:cs="Cambria Math"/>
          <w:b/>
          <w:bCs/>
          <w:color w:val="000000"/>
        </w:rPr>
        <w:t>6.2 Mark facilities that have 80%</w:t>
      </w:r>
      <w:r w:rsidR="00354278" w:rsidRPr="00485F66">
        <w:rPr>
          <w:rFonts w:eastAsia="Cambria Math" w:cs="Cambria Math"/>
          <w:b/>
          <w:bCs/>
          <w:color w:val="000000"/>
        </w:rPr>
        <w:t xml:space="preserve"> or</w:t>
      </w:r>
      <w:r w:rsidRPr="00485F66">
        <w:rPr>
          <w:rFonts w:eastAsia="Cambria Math" w:cs="Cambria Math"/>
          <w:b/>
          <w:bCs/>
          <w:color w:val="000000"/>
        </w:rPr>
        <w:t xml:space="preserve"> more</w:t>
      </w:r>
      <w:r w:rsidR="00F57728" w:rsidRPr="00485F66">
        <w:rPr>
          <w:rFonts w:eastAsia="Cambria Math" w:cs="Cambria Math"/>
          <w:b/>
          <w:bCs/>
          <w:color w:val="000000"/>
        </w:rPr>
        <w:t xml:space="preserve"> of available and affordable </w:t>
      </w:r>
      <w:r w:rsidRPr="00485F66">
        <w:rPr>
          <w:rFonts w:eastAsia="Cambria Math" w:cs="Cambria Math"/>
          <w:b/>
          <w:bCs/>
          <w:color w:val="000000"/>
        </w:rPr>
        <w:t xml:space="preserve">medicines  </w:t>
      </w:r>
    </w:p>
    <w:p w14:paraId="2520102D" w14:textId="3C06D49E" w:rsidR="00507DA0" w:rsidRPr="00485F66" w:rsidRDefault="00204759"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The computed variable “access” is then transformed into the binary format </w:t>
      </w:r>
      <w:r w:rsidR="009C459F" w:rsidRPr="00485F66">
        <w:rPr>
          <w:rFonts w:eastAsia="Cambria Math" w:cs="Cambria Math"/>
          <w:color w:val="000000"/>
        </w:rPr>
        <w:t>identifying</w:t>
      </w:r>
      <w:r w:rsidRPr="00485F66">
        <w:rPr>
          <w:rFonts w:eastAsia="Cambria Math" w:cs="Cambria Math"/>
          <w:color w:val="000000"/>
        </w:rPr>
        <w:t xml:space="preserve"> facilities that have </w:t>
      </w:r>
      <w:r w:rsidR="00FE01F0" w:rsidRPr="00485F66">
        <w:rPr>
          <w:rFonts w:eastAsia="Cambria Math" w:cs="Cambria Math"/>
          <w:color w:val="000000"/>
        </w:rPr>
        <w:t>the core basket of</w:t>
      </w:r>
      <w:r w:rsidRPr="00485F66">
        <w:rPr>
          <w:rFonts w:eastAsia="Cambria Math" w:cs="Cambria Math"/>
          <w:color w:val="000000"/>
        </w:rPr>
        <w:t xml:space="preserve"> essential medicines available and affordable versus facilities that do not. </w:t>
      </w:r>
      <w:r w:rsidR="00354278" w:rsidRPr="00485F66">
        <w:rPr>
          <w:rFonts w:eastAsia="Cambria Math" w:cs="Cambria Math"/>
          <w:color w:val="000000"/>
        </w:rPr>
        <w:t>A threshold of 80% is applied in order to transform the “access” variable into a binary format.</w:t>
      </w:r>
      <w:r w:rsidRPr="00485F66">
        <w:rPr>
          <w:rFonts w:eastAsia="Cambria Math" w:cs="Cambria Math"/>
          <w:color w:val="000000"/>
        </w:rPr>
        <w:t xml:space="preserve"> In particular, </w:t>
      </w:r>
      <w:r w:rsidR="009C459F" w:rsidRPr="00485F66">
        <w:rPr>
          <w:rFonts w:eastAsia="Cambria Math" w:cs="Cambria Math"/>
          <w:color w:val="000000"/>
        </w:rPr>
        <w:t>at least 80% of all the medicines surveyed in a facility have to be both available and affordable</w:t>
      </w:r>
      <w:r w:rsidRPr="00485F66">
        <w:rPr>
          <w:rFonts w:eastAsia="Cambria Math" w:cs="Cambria Math"/>
          <w:color w:val="000000"/>
        </w:rPr>
        <w:t>.</w:t>
      </w:r>
      <w:r w:rsidR="00507DA0" w:rsidRPr="00485F66">
        <w:rPr>
          <w:rFonts w:eastAsia="Cambria Math" w:cs="Cambria Math"/>
          <w:color w:val="000000"/>
        </w:rPr>
        <w:t xml:space="preserve"> The transformation is made using </w:t>
      </w:r>
      <w:r w:rsidR="00354278" w:rsidRPr="00485F66">
        <w:rPr>
          <w:rFonts w:eastAsia="Cambria Math" w:cs="Cambria Math"/>
          <w:color w:val="000000"/>
        </w:rPr>
        <w:t xml:space="preserve">the following </w:t>
      </w:r>
      <w:r w:rsidR="00507DA0" w:rsidRPr="00485F66">
        <w:rPr>
          <w:rFonts w:eastAsia="Cambria Math" w:cs="Cambria Math"/>
          <w:color w:val="000000"/>
        </w:rPr>
        <w:t>formula:</w:t>
      </w:r>
    </w:p>
    <w:p w14:paraId="67C94073" w14:textId="0F1C6E2C" w:rsidR="00204759" w:rsidRPr="00485F66" w:rsidRDefault="008459A4" w:rsidP="00F96E11">
      <w:pPr>
        <w:pBdr>
          <w:top w:val="nil"/>
          <w:left w:val="nil"/>
          <w:bottom w:val="nil"/>
          <w:right w:val="nil"/>
          <w:between w:val="nil"/>
        </w:pBdr>
        <w:spacing w:after="120" w:line="240" w:lineRule="auto"/>
        <w:ind w:left="720"/>
        <w:jc w:val="center"/>
        <w:rPr>
          <w:rFonts w:eastAsia="Cambria Math" w:cs="Cambria Math"/>
          <w:color w:val="000000"/>
        </w:rPr>
      </w:pPr>
      <m:oMathPara>
        <m:oMath>
          <m:d>
            <m:dPr>
              <m:begChr m:val="{"/>
              <m:endChr m:val=""/>
              <m:ctrlPr>
                <w:rPr>
                  <w:rFonts w:ascii="Cambria Math" w:eastAsia="Cambria Math" w:hAnsi="Cambria Math" w:cs="Cambria Math"/>
                  <w:i/>
                  <w:color w:val="000000"/>
                  <w:sz w:val="18"/>
                </w:rPr>
              </m:ctrlPr>
            </m:dPr>
            <m:e>
              <m:eqArr>
                <m:eqArrPr>
                  <m:ctrlPr>
                    <w:rPr>
                      <w:rFonts w:ascii="Cambria Math" w:eastAsia="Cambria Math" w:hAnsi="Cambria Math" w:cs="Cambria Math"/>
                      <w:i/>
                      <w:color w:val="000000"/>
                      <w:sz w:val="18"/>
                    </w:rPr>
                  </m:ctrlPr>
                </m:eqArrPr>
                <m:e>
                  <m:r>
                    <w:rPr>
                      <w:rFonts w:ascii="Cambria Math" w:eastAsia="Cambria Math" w:hAnsi="Cambria Math" w:cs="Cambria Math"/>
                      <w:color w:val="000000"/>
                      <w:sz w:val="18"/>
                    </w:rPr>
                    <m:t xml:space="preserve">if </m:t>
                  </m:r>
                  <m:sSub>
                    <m:sSubPr>
                      <m:ctrlPr>
                        <w:rPr>
                          <w:rFonts w:ascii="Cambria Math" w:eastAsia="Cambria Math" w:hAnsi="Cambria Math" w:cs="Cambria Math"/>
                          <w:i/>
                          <w:color w:val="000000"/>
                          <w:sz w:val="18"/>
                        </w:rPr>
                      </m:ctrlPr>
                    </m:sSubPr>
                    <m:e>
                      <m:r>
                        <w:rPr>
                          <w:rFonts w:ascii="Cambria Math" w:eastAsia="Cambria Math" w:hAnsi="Cambria Math" w:cs="Cambria Math"/>
                          <w:color w:val="000000"/>
                          <w:sz w:val="18"/>
                        </w:rPr>
                        <m:t>Access</m:t>
                      </m:r>
                    </m:e>
                    <m:sub>
                      <m:sSub>
                        <m:sSubPr>
                          <m:ctrlPr>
                            <w:rPr>
                              <w:rFonts w:ascii="Cambria Math" w:eastAsia="Cambria Math" w:hAnsi="Cambria Math" w:cs="Cambria Math"/>
                              <w:i/>
                              <w:color w:val="000000"/>
                              <w:sz w:val="18"/>
                            </w:rPr>
                          </m:ctrlPr>
                        </m:sSubPr>
                        <m:e>
                          <m:r>
                            <w:rPr>
                              <w:rFonts w:ascii="Cambria Math" w:eastAsia="Cambria Math" w:hAnsi="Cambria Math" w:cs="Cambria Math"/>
                              <w:color w:val="000000"/>
                              <w:sz w:val="18"/>
                            </w:rPr>
                            <m:t>facility</m:t>
                          </m:r>
                        </m:e>
                        <m:sub>
                          <m:r>
                            <w:rPr>
                              <w:rFonts w:ascii="Cambria Math" w:eastAsia="Cambria Math" w:hAnsi="Cambria Math" w:cs="Cambria Math"/>
                              <w:color w:val="000000"/>
                              <w:sz w:val="18"/>
                            </w:rPr>
                            <m:t>i</m:t>
                          </m:r>
                        </m:sub>
                      </m:sSub>
                    </m:sub>
                  </m:sSub>
                  <m:r>
                    <w:rPr>
                      <w:rFonts w:ascii="Cambria Math" w:eastAsia="Cambria Math" w:hAnsi="Cambria Math" w:cs="Cambria Math"/>
                      <w:color w:val="000000"/>
                      <w:sz w:val="18"/>
                    </w:rPr>
                    <m:t>≥80% Facility=1,</m:t>
                  </m:r>
                </m:e>
                <m:e>
                  <m:r>
                    <w:rPr>
                      <w:rFonts w:ascii="Cambria Math" w:eastAsia="Cambria Math" w:hAnsi="Cambria Math" w:cs="Cambria Math"/>
                      <w:color w:val="FFFFFF" w:themeColor="background1"/>
                      <w:sz w:val="18"/>
                    </w:rPr>
                    <m:t>0</m:t>
                  </m:r>
                </m:e>
                <m:e>
                  <m:r>
                    <w:rPr>
                      <w:rFonts w:ascii="Cambria Math" w:eastAsia="Cambria Math" w:hAnsi="Cambria Math" w:cs="Cambria Math"/>
                      <w:color w:val="000000"/>
                      <w:sz w:val="18"/>
                    </w:rPr>
                    <m:t>otherwise, Facility=0</m:t>
                  </m:r>
                </m:e>
              </m:eqArr>
            </m:e>
          </m:d>
        </m:oMath>
      </m:oMathPara>
    </w:p>
    <w:p w14:paraId="5E1015F1" w14:textId="4CC794D6" w:rsidR="001C6B93" w:rsidRPr="00485F66" w:rsidRDefault="009C459F" w:rsidP="00F96E11">
      <w:pPr>
        <w:pBdr>
          <w:top w:val="nil"/>
          <w:left w:val="nil"/>
          <w:bottom w:val="nil"/>
          <w:right w:val="nil"/>
          <w:between w:val="nil"/>
        </w:pBdr>
        <w:spacing w:after="120" w:line="240" w:lineRule="auto"/>
        <w:ind w:left="720"/>
        <w:jc w:val="both"/>
        <w:rPr>
          <w:rFonts w:eastAsia="Cambria Math" w:cs="Cambria Math"/>
          <w:color w:val="000000"/>
        </w:rPr>
      </w:pPr>
      <w:r w:rsidRPr="00485F66">
        <w:rPr>
          <w:rFonts w:eastAsia="Cambria Math" w:cs="Cambria Math"/>
          <w:color w:val="000000"/>
        </w:rPr>
        <w:t xml:space="preserve">This threshold </w:t>
      </w:r>
      <w:r w:rsidR="00FE01F0" w:rsidRPr="00485F66">
        <w:rPr>
          <w:rFonts w:eastAsia="Cambria Math" w:cs="Cambria Math"/>
          <w:color w:val="000000"/>
        </w:rPr>
        <w:t>is agreed</w:t>
      </w:r>
      <w:r w:rsidR="00354278" w:rsidRPr="00485F66">
        <w:rPr>
          <w:rFonts w:eastAsia="Cambria Math" w:cs="Cambria Math"/>
          <w:color w:val="000000"/>
        </w:rPr>
        <w:t xml:space="preserve"> upon</w:t>
      </w:r>
      <w:r w:rsidR="00FE01F0" w:rsidRPr="00485F66">
        <w:rPr>
          <w:rFonts w:eastAsia="Cambria Math" w:cs="Cambria Math"/>
          <w:color w:val="000000"/>
        </w:rPr>
        <w:t xml:space="preserve"> and </w:t>
      </w:r>
      <w:r w:rsidRPr="00485F66">
        <w:rPr>
          <w:rFonts w:eastAsia="Cambria Math" w:cs="Cambria Math"/>
          <w:color w:val="000000"/>
        </w:rPr>
        <w:t xml:space="preserve">adopted </w:t>
      </w:r>
      <w:r w:rsidR="00354278" w:rsidRPr="00485F66">
        <w:rPr>
          <w:rFonts w:eastAsia="Cambria Math" w:cs="Cambria Math"/>
          <w:color w:val="000000"/>
        </w:rPr>
        <w:t xml:space="preserve">by </w:t>
      </w:r>
      <w:r w:rsidRPr="00485F66">
        <w:rPr>
          <w:rFonts w:eastAsia="Cambria Math" w:cs="Cambria Math"/>
          <w:color w:val="000000"/>
        </w:rPr>
        <w:t xml:space="preserve">the WHO Global Action Plan on Non-Communicable Diseases </w:t>
      </w:r>
      <w:r w:rsidR="00FE01F0" w:rsidRPr="00485F66">
        <w:rPr>
          <w:rFonts w:eastAsia="Cambria Math" w:cs="Cambria Math"/>
          <w:color w:val="000000"/>
        </w:rPr>
        <w:t xml:space="preserve">and used as a reference </w:t>
      </w:r>
      <w:r w:rsidRPr="00485F66">
        <w:rPr>
          <w:rFonts w:eastAsia="Cambria Math" w:cs="Cambria Math"/>
          <w:color w:val="000000"/>
        </w:rPr>
        <w:t xml:space="preserve">in this proposed methodology.  </w:t>
      </w:r>
    </w:p>
    <w:p w14:paraId="1FA5A2EC" w14:textId="77777777" w:rsidR="00B17716" w:rsidRPr="00485F66" w:rsidRDefault="00B17716" w:rsidP="00F96E11">
      <w:pPr>
        <w:pBdr>
          <w:top w:val="nil"/>
          <w:left w:val="nil"/>
          <w:bottom w:val="nil"/>
          <w:right w:val="nil"/>
          <w:between w:val="nil"/>
        </w:pBdr>
        <w:spacing w:after="120" w:line="240" w:lineRule="auto"/>
        <w:ind w:left="720"/>
        <w:jc w:val="both"/>
        <w:rPr>
          <w:rFonts w:eastAsia="Cambria Math" w:cs="Cambria Math"/>
          <w:color w:val="000000"/>
          <w:sz w:val="2"/>
        </w:rPr>
      </w:pPr>
    </w:p>
    <w:p w14:paraId="110D91DD" w14:textId="60A82239" w:rsidR="001C6B93" w:rsidRPr="00485F66" w:rsidRDefault="001C6B93" w:rsidP="00F96E11">
      <w:p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 xml:space="preserve">Step </w:t>
      </w:r>
      <w:r w:rsidR="00507DA0" w:rsidRPr="00485F66">
        <w:rPr>
          <w:rFonts w:eastAsia="Times New Roman" w:cs="Times New Roman"/>
          <w:b/>
          <w:bCs/>
          <w:color w:val="4A4A4A"/>
          <w:lang w:eastAsia="en-GB"/>
        </w:rPr>
        <w:t>7</w:t>
      </w:r>
      <w:r w:rsidRPr="00485F66">
        <w:rPr>
          <w:rFonts w:eastAsia="Times New Roman" w:cs="Times New Roman"/>
          <w:b/>
          <w:bCs/>
          <w:color w:val="4A4A4A"/>
          <w:lang w:eastAsia="en-GB"/>
        </w:rPr>
        <w:t xml:space="preserve">: </w:t>
      </w:r>
      <w:r w:rsidR="00507DA0" w:rsidRPr="00485F66">
        <w:rPr>
          <w:rFonts w:eastAsia="Times New Roman" w:cs="Times New Roman"/>
          <w:b/>
          <w:bCs/>
          <w:color w:val="4A4A4A"/>
          <w:lang w:eastAsia="en-GB"/>
        </w:rPr>
        <w:t>Calculate the indicator as the proportion of facilities with accessible medicines in the country</w:t>
      </w:r>
    </w:p>
    <w:p w14:paraId="78A88BD3" w14:textId="3A9EBC55" w:rsidR="00AD5239" w:rsidRPr="00485F66" w:rsidRDefault="00FE01F0" w:rsidP="00F96E11">
      <w:pPr>
        <w:spacing w:after="120" w:line="240" w:lineRule="auto"/>
        <w:jc w:val="both"/>
        <w:rPr>
          <w:rFonts w:eastAsia="Cambria Math" w:cs="Cambria Math"/>
          <w:color w:val="000000"/>
        </w:rPr>
      </w:pPr>
      <w:r w:rsidRPr="00485F66">
        <w:rPr>
          <w:rFonts w:eastAsia="Cambria Math" w:cs="Cambria Math"/>
          <w:color w:val="000000"/>
        </w:rPr>
        <w:t>The p</w:t>
      </w:r>
      <w:r w:rsidR="00507DA0" w:rsidRPr="00485F66">
        <w:rPr>
          <w:rFonts w:eastAsia="Cambria Math" w:cs="Cambria Math"/>
          <w:color w:val="000000"/>
        </w:rPr>
        <w:t>roportion of facilities that have reached the 80% threshold is calculated out of the total number of surveyed facilities in a selected country using the following formula:</w:t>
      </w:r>
    </w:p>
    <w:p w14:paraId="74C1C962" w14:textId="73DE751F" w:rsidR="00F150E6" w:rsidRPr="00485F66" w:rsidRDefault="008459A4" w:rsidP="00F96E11">
      <w:pPr>
        <w:pBdr>
          <w:top w:val="nil"/>
          <w:left w:val="nil"/>
          <w:bottom w:val="nil"/>
          <w:right w:val="nil"/>
          <w:between w:val="nil"/>
        </w:pBdr>
        <w:spacing w:after="120" w:line="240" w:lineRule="auto"/>
        <w:jc w:val="both"/>
        <w:rPr>
          <w:rFonts w:eastAsia="Cambria Math" w:cs="Cambria Math"/>
          <w:color w:val="000000"/>
        </w:rPr>
      </w:pPr>
      <m:oMathPara>
        <m:oMath>
          <m:sSub>
            <m:sSubPr>
              <m:ctrlPr>
                <w:rPr>
                  <w:rFonts w:ascii="Cambria Math" w:eastAsia="Cambria Math" w:hAnsi="Cambria Math" w:cs="Cambria Math"/>
                  <w:i/>
                  <w:color w:val="000000"/>
                  <w:sz w:val="18"/>
                </w:rPr>
              </m:ctrlPr>
            </m:sSubPr>
            <m:e>
              <m:r>
                <w:rPr>
                  <w:rFonts w:ascii="Cambria Math" w:eastAsia="Cambria Math" w:hAnsi="Cambria Math" w:cs="Cambria Math"/>
                  <w:color w:val="000000"/>
                  <w:sz w:val="18"/>
                </w:rPr>
                <m:t>SDG</m:t>
              </m:r>
            </m:e>
            <m:sub>
              <m:r>
                <w:rPr>
                  <w:rFonts w:ascii="Cambria Math" w:eastAsia="Cambria Math" w:hAnsi="Cambria Math" w:cs="Cambria Math"/>
                  <w:color w:val="000000"/>
                  <w:sz w:val="18"/>
                </w:rPr>
                <m:t>3.b.3</m:t>
              </m:r>
            </m:sub>
          </m:sSub>
          <m:r>
            <w:rPr>
              <w:rFonts w:ascii="Cambria Math" w:eastAsia="Cambria Math" w:hAnsi="Cambria Math" w:cs="Cambria Math"/>
              <w:color w:val="000000"/>
              <w:sz w:val="18"/>
            </w:rPr>
            <m:t>=</m:t>
          </m:r>
          <m:f>
            <m:fPr>
              <m:ctrlPr>
                <w:rPr>
                  <w:rFonts w:ascii="Cambria Math" w:eastAsia="Cambria Math" w:hAnsi="Cambria Math" w:cs="Cambria Math"/>
                  <w:color w:val="000000"/>
                  <w:sz w:val="18"/>
                </w:rPr>
              </m:ctrlPr>
            </m:fPr>
            <m:num>
              <m:r>
                <w:rPr>
                  <w:rFonts w:ascii="Cambria Math" w:eastAsia="Cambria Math" w:hAnsi="Cambria Math" w:cs="Cambria Math"/>
                  <w:color w:val="000000"/>
                  <w:sz w:val="18"/>
                </w:rPr>
                <m:t>Facilities with available and affordable basket of medicines (n)</m:t>
              </m:r>
            </m:num>
            <m:den>
              <m:r>
                <w:rPr>
                  <w:rFonts w:ascii="Cambria Math" w:eastAsia="Cambria Math" w:hAnsi="Cambria Math" w:cs="Cambria Math"/>
                  <w:color w:val="000000"/>
                  <w:sz w:val="18"/>
                </w:rPr>
                <m:t>Surveyed Facilities (n)</m:t>
              </m:r>
            </m:den>
          </m:f>
        </m:oMath>
      </m:oMathPara>
    </w:p>
    <w:p w14:paraId="3840189A" w14:textId="3C677008" w:rsidR="009E295C" w:rsidRPr="00485F66" w:rsidRDefault="00AB6E8B" w:rsidP="00F96E11">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The computed indicator is a proportion </w:t>
      </w:r>
      <w:r w:rsidR="00C042AE" w:rsidRPr="00485F66">
        <w:rPr>
          <w:rFonts w:eastAsia="Cambria Math" w:cs="Cambria Math"/>
          <w:color w:val="000000"/>
        </w:rPr>
        <w:t>that will then be converted into a percentage between 0-100%</w:t>
      </w:r>
      <w:r w:rsidRPr="00485F66">
        <w:rPr>
          <w:rFonts w:eastAsia="Cambria Math" w:cs="Cambria Math"/>
          <w:color w:val="000000"/>
        </w:rPr>
        <w:t>.</w:t>
      </w:r>
    </w:p>
    <w:p w14:paraId="75B29AD3" w14:textId="2AE5AC51" w:rsidR="00507DA0" w:rsidRPr="00485F66" w:rsidRDefault="00507DA0" w:rsidP="00F96E11">
      <w:pPr>
        <w:spacing w:after="120" w:line="240" w:lineRule="auto"/>
        <w:jc w:val="both"/>
        <w:rPr>
          <w:rFonts w:eastAsia="Times New Roman" w:cs="Times New Roman"/>
          <w:b/>
          <w:bCs/>
          <w:color w:val="4A4A4A"/>
          <w:lang w:eastAsia="en-GB"/>
        </w:rPr>
      </w:pPr>
      <w:r w:rsidRPr="00485F66">
        <w:rPr>
          <w:rFonts w:eastAsia="Times New Roman" w:cs="Times New Roman"/>
          <w:b/>
          <w:bCs/>
          <w:color w:val="4A4A4A"/>
          <w:lang w:eastAsia="en-GB"/>
        </w:rPr>
        <w:t xml:space="preserve">Step 8: </w:t>
      </w:r>
      <w:r w:rsidR="00FE01F0" w:rsidRPr="00485F66">
        <w:rPr>
          <w:rFonts w:eastAsia="Times New Roman" w:cs="Times New Roman"/>
          <w:b/>
          <w:bCs/>
          <w:color w:val="4A4A4A"/>
          <w:lang w:eastAsia="en-GB"/>
        </w:rPr>
        <w:t>Consideration of quality of the accessible medicines in the country using</w:t>
      </w:r>
      <w:r w:rsidRPr="00485F66">
        <w:rPr>
          <w:rFonts w:eastAsia="Times New Roman" w:cs="Times New Roman"/>
          <w:b/>
          <w:bCs/>
          <w:color w:val="4A4A4A"/>
          <w:lang w:eastAsia="en-GB"/>
        </w:rPr>
        <w:t xml:space="preserve"> a pro</w:t>
      </w:r>
      <w:r w:rsidR="00FE01F0" w:rsidRPr="00485F66">
        <w:rPr>
          <w:rFonts w:eastAsia="Times New Roman" w:cs="Times New Roman"/>
          <w:b/>
          <w:bCs/>
          <w:color w:val="4A4A4A"/>
          <w:lang w:eastAsia="en-GB"/>
        </w:rPr>
        <w:t xml:space="preserve">xy </w:t>
      </w:r>
    </w:p>
    <w:p w14:paraId="3D58C602" w14:textId="77ED5401" w:rsidR="00561185" w:rsidRPr="00485F66" w:rsidRDefault="77395C2D" w:rsidP="00F96E11">
      <w:pPr>
        <w:shd w:val="clear" w:color="auto" w:fill="FFFFFF" w:themeFill="background1"/>
        <w:spacing w:after="120" w:line="240" w:lineRule="auto"/>
        <w:jc w:val="both"/>
        <w:rPr>
          <w:rFonts w:eastAsia="Cambria Math" w:cs="Cambria Math"/>
          <w:color w:val="000000" w:themeColor="text1"/>
        </w:rPr>
      </w:pPr>
      <w:r w:rsidRPr="00485F66">
        <w:rPr>
          <w:rFonts w:eastAsia="Cambria Math" w:cs="Cambria Math"/>
          <w:color w:val="000000" w:themeColor="text1"/>
        </w:rPr>
        <w:t>The country level of medicine regulatory capacity assessed using the WHO NRA GBT is used as a proxy of the quality of the accessible medicines. The countries with a WHO Listed Authority (</w:t>
      </w:r>
      <w:r w:rsidR="00612DD8" w:rsidRPr="00485F66">
        <w:rPr>
          <w:rFonts w:eastAsia="Cambria Math" w:cs="Cambria Math"/>
          <w:color w:val="000000" w:themeColor="text1"/>
        </w:rPr>
        <w:t>WLA corresponding</w:t>
      </w:r>
      <w:r w:rsidRPr="00485F66">
        <w:rPr>
          <w:rFonts w:eastAsia="Cambria Math" w:cs="Cambria Math"/>
          <w:color w:val="000000" w:themeColor="text1"/>
        </w:rPr>
        <w:t xml:space="preserve"> to maturity level </w:t>
      </w:r>
      <w:r w:rsidR="007B3D85" w:rsidRPr="00485F66">
        <w:rPr>
          <w:rFonts w:eastAsia="Cambria Math" w:cs="Cambria Math"/>
          <w:color w:val="000000" w:themeColor="text1"/>
        </w:rPr>
        <w:t xml:space="preserve">3 </w:t>
      </w:r>
      <w:r w:rsidRPr="00485F66">
        <w:rPr>
          <w:rFonts w:eastAsia="Cambria Math" w:cs="Cambria Math"/>
          <w:color w:val="000000" w:themeColor="text1"/>
        </w:rPr>
        <w:t xml:space="preserve">and above) </w:t>
      </w:r>
      <w:r w:rsidR="00612DD8" w:rsidRPr="00485F66">
        <w:rPr>
          <w:rFonts w:eastAsia="Cambria Math" w:cs="Cambria Math"/>
          <w:color w:val="000000" w:themeColor="text1"/>
        </w:rPr>
        <w:t>will be</w:t>
      </w:r>
      <w:r w:rsidRPr="00485F66">
        <w:rPr>
          <w:rFonts w:eastAsia="Cambria Math" w:cs="Cambria Math"/>
          <w:color w:val="000000" w:themeColor="text1"/>
        </w:rPr>
        <w:t xml:space="preserve"> flagged to indicate the assured quality component.</w:t>
      </w:r>
    </w:p>
    <w:p w14:paraId="588482F2" w14:textId="77777777" w:rsidR="00FE01F0" w:rsidRPr="00485F66" w:rsidRDefault="00FE01F0" w:rsidP="00F96E11">
      <w:pPr>
        <w:shd w:val="clear" w:color="auto" w:fill="FFFFFF" w:themeFill="background1"/>
        <w:spacing w:after="120" w:line="240" w:lineRule="auto"/>
        <w:jc w:val="both"/>
        <w:rPr>
          <w:rFonts w:eastAsia="Cambria Math" w:cs="Cambria Math"/>
          <w:color w:val="000000" w:themeColor="text1"/>
        </w:rPr>
      </w:pPr>
    </w:p>
    <w:p w14:paraId="7E79C8AE" w14:textId="77777777" w:rsidR="00E14BCE"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Disaggregation:</w:t>
      </w:r>
    </w:p>
    <w:p w14:paraId="2114C90D" w14:textId="1C7951A6" w:rsidR="00E14BCE" w:rsidRPr="00485F66" w:rsidRDefault="77395C2D" w:rsidP="00F96E11">
      <w:pPr>
        <w:shd w:val="clear" w:color="auto" w:fill="FFFFFF" w:themeFill="background1"/>
        <w:spacing w:after="120" w:line="240" w:lineRule="auto"/>
        <w:jc w:val="both"/>
        <w:rPr>
          <w:rFonts w:eastAsia="Times New Roman" w:cs="Times New Roman"/>
          <w:sz w:val="21"/>
          <w:szCs w:val="21"/>
          <w:lang w:eastAsia="en-GB"/>
        </w:rPr>
      </w:pPr>
      <w:r w:rsidRPr="00485F66">
        <w:rPr>
          <w:rFonts w:eastAsia="Times New Roman" w:cs="Times New Roman"/>
          <w:sz w:val="21"/>
          <w:szCs w:val="21"/>
          <w:lang w:eastAsia="en-GB"/>
        </w:rPr>
        <w:t xml:space="preserve">The proposed indicator will allow </w:t>
      </w:r>
      <w:r w:rsidR="00C8794C" w:rsidRPr="00485F66">
        <w:rPr>
          <w:rFonts w:eastAsia="Times New Roman" w:cs="Times New Roman"/>
          <w:sz w:val="21"/>
          <w:szCs w:val="21"/>
          <w:lang w:eastAsia="en-GB"/>
        </w:rPr>
        <w:t xml:space="preserve">for </w:t>
      </w:r>
      <w:r w:rsidRPr="00485F66">
        <w:rPr>
          <w:rFonts w:eastAsia="Times New Roman" w:cs="Times New Roman"/>
          <w:sz w:val="21"/>
          <w:szCs w:val="21"/>
          <w:lang w:eastAsia="en-GB"/>
        </w:rPr>
        <w:t>the following disaggregation:</w:t>
      </w:r>
    </w:p>
    <w:p w14:paraId="3571CBB8" w14:textId="16CBDD33" w:rsidR="00E14BCE" w:rsidRPr="00485F66" w:rsidRDefault="77395C2D" w:rsidP="00F96E11">
      <w:pPr>
        <w:pStyle w:val="ListParagraph"/>
        <w:numPr>
          <w:ilvl w:val="0"/>
          <w:numId w:val="18"/>
        </w:numPr>
        <w:shd w:val="clear" w:color="auto" w:fill="FFFFFF" w:themeFill="background1"/>
        <w:spacing w:after="120" w:line="240" w:lineRule="auto"/>
        <w:jc w:val="both"/>
        <w:rPr>
          <w:rFonts w:eastAsia="Times New Roman" w:cs="Times New Roman"/>
          <w:sz w:val="21"/>
          <w:szCs w:val="21"/>
          <w:lang w:eastAsia="en-GB"/>
        </w:rPr>
      </w:pPr>
      <w:r w:rsidRPr="00485F66">
        <w:rPr>
          <w:rFonts w:eastAsia="Times New Roman" w:cs="Times New Roman"/>
          <w:sz w:val="21"/>
          <w:szCs w:val="21"/>
          <w:lang w:eastAsia="en-GB"/>
        </w:rPr>
        <w:t>public/private/mission sectors facilities (managing authority)</w:t>
      </w:r>
    </w:p>
    <w:p w14:paraId="69A11D12" w14:textId="79E85CBD" w:rsidR="00E14BCE" w:rsidRPr="00485F66" w:rsidRDefault="77395C2D" w:rsidP="00F96E11">
      <w:pPr>
        <w:pStyle w:val="ListParagraph"/>
        <w:numPr>
          <w:ilvl w:val="0"/>
          <w:numId w:val="18"/>
        </w:numPr>
        <w:shd w:val="clear" w:color="auto" w:fill="FFFFFF" w:themeFill="background1"/>
        <w:spacing w:after="120" w:line="240" w:lineRule="auto"/>
        <w:jc w:val="both"/>
        <w:rPr>
          <w:rFonts w:eastAsia="Times New Roman" w:cs="Times New Roman"/>
          <w:sz w:val="21"/>
          <w:szCs w:val="21"/>
          <w:lang w:eastAsia="en-GB"/>
        </w:rPr>
      </w:pPr>
      <w:r w:rsidRPr="00485F66">
        <w:rPr>
          <w:rFonts w:eastAsia="Times New Roman" w:cs="Times New Roman"/>
          <w:sz w:val="21"/>
          <w:szCs w:val="21"/>
          <w:lang w:eastAsia="en-GB"/>
        </w:rPr>
        <w:t>geography – rural/urban areas</w:t>
      </w:r>
    </w:p>
    <w:p w14:paraId="64E52376" w14:textId="1D1E2886" w:rsidR="00E14BCE" w:rsidRPr="00485F66" w:rsidRDefault="77395C2D" w:rsidP="00F96E11">
      <w:pPr>
        <w:pStyle w:val="ListParagraph"/>
        <w:numPr>
          <w:ilvl w:val="0"/>
          <w:numId w:val="18"/>
        </w:numPr>
        <w:shd w:val="clear" w:color="auto" w:fill="FFFFFF" w:themeFill="background1"/>
        <w:spacing w:after="120" w:line="240" w:lineRule="auto"/>
        <w:jc w:val="both"/>
        <w:rPr>
          <w:rFonts w:eastAsia="Times New Roman" w:cs="Times New Roman"/>
          <w:sz w:val="21"/>
          <w:szCs w:val="21"/>
          <w:lang w:eastAsia="en-GB"/>
        </w:rPr>
      </w:pPr>
      <w:r w:rsidRPr="00485F66">
        <w:rPr>
          <w:rFonts w:eastAsia="Times New Roman" w:cs="Times New Roman"/>
          <w:sz w:val="21"/>
          <w:szCs w:val="21"/>
          <w:lang w:eastAsia="en-GB"/>
        </w:rPr>
        <w:t xml:space="preserve">therapeutic group </w:t>
      </w:r>
    </w:p>
    <w:p w14:paraId="458E6399" w14:textId="77777777" w:rsidR="00E14BCE" w:rsidRPr="00485F66" w:rsidRDefault="77395C2D" w:rsidP="00F96E11">
      <w:pPr>
        <w:pStyle w:val="ListParagraph"/>
        <w:numPr>
          <w:ilvl w:val="0"/>
          <w:numId w:val="18"/>
        </w:numPr>
        <w:shd w:val="clear" w:color="auto" w:fill="FFFFFF" w:themeFill="background1"/>
        <w:spacing w:after="120" w:line="240" w:lineRule="auto"/>
        <w:jc w:val="both"/>
        <w:rPr>
          <w:rFonts w:eastAsia="Times New Roman" w:cs="Times New Roman"/>
          <w:sz w:val="21"/>
          <w:szCs w:val="21"/>
          <w:lang w:eastAsia="en-GB"/>
        </w:rPr>
      </w:pPr>
      <w:r w:rsidRPr="00485F66">
        <w:rPr>
          <w:rFonts w:eastAsia="Times New Roman" w:cs="Times New Roman"/>
          <w:sz w:val="21"/>
          <w:szCs w:val="21"/>
          <w:lang w:eastAsia="en-GB"/>
        </w:rPr>
        <w:t>facility type (pharmacy/hospital)</w:t>
      </w:r>
    </w:p>
    <w:p w14:paraId="3314F185" w14:textId="66BCB1D5" w:rsidR="00495976" w:rsidRPr="00485F66" w:rsidRDefault="77395C2D" w:rsidP="00F96E11">
      <w:pPr>
        <w:pStyle w:val="ListParagraph"/>
        <w:numPr>
          <w:ilvl w:val="0"/>
          <w:numId w:val="18"/>
        </w:numPr>
        <w:shd w:val="clear" w:color="auto" w:fill="FFFFFF" w:themeFill="background1"/>
        <w:spacing w:after="120" w:line="240" w:lineRule="auto"/>
        <w:jc w:val="both"/>
        <w:rPr>
          <w:rFonts w:eastAsia="Times New Roman" w:cs="Times New Roman"/>
          <w:b/>
          <w:bCs/>
          <w:color w:val="4A4A4A"/>
          <w:sz w:val="21"/>
          <w:szCs w:val="21"/>
          <w:lang w:eastAsia="en-GB"/>
        </w:rPr>
      </w:pPr>
      <w:r w:rsidRPr="00485F66">
        <w:rPr>
          <w:rFonts w:eastAsia="Times New Roman" w:cs="Times New Roman"/>
          <w:sz w:val="21"/>
          <w:szCs w:val="21"/>
          <w:lang w:eastAsia="en-GB"/>
        </w:rPr>
        <w:t>medicine</w:t>
      </w:r>
      <w:r w:rsidR="00612DD8" w:rsidRPr="00485F66">
        <w:rPr>
          <w:rFonts w:eastAsia="Times New Roman" w:cs="Times New Roman"/>
          <w:sz w:val="21"/>
          <w:szCs w:val="21"/>
          <w:lang w:eastAsia="en-GB"/>
        </w:rPr>
        <w:t>.</w:t>
      </w:r>
    </w:p>
    <w:p w14:paraId="753E129C" w14:textId="77777777" w:rsidR="00C8794C" w:rsidRPr="00485F66" w:rsidRDefault="00C8794C" w:rsidP="00F96E11">
      <w:pPr>
        <w:shd w:val="clear" w:color="auto" w:fill="FFFFFF" w:themeFill="background1"/>
        <w:spacing w:after="120" w:line="240" w:lineRule="auto"/>
        <w:jc w:val="both"/>
        <w:rPr>
          <w:rFonts w:eastAsia="Times New Roman" w:cs="Times New Roman"/>
          <w:b/>
          <w:bCs/>
          <w:color w:val="4A4A4A"/>
          <w:sz w:val="24"/>
          <w:szCs w:val="24"/>
          <w:lang w:eastAsia="en-GB"/>
        </w:rPr>
      </w:pPr>
    </w:p>
    <w:p w14:paraId="4DF3B870" w14:textId="77777777" w:rsidR="0058556D"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lastRenderedPageBreak/>
        <w:t>Treatment of missing values:</w:t>
      </w:r>
    </w:p>
    <w:p w14:paraId="27CE89F8" w14:textId="71CF3EA7" w:rsidR="00E14BCE" w:rsidRPr="00485F66" w:rsidRDefault="77395C2D" w:rsidP="00F96E11">
      <w:pPr>
        <w:numPr>
          <w:ilvl w:val="0"/>
          <w:numId w:val="1"/>
        </w:numPr>
        <w:shd w:val="clear" w:color="auto" w:fill="FFFFFF" w:themeFill="background1"/>
        <w:spacing w:after="120" w:line="240" w:lineRule="auto"/>
        <w:ind w:left="495"/>
        <w:jc w:val="both"/>
        <w:outlineLvl w:val="4"/>
        <w:rPr>
          <w:rFonts w:eastAsia="Times New Roman" w:cs="Times New Roman"/>
          <w:color w:val="1C75BC"/>
          <w:sz w:val="21"/>
          <w:szCs w:val="21"/>
          <w:lang w:eastAsia="en-GB"/>
        </w:rPr>
      </w:pPr>
      <w:r w:rsidRPr="00485F66">
        <w:rPr>
          <w:rFonts w:eastAsia="Times New Roman" w:cs="Times New Roman"/>
          <w:color w:val="1C75BC"/>
          <w:sz w:val="21"/>
          <w:szCs w:val="21"/>
          <w:lang w:eastAsia="en-GB"/>
        </w:rPr>
        <w:t>At country level</w:t>
      </w:r>
    </w:p>
    <w:p w14:paraId="695CEB8C" w14:textId="6FFF21CD" w:rsidR="00C8794C" w:rsidRPr="00485F66" w:rsidRDefault="77395C2D" w:rsidP="00F96E11">
      <w:pPr>
        <w:shd w:val="clear" w:color="auto" w:fill="FFFFFF" w:themeFill="background1"/>
        <w:spacing w:after="120" w:line="240" w:lineRule="auto"/>
        <w:jc w:val="both"/>
        <w:rPr>
          <w:rFonts w:eastAsia="Cambria Math" w:cs="Cambria Math"/>
          <w:color w:val="000000" w:themeColor="text1"/>
        </w:rPr>
      </w:pPr>
      <w:r w:rsidRPr="00485F66">
        <w:rPr>
          <w:rFonts w:eastAsia="Cambria Math" w:cs="Cambria Math"/>
          <w:color w:val="000000" w:themeColor="text1"/>
        </w:rPr>
        <w:t xml:space="preserve">Treatment of missing values has already been partially addressed. In particular, when a medicine is not available, its price cannot be collected. </w:t>
      </w:r>
      <w:r w:rsidR="00C8794C" w:rsidRPr="00485F66">
        <w:rPr>
          <w:rFonts w:eastAsia="Cambria Math" w:cs="Cambria Math"/>
          <w:color w:val="000000" w:themeColor="text1"/>
        </w:rPr>
        <w:t>For this reason, missing price values are considered as the medicine not being available and therefore not accessible (access = 0).</w:t>
      </w:r>
    </w:p>
    <w:p w14:paraId="6C21CE5C" w14:textId="4BDC35F6" w:rsidR="00877939" w:rsidRPr="00485F66" w:rsidRDefault="77395C2D" w:rsidP="00F96E11">
      <w:pPr>
        <w:shd w:val="clear" w:color="auto" w:fill="FFFFFF" w:themeFill="background1"/>
        <w:spacing w:after="120" w:line="240" w:lineRule="auto"/>
        <w:jc w:val="both"/>
        <w:rPr>
          <w:rFonts w:eastAsia="Cambria Math" w:cs="Cambria Math"/>
          <w:color w:val="000000" w:themeColor="text1"/>
        </w:rPr>
      </w:pPr>
      <w:r w:rsidRPr="00485F66">
        <w:rPr>
          <w:rFonts w:eastAsia="Cambria Math" w:cs="Cambria Math"/>
          <w:color w:val="000000" w:themeColor="text1"/>
        </w:rPr>
        <w:t>Observing missing values for availability and affordability simultaneously</w:t>
      </w:r>
      <w:r w:rsidR="00C8794C" w:rsidRPr="00485F66">
        <w:rPr>
          <w:rFonts w:eastAsia="Cambria Math" w:cs="Cambria Math"/>
          <w:color w:val="000000" w:themeColor="text1"/>
        </w:rPr>
        <w:t xml:space="preserve"> indicates </w:t>
      </w:r>
      <w:r w:rsidRPr="00485F66">
        <w:rPr>
          <w:rFonts w:eastAsia="Cambria Math" w:cs="Cambria Math"/>
          <w:color w:val="000000" w:themeColor="text1"/>
        </w:rPr>
        <w:t xml:space="preserve">that these medicines are not provided at all in the surveyed facility. </w:t>
      </w:r>
      <w:r w:rsidR="00C8794C" w:rsidRPr="00485F66">
        <w:rPr>
          <w:rFonts w:eastAsia="Cambria Math" w:cs="Cambria Math"/>
          <w:color w:val="000000" w:themeColor="text1"/>
        </w:rPr>
        <w:t xml:space="preserve">For example, in </w:t>
      </w:r>
      <w:r w:rsidRPr="00485F66">
        <w:rPr>
          <w:rFonts w:eastAsia="Cambria Math" w:cs="Cambria Math"/>
          <w:color w:val="000000" w:themeColor="text1"/>
        </w:rPr>
        <w:t xml:space="preserve">some countries medicines for in-patient care (mostly in injectable forms) are provided only in hospitals. In this case, the procedure </w:t>
      </w:r>
      <w:r w:rsidR="003366FE" w:rsidRPr="00485F66">
        <w:rPr>
          <w:rFonts w:eastAsia="Cambria Math" w:cs="Cambria Math"/>
          <w:color w:val="000000" w:themeColor="text1"/>
        </w:rPr>
        <w:t>for computing the</w:t>
      </w:r>
      <w:r w:rsidRPr="00485F66">
        <w:rPr>
          <w:rFonts w:eastAsia="Cambria Math" w:cs="Cambria Math"/>
          <w:color w:val="000000" w:themeColor="text1"/>
        </w:rPr>
        <w:t xml:space="preserve"> indicator is the same except that:</w:t>
      </w:r>
    </w:p>
    <w:p w14:paraId="15EDA1EE" w14:textId="5A0F035F" w:rsidR="00877939" w:rsidRPr="00485F66" w:rsidRDefault="77395C2D" w:rsidP="00F96E11">
      <w:pPr>
        <w:pStyle w:val="ListParagraph"/>
        <w:numPr>
          <w:ilvl w:val="0"/>
          <w:numId w:val="17"/>
        </w:numPr>
        <w:shd w:val="clear" w:color="auto" w:fill="FFFFFF" w:themeFill="background1"/>
        <w:spacing w:after="120" w:line="240" w:lineRule="auto"/>
        <w:jc w:val="both"/>
        <w:rPr>
          <w:rFonts w:eastAsia="Times New Roman" w:cs="Times New Roman"/>
          <w:b/>
          <w:bCs/>
          <w:color w:val="4A4A4A"/>
          <w:sz w:val="21"/>
          <w:szCs w:val="21"/>
          <w:lang w:eastAsia="en-GB"/>
        </w:rPr>
      </w:pPr>
      <w:r w:rsidRPr="00485F66">
        <w:rPr>
          <w:rFonts w:eastAsia="Cambria Math" w:cs="Cambria Math"/>
          <w:color w:val="000000" w:themeColor="text1"/>
        </w:rPr>
        <w:t>Medicines that are used for inpatient care are excluded from the analysis of the data collected in pharmacies</w:t>
      </w:r>
      <w:r w:rsidR="00F14020" w:rsidRPr="00485F66">
        <w:rPr>
          <w:rFonts w:eastAsia="Cambria Math" w:cs="Cambria Math"/>
          <w:color w:val="000000" w:themeColor="text1"/>
        </w:rPr>
        <w:t xml:space="preserve"> and other non-tertiary health care facilities</w:t>
      </w:r>
      <w:r w:rsidRPr="00485F66">
        <w:rPr>
          <w:rFonts w:eastAsia="Cambria Math" w:cs="Cambria Math"/>
          <w:color w:val="000000" w:themeColor="text1"/>
        </w:rPr>
        <w:t>, and</w:t>
      </w:r>
    </w:p>
    <w:p w14:paraId="2C36B133" w14:textId="6CFA87A5" w:rsidR="00877939" w:rsidRPr="00485F66" w:rsidRDefault="77395C2D" w:rsidP="00F96E11">
      <w:pPr>
        <w:pStyle w:val="ListParagraph"/>
        <w:numPr>
          <w:ilvl w:val="0"/>
          <w:numId w:val="17"/>
        </w:numPr>
        <w:shd w:val="clear" w:color="auto" w:fill="FFFFFF" w:themeFill="background1"/>
        <w:spacing w:after="120" w:line="240" w:lineRule="auto"/>
        <w:jc w:val="both"/>
        <w:rPr>
          <w:rFonts w:eastAsia="Times New Roman" w:cs="Times New Roman"/>
          <w:b/>
          <w:bCs/>
          <w:color w:val="4A4A4A"/>
          <w:sz w:val="21"/>
          <w:szCs w:val="21"/>
          <w:lang w:eastAsia="en-GB"/>
        </w:rPr>
      </w:pPr>
      <w:r w:rsidRPr="00485F66">
        <w:rPr>
          <w:rFonts w:eastAsia="Cambria Math" w:cs="Cambria Math"/>
          <w:color w:val="000000" w:themeColor="text1"/>
        </w:rPr>
        <w:t xml:space="preserve">Two </w:t>
      </w:r>
      <w:r w:rsidR="00F14020" w:rsidRPr="00485F66">
        <w:rPr>
          <w:rFonts w:eastAsia="Cambria Math" w:cs="Cambria Math"/>
          <w:color w:val="000000" w:themeColor="text1"/>
        </w:rPr>
        <w:t xml:space="preserve">different </w:t>
      </w:r>
      <w:r w:rsidRPr="00485F66">
        <w:rPr>
          <w:rFonts w:eastAsia="Cambria Math" w:cs="Cambria Math"/>
          <w:color w:val="000000" w:themeColor="text1"/>
        </w:rPr>
        <w:t xml:space="preserve">versions of weights are applied to the list of medicines for hospitals and for pharmacies. </w:t>
      </w:r>
    </w:p>
    <w:p w14:paraId="0C7A46CD" w14:textId="77777777" w:rsidR="00E14BCE" w:rsidRPr="00485F66" w:rsidRDefault="77395C2D" w:rsidP="00F96E11">
      <w:pPr>
        <w:numPr>
          <w:ilvl w:val="0"/>
          <w:numId w:val="1"/>
        </w:numPr>
        <w:shd w:val="clear" w:color="auto" w:fill="FFFFFF" w:themeFill="background1"/>
        <w:spacing w:after="120" w:line="240" w:lineRule="auto"/>
        <w:ind w:left="495"/>
        <w:jc w:val="both"/>
        <w:outlineLvl w:val="4"/>
        <w:rPr>
          <w:rFonts w:eastAsia="Times New Roman" w:cs="Times New Roman"/>
          <w:color w:val="1C75BC"/>
          <w:sz w:val="21"/>
          <w:szCs w:val="21"/>
          <w:lang w:eastAsia="en-GB"/>
        </w:rPr>
      </w:pPr>
      <w:r w:rsidRPr="00485F66">
        <w:rPr>
          <w:rFonts w:eastAsia="Times New Roman" w:cs="Times New Roman"/>
          <w:color w:val="1C75BC"/>
          <w:sz w:val="21"/>
          <w:szCs w:val="21"/>
          <w:lang w:eastAsia="en-GB"/>
        </w:rPr>
        <w:t>At regional and global levels</w:t>
      </w:r>
    </w:p>
    <w:p w14:paraId="17AEA44F" w14:textId="36118F4B" w:rsidR="003366FE" w:rsidRPr="00485F66" w:rsidRDefault="003366FE" w:rsidP="00F96E11">
      <w:pPr>
        <w:shd w:val="clear" w:color="auto" w:fill="FFFFFF"/>
        <w:spacing w:after="120" w:line="240" w:lineRule="auto"/>
        <w:jc w:val="both"/>
        <w:rPr>
          <w:rFonts w:ascii="Calibri" w:eastAsia="Cambria Math" w:hAnsi="Calibri" w:cs="Cambria Math"/>
          <w:color w:val="000000"/>
        </w:rPr>
      </w:pPr>
      <w:r w:rsidRPr="00485F66">
        <w:rPr>
          <w:rFonts w:ascii="Calibri" w:eastAsia="Cambria Math" w:hAnsi="Calibri" w:cs="Cambria Math"/>
          <w:color w:val="000000"/>
        </w:rPr>
        <w:t>When computing regional or global aggregates</w:t>
      </w:r>
      <w:r w:rsidR="007B3D85" w:rsidRPr="00485F66">
        <w:rPr>
          <w:rFonts w:ascii="Calibri" w:eastAsia="Cambria Math" w:hAnsi="Calibri" w:cs="Cambria Math"/>
          <w:color w:val="000000"/>
        </w:rPr>
        <w:t xml:space="preserve"> of indicator 3.b.3</w:t>
      </w:r>
      <w:r w:rsidRPr="00485F66">
        <w:rPr>
          <w:rFonts w:ascii="Calibri" w:eastAsia="Cambria Math" w:hAnsi="Calibri" w:cs="Cambria Math"/>
          <w:color w:val="000000"/>
        </w:rPr>
        <w:t xml:space="preserve">, it is possible to </w:t>
      </w:r>
      <w:r w:rsidR="007B3D85" w:rsidRPr="00485F66">
        <w:rPr>
          <w:rFonts w:ascii="Calibri" w:eastAsia="Cambria Math" w:hAnsi="Calibri" w:cs="Cambria Math"/>
          <w:color w:val="000000"/>
        </w:rPr>
        <w:t>accommodate missing values</w:t>
      </w:r>
      <w:r w:rsidRPr="00485F66">
        <w:rPr>
          <w:rFonts w:ascii="Calibri" w:eastAsia="Cambria Math" w:hAnsi="Calibri" w:cs="Cambria Math"/>
          <w:color w:val="000000"/>
        </w:rPr>
        <w:t xml:space="preserve"> from countries </w:t>
      </w:r>
      <w:r w:rsidR="007B3D85" w:rsidRPr="00485F66">
        <w:rPr>
          <w:rFonts w:ascii="Calibri" w:eastAsia="Cambria Math" w:hAnsi="Calibri" w:cs="Cambria Math"/>
          <w:color w:val="000000"/>
        </w:rPr>
        <w:t>resulting from</w:t>
      </w:r>
      <w:r w:rsidRPr="00485F66">
        <w:rPr>
          <w:rFonts w:ascii="Calibri" w:eastAsia="Cambria Math" w:hAnsi="Calibri" w:cs="Cambria Math"/>
          <w:color w:val="000000"/>
        </w:rPr>
        <w:t xml:space="preserve"> a lack of data collection for a given country in a given year. In order to calculate a regionally aggregated</w:t>
      </w:r>
      <w:r w:rsidR="007B3D85" w:rsidRPr="00485F66">
        <w:rPr>
          <w:rFonts w:ascii="Calibri" w:eastAsia="Cambria Math" w:hAnsi="Calibri" w:cs="Cambria Math"/>
          <w:color w:val="000000"/>
        </w:rPr>
        <w:t xml:space="preserve"> 3.b.3</w:t>
      </w:r>
      <w:r w:rsidRPr="00485F66">
        <w:rPr>
          <w:rFonts w:ascii="Calibri" w:eastAsia="Cambria Math" w:hAnsi="Calibri" w:cs="Cambria Math"/>
          <w:color w:val="000000"/>
        </w:rPr>
        <w:t xml:space="preserve"> indicator, a 5-year period of data collection will be used as a reference to identify the available indicators for all the countries in the region. If during the defined 5-year period, one country of the region </w:t>
      </w:r>
      <w:r w:rsidR="007B3D85" w:rsidRPr="00485F66">
        <w:rPr>
          <w:rFonts w:ascii="Calibri" w:eastAsia="Cambria Math" w:hAnsi="Calibri" w:cs="Cambria Math"/>
          <w:color w:val="000000"/>
        </w:rPr>
        <w:t>does not have even one</w:t>
      </w:r>
      <w:r w:rsidRPr="00485F66">
        <w:rPr>
          <w:rFonts w:ascii="Calibri" w:eastAsia="Cambria Math" w:hAnsi="Calibri" w:cs="Cambria Math"/>
          <w:color w:val="000000"/>
        </w:rPr>
        <w:t xml:space="preserve"> indicator </w:t>
      </w:r>
      <w:r w:rsidR="007B3D85" w:rsidRPr="00485F66">
        <w:rPr>
          <w:rFonts w:ascii="Calibri" w:eastAsia="Cambria Math" w:hAnsi="Calibri" w:cs="Cambria Math"/>
          <w:color w:val="000000"/>
        </w:rPr>
        <w:t xml:space="preserve">result, </w:t>
      </w:r>
      <w:r w:rsidR="00AC1602" w:rsidRPr="00485F66">
        <w:rPr>
          <w:rFonts w:ascii="Calibri" w:eastAsia="Cambria Math" w:hAnsi="Calibri" w:cs="Cambria Math"/>
          <w:color w:val="000000"/>
        </w:rPr>
        <w:t xml:space="preserve">this country will not be included in </w:t>
      </w:r>
      <w:r w:rsidR="007B3D85" w:rsidRPr="00485F66">
        <w:rPr>
          <w:rFonts w:ascii="Calibri" w:eastAsia="Cambria Math" w:hAnsi="Calibri" w:cs="Cambria Math"/>
          <w:color w:val="000000"/>
        </w:rPr>
        <w:t>the regional aggregate</w:t>
      </w:r>
      <w:r w:rsidRPr="00485F66">
        <w:rPr>
          <w:rFonts w:ascii="Calibri" w:eastAsia="Cambria Math" w:hAnsi="Calibri" w:cs="Cambria Math"/>
          <w:color w:val="000000"/>
        </w:rPr>
        <w:t>. The missing values from the countries can</w:t>
      </w:r>
      <w:r w:rsidR="007B3D85" w:rsidRPr="00485F66">
        <w:rPr>
          <w:rFonts w:ascii="Calibri" w:eastAsia="Cambria Math" w:hAnsi="Calibri" w:cs="Cambria Math"/>
          <w:color w:val="000000"/>
        </w:rPr>
        <w:t xml:space="preserve"> only</w:t>
      </w:r>
      <w:r w:rsidRPr="00485F66">
        <w:rPr>
          <w:rFonts w:ascii="Calibri" w:eastAsia="Cambria Math" w:hAnsi="Calibri" w:cs="Cambria Math"/>
          <w:color w:val="000000"/>
        </w:rPr>
        <w:t xml:space="preserve"> be imputed when at least one data point exists for the given country in such a 5-year period. </w:t>
      </w:r>
    </w:p>
    <w:p w14:paraId="21E230E9" w14:textId="77777777" w:rsidR="003366FE" w:rsidRPr="00485F66" w:rsidRDefault="003366FE" w:rsidP="00F96E11">
      <w:pPr>
        <w:shd w:val="clear" w:color="auto" w:fill="FFFFFF"/>
        <w:spacing w:after="120" w:line="240" w:lineRule="auto"/>
        <w:jc w:val="both"/>
        <w:rPr>
          <w:rFonts w:ascii="Calibri" w:eastAsia="Times New Roman" w:hAnsi="Calibri" w:cs="Times New Roman"/>
          <w:color w:val="4A4A4A"/>
          <w:sz w:val="21"/>
          <w:szCs w:val="21"/>
          <w:lang w:eastAsia="en-GB"/>
        </w:rPr>
      </w:pPr>
    </w:p>
    <w:p w14:paraId="7D7B15AF" w14:textId="77777777" w:rsidR="003366FE" w:rsidRPr="00485F66" w:rsidRDefault="003366FE"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Regional aggregates:</w:t>
      </w:r>
    </w:p>
    <w:p w14:paraId="75FBDFDE" w14:textId="77777777" w:rsidR="003366FE" w:rsidRPr="00485F66" w:rsidRDefault="003366FE" w:rsidP="00F96E11">
      <w:pPr>
        <w:shd w:val="clear" w:color="auto" w:fill="FFFFFF"/>
        <w:spacing w:after="120" w:line="240" w:lineRule="auto"/>
        <w:jc w:val="both"/>
        <w:rPr>
          <w:rFonts w:ascii="Calibri" w:eastAsia="Cambria Math" w:hAnsi="Calibri" w:cs="Cambria Math"/>
          <w:color w:val="000000"/>
        </w:rPr>
      </w:pPr>
      <w:r w:rsidRPr="00485F66">
        <w:rPr>
          <w:rFonts w:ascii="Calibri" w:eastAsia="Cambria Math" w:hAnsi="Calibri" w:cs="Cambria Math"/>
          <w:color w:val="000000"/>
        </w:rPr>
        <w:t xml:space="preserve">Regional and global aggregates can be computed using national population size of a country as a proxy for the country weights in the region or globally. This is justified because medicines must be available and affordable for every individual in the population. </w:t>
      </w:r>
    </w:p>
    <w:p w14:paraId="7E413D46" w14:textId="2FEDDAF3" w:rsidR="00456DFA" w:rsidRPr="00485F66" w:rsidRDefault="003366FE" w:rsidP="00F96E11">
      <w:pPr>
        <w:shd w:val="clear" w:color="auto" w:fill="FFFFFF" w:themeFill="background1"/>
        <w:spacing w:after="120" w:line="240" w:lineRule="auto"/>
        <w:jc w:val="both"/>
        <w:rPr>
          <w:rFonts w:eastAsia="Cambria Math" w:cs="Cambria Math"/>
          <w:color w:val="000000" w:themeColor="text1"/>
        </w:rPr>
      </w:pPr>
      <w:r w:rsidRPr="00485F66">
        <w:rPr>
          <w:rFonts w:ascii="Calibri" w:eastAsia="Cambria Math" w:hAnsi="Calibri" w:cs="Cambria Math"/>
          <w:color w:val="000000"/>
        </w:rPr>
        <w:t>To compute the regional indicator, the weighted average of the country indicators (using either the actual national indicator when available for the specific year of calculation, or the imputed value that corresponds to the year closest to the year of calculation) is used.</w:t>
      </w:r>
    </w:p>
    <w:p w14:paraId="1480E86F" w14:textId="77777777" w:rsidR="001C653A" w:rsidRPr="00485F66" w:rsidRDefault="001C653A" w:rsidP="00F96E11">
      <w:pPr>
        <w:shd w:val="clear" w:color="auto" w:fill="FFFFFF" w:themeFill="background1"/>
        <w:spacing w:after="120" w:line="240" w:lineRule="auto"/>
        <w:jc w:val="both"/>
        <w:rPr>
          <w:rFonts w:eastAsia="Times New Roman" w:cs="Times New Roman"/>
          <w:b/>
          <w:bCs/>
          <w:color w:val="4A4A4A"/>
          <w:sz w:val="21"/>
          <w:szCs w:val="21"/>
          <w:lang w:eastAsia="en-GB"/>
        </w:rPr>
      </w:pPr>
    </w:p>
    <w:p w14:paraId="5BB39C52" w14:textId="77777777" w:rsidR="001C653A"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Sources of discrepancies:</w:t>
      </w:r>
    </w:p>
    <w:p w14:paraId="4CC53549" w14:textId="6DD83F5C" w:rsidR="00FB18C0" w:rsidRPr="00485F66" w:rsidRDefault="77395C2D" w:rsidP="00F96E11">
      <w:pPr>
        <w:shd w:val="clear" w:color="auto" w:fill="FFFFFF" w:themeFill="background1"/>
        <w:spacing w:after="120" w:line="240" w:lineRule="auto"/>
        <w:jc w:val="both"/>
        <w:rPr>
          <w:rFonts w:eastAsia="Cambria Math" w:cs="Cambria Math"/>
          <w:color w:val="000000" w:themeColor="text1"/>
        </w:rPr>
      </w:pPr>
      <w:r w:rsidRPr="00485F66">
        <w:rPr>
          <w:rFonts w:eastAsia="Cambria Math" w:cs="Cambria Math"/>
          <w:color w:val="000000" w:themeColor="text1"/>
        </w:rPr>
        <w:t>Data can be received from three data sources</w:t>
      </w:r>
      <w:r w:rsidR="003366FE" w:rsidRPr="00485F66">
        <w:rPr>
          <w:rFonts w:eastAsia="Cambria Math" w:cs="Cambria Math"/>
          <w:color w:val="000000" w:themeColor="text1"/>
        </w:rPr>
        <w:t xml:space="preserve">: </w:t>
      </w:r>
      <w:r w:rsidRPr="00485F66">
        <w:rPr>
          <w:rFonts w:eastAsia="Cambria Math" w:cs="Cambria Math"/>
          <w:color w:val="000000" w:themeColor="text1"/>
        </w:rPr>
        <w:t>SARA, HAI/WHO,</w:t>
      </w:r>
      <w:r w:rsidR="003366FE" w:rsidRPr="00485F66">
        <w:rPr>
          <w:rFonts w:eastAsia="Cambria Math" w:cs="Cambria Math"/>
          <w:color w:val="000000" w:themeColor="text1"/>
        </w:rPr>
        <w:t xml:space="preserve"> and the</w:t>
      </w:r>
      <w:r w:rsidRPr="00485F66">
        <w:rPr>
          <w:rFonts w:eastAsia="Cambria Math" w:cs="Cambria Math"/>
          <w:color w:val="000000" w:themeColor="text1"/>
        </w:rPr>
        <w:t xml:space="preserve"> </w:t>
      </w:r>
      <w:r w:rsidR="00612DD8" w:rsidRPr="00485F66">
        <w:rPr>
          <w:rFonts w:eastAsia="Cambria Math" w:cs="Cambria Math"/>
          <w:color w:val="000000" w:themeColor="text1"/>
        </w:rPr>
        <w:t>EMP MedMon</w:t>
      </w:r>
      <w:r w:rsidRPr="00485F66">
        <w:rPr>
          <w:rFonts w:eastAsia="Cambria Math" w:cs="Cambria Math"/>
          <w:color w:val="000000" w:themeColor="text1"/>
        </w:rPr>
        <w:t xml:space="preserve">. These data collection methods </w:t>
      </w:r>
      <w:r w:rsidR="003370D0" w:rsidRPr="00485F66">
        <w:rPr>
          <w:rFonts w:eastAsia="Cambria Math" w:cs="Cambria Math"/>
          <w:color w:val="000000" w:themeColor="text1"/>
        </w:rPr>
        <w:t xml:space="preserve">demonstrate </w:t>
      </w:r>
      <w:r w:rsidRPr="00485F66">
        <w:rPr>
          <w:rFonts w:eastAsia="Cambria Math" w:cs="Cambria Math"/>
          <w:color w:val="000000" w:themeColor="text1"/>
        </w:rPr>
        <w:t>the following discrepancies:</w:t>
      </w:r>
    </w:p>
    <w:p w14:paraId="50EF3969" w14:textId="77777777" w:rsidR="00FB18C0" w:rsidRPr="00485F66" w:rsidRDefault="77395C2D" w:rsidP="00F96E11">
      <w:pPr>
        <w:pStyle w:val="ListParagraph"/>
        <w:numPr>
          <w:ilvl w:val="0"/>
          <w:numId w:val="26"/>
        </w:numPr>
        <w:shd w:val="clear" w:color="auto" w:fill="FFFFFF" w:themeFill="background1"/>
        <w:spacing w:after="120" w:line="240" w:lineRule="auto"/>
        <w:jc w:val="both"/>
        <w:rPr>
          <w:rFonts w:eastAsia="Cambria Math" w:cs="Cambria Math"/>
          <w:color w:val="000000" w:themeColor="text1"/>
        </w:rPr>
      </w:pPr>
      <w:r w:rsidRPr="00485F66">
        <w:rPr>
          <w:rFonts w:eastAsia="Cambria Math" w:cs="Cambria Math"/>
          <w:color w:val="000000" w:themeColor="text1"/>
        </w:rPr>
        <w:t>Sampling of the facilities to be surveyed,</w:t>
      </w:r>
    </w:p>
    <w:p w14:paraId="67B23E9F" w14:textId="01CF45D2" w:rsidR="00FB18C0" w:rsidRPr="00485F66" w:rsidRDefault="77395C2D" w:rsidP="00F96E11">
      <w:pPr>
        <w:pStyle w:val="ListParagraph"/>
        <w:numPr>
          <w:ilvl w:val="0"/>
          <w:numId w:val="26"/>
        </w:numPr>
        <w:shd w:val="clear" w:color="auto" w:fill="FFFFFF" w:themeFill="background1"/>
        <w:spacing w:after="120" w:line="240" w:lineRule="auto"/>
        <w:jc w:val="both"/>
        <w:rPr>
          <w:rFonts w:eastAsia="Cambria Math" w:cs="Cambria Math"/>
          <w:color w:val="000000" w:themeColor="text1"/>
        </w:rPr>
      </w:pPr>
      <w:r w:rsidRPr="00485F66">
        <w:rPr>
          <w:rFonts w:eastAsia="Cambria Math" w:cs="Cambria Math"/>
          <w:color w:val="000000" w:themeColor="text1"/>
        </w:rPr>
        <w:t xml:space="preserve">Size of the sampling of the facilities to be surveyed, and </w:t>
      </w:r>
    </w:p>
    <w:p w14:paraId="06B398B4" w14:textId="301BF2E3" w:rsidR="001C653A" w:rsidRPr="00485F66" w:rsidRDefault="77395C2D" w:rsidP="00F96E11">
      <w:pPr>
        <w:pStyle w:val="ListParagraph"/>
        <w:numPr>
          <w:ilvl w:val="0"/>
          <w:numId w:val="26"/>
        </w:numPr>
        <w:shd w:val="clear" w:color="auto" w:fill="FFFFFF" w:themeFill="background1"/>
        <w:spacing w:after="120" w:line="240" w:lineRule="auto"/>
        <w:jc w:val="both"/>
        <w:rPr>
          <w:rFonts w:eastAsia="Cambria Math" w:cs="Cambria Math"/>
          <w:color w:val="000000" w:themeColor="text1"/>
        </w:rPr>
      </w:pPr>
      <w:r w:rsidRPr="00485F66">
        <w:rPr>
          <w:rFonts w:eastAsia="Cambria Math" w:cs="Cambria Math"/>
          <w:color w:val="000000" w:themeColor="text1"/>
        </w:rPr>
        <w:t>Questions asked at facility level to capture availability (i.e. SARA considers potential</w:t>
      </w:r>
      <w:r w:rsidR="003370D0" w:rsidRPr="00485F66">
        <w:rPr>
          <w:rFonts w:eastAsia="Cambria Math" w:cs="Cambria Math"/>
          <w:color w:val="000000" w:themeColor="text1"/>
        </w:rPr>
        <w:t>ly</w:t>
      </w:r>
      <w:r w:rsidRPr="00485F66">
        <w:rPr>
          <w:rFonts w:eastAsia="Cambria Math" w:cs="Cambria Math"/>
          <w:color w:val="000000" w:themeColor="text1"/>
        </w:rPr>
        <w:t xml:space="preserve"> available expired medicines as well).</w:t>
      </w:r>
    </w:p>
    <w:p w14:paraId="08FFE83A" w14:textId="1C03AD00" w:rsidR="004878CF" w:rsidRPr="00485F66" w:rsidRDefault="004878CF" w:rsidP="00F96E11">
      <w:pPr>
        <w:pBdr>
          <w:bottom w:val="single" w:sz="12" w:space="4" w:color="DDDDDD"/>
        </w:pBdr>
        <w:shd w:val="clear" w:color="auto" w:fill="FFFFFF" w:themeFill="background1"/>
        <w:spacing w:after="120" w:line="240" w:lineRule="auto"/>
        <w:jc w:val="both"/>
        <w:outlineLvl w:val="2"/>
        <w:rPr>
          <w:rFonts w:ascii="Calibri" w:eastAsia="SimSun" w:hAnsi="Calibri" w:cs="Arial"/>
        </w:rPr>
      </w:pPr>
      <w:r w:rsidRPr="00485F66">
        <w:rPr>
          <w:rFonts w:ascii="Calibri" w:eastAsia="SimSun" w:hAnsi="Calibri" w:cs="Arial"/>
        </w:rPr>
        <w:t xml:space="preserve">WHO will use any of these three data sources available for the year of calculation as a compromise between the limitations that these discrepancies pose to the proposed methodology and the need to overcome data availability issues in order to start reporting on this critical indicator. In the unlikely case that data is available through more than one data source for a specific country, WHO will rely on the source with a larger sample size and a higher percentage of medicines from the defined core list captured by the survey. </w:t>
      </w:r>
    </w:p>
    <w:p w14:paraId="5410A726" w14:textId="77777777" w:rsidR="00612DD8" w:rsidRPr="00485F66" w:rsidRDefault="00612DD8" w:rsidP="00F96E11">
      <w:pPr>
        <w:pBdr>
          <w:bottom w:val="single" w:sz="12" w:space="4" w:color="DDDDDD"/>
        </w:pBdr>
        <w:shd w:val="clear" w:color="auto" w:fill="FFFFFF" w:themeFill="background1"/>
        <w:spacing w:after="120" w:line="240" w:lineRule="auto"/>
        <w:jc w:val="both"/>
        <w:outlineLvl w:val="2"/>
        <w:rPr>
          <w:rFonts w:ascii="Calibri" w:eastAsia="SimSun" w:hAnsi="Calibri" w:cs="Arial"/>
        </w:rPr>
      </w:pPr>
    </w:p>
    <w:p w14:paraId="54CE1A25" w14:textId="77777777" w:rsidR="006E0EA4"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lastRenderedPageBreak/>
        <w:t>Methods and guidance available to countries for the compilation of the data at the national level:</w:t>
      </w:r>
    </w:p>
    <w:p w14:paraId="4CEC8640" w14:textId="18BCE390" w:rsidR="006E0EA4" w:rsidRPr="00485F66" w:rsidRDefault="77395C2D" w:rsidP="00F96E11">
      <w:pPr>
        <w:shd w:val="clear" w:color="auto" w:fill="FFFFFF" w:themeFill="background1"/>
        <w:spacing w:after="120" w:line="240" w:lineRule="auto"/>
        <w:jc w:val="both"/>
        <w:rPr>
          <w:rFonts w:eastAsia="Cambria Math" w:cs="Cambria Math"/>
          <w:color w:val="000000" w:themeColor="text1"/>
        </w:rPr>
      </w:pPr>
      <w:r w:rsidRPr="00485F66">
        <w:rPr>
          <w:rFonts w:eastAsia="Cambria Math" w:cs="Cambria Math"/>
          <w:color w:val="000000" w:themeColor="text1"/>
        </w:rPr>
        <w:t xml:space="preserve">The HAI/WHO manual on measuring medicine prices, availability, affordability and price components describes the methodology as well as the guidelines </w:t>
      </w:r>
      <w:r w:rsidR="004878CF" w:rsidRPr="00485F66">
        <w:rPr>
          <w:rFonts w:eastAsia="Cambria Math" w:cs="Cambria Math"/>
          <w:color w:val="000000" w:themeColor="text1"/>
        </w:rPr>
        <w:t>for the</w:t>
      </w:r>
      <w:r w:rsidRPr="00485F66">
        <w:rPr>
          <w:rFonts w:eastAsia="Cambria Math" w:cs="Cambria Math"/>
          <w:color w:val="000000" w:themeColor="text1"/>
        </w:rPr>
        <w:t xml:space="preserve"> data collection</w:t>
      </w:r>
      <w:r w:rsidR="004878CF" w:rsidRPr="00485F66">
        <w:rPr>
          <w:rFonts w:eastAsia="Cambria Math" w:cs="Cambria Math"/>
          <w:color w:val="000000" w:themeColor="text1"/>
        </w:rPr>
        <w:t xml:space="preserve"> procedure</w:t>
      </w:r>
      <w:r w:rsidRPr="00485F66">
        <w:rPr>
          <w:rFonts w:eastAsia="Cambria Math" w:cs="Cambria Math"/>
          <w:color w:val="000000" w:themeColor="text1"/>
        </w:rPr>
        <w:t xml:space="preserve"> and analysis of the availability and affordability of medicines on the facility and national level:</w:t>
      </w:r>
    </w:p>
    <w:p w14:paraId="08C62364" w14:textId="36EF0AC4" w:rsidR="00C01BE4" w:rsidRPr="00485F66" w:rsidRDefault="008459A4" w:rsidP="00F96E11">
      <w:pPr>
        <w:shd w:val="clear" w:color="auto" w:fill="FFFFFF" w:themeFill="background1"/>
        <w:spacing w:after="120" w:line="240" w:lineRule="auto"/>
        <w:jc w:val="both"/>
      </w:pPr>
      <w:hyperlink r:id="rId9" w:history="1">
        <w:r w:rsidR="00C01BE4" w:rsidRPr="00485F66">
          <w:rPr>
            <w:rStyle w:val="Hyperlink"/>
          </w:rPr>
          <w:t>http://www.who.int/medicines/areas/access/medicines_prices08/en/</w:t>
        </w:r>
      </w:hyperlink>
    </w:p>
    <w:p w14:paraId="2477387D" w14:textId="64F0FA85" w:rsidR="006E0EA4" w:rsidRPr="00485F66" w:rsidRDefault="008459A4" w:rsidP="00F96E11">
      <w:pPr>
        <w:shd w:val="clear" w:color="auto" w:fill="FFFFFF" w:themeFill="background1"/>
        <w:spacing w:after="120" w:line="240" w:lineRule="auto"/>
        <w:jc w:val="both"/>
        <w:rPr>
          <w:rStyle w:val="Hyperlink"/>
        </w:rPr>
      </w:pPr>
      <w:hyperlink r:id="rId10">
        <w:r w:rsidR="77395C2D" w:rsidRPr="00485F66">
          <w:rPr>
            <w:rStyle w:val="Hyperlink"/>
          </w:rPr>
          <w:t>http://www.who.int/healthinfo/systems/SARA_Reference_Manual_Full.pdf</w:t>
        </w:r>
      </w:hyperlink>
      <w:r w:rsidR="77395C2D" w:rsidRPr="00485F66">
        <w:rPr>
          <w:rStyle w:val="Hyperlink"/>
        </w:rPr>
        <w:t xml:space="preserve"> </w:t>
      </w:r>
    </w:p>
    <w:p w14:paraId="0BC7AD7E" w14:textId="0BAE70DA" w:rsidR="00D447C5" w:rsidRPr="00485F66" w:rsidRDefault="008459A4" w:rsidP="00F96E11">
      <w:pPr>
        <w:shd w:val="clear" w:color="auto" w:fill="FFFFFF" w:themeFill="background1"/>
        <w:spacing w:after="120" w:line="240" w:lineRule="auto"/>
        <w:jc w:val="both"/>
      </w:pPr>
      <w:hyperlink r:id="rId11" w:history="1">
        <w:r w:rsidR="00D447C5" w:rsidRPr="00485F66">
          <w:rPr>
            <w:rStyle w:val="Hyperlink"/>
          </w:rPr>
          <w:t>http://www.who.int/medicines/areas/policy/monitoring/empmedmon</w:t>
        </w:r>
      </w:hyperlink>
    </w:p>
    <w:p w14:paraId="11FB2855" w14:textId="77777777" w:rsidR="00510E89" w:rsidRPr="00485F66" w:rsidRDefault="00510E89" w:rsidP="00F96E11">
      <w:pPr>
        <w:shd w:val="clear" w:color="auto" w:fill="FFFFFF" w:themeFill="background1"/>
        <w:spacing w:after="120" w:line="240" w:lineRule="auto"/>
        <w:jc w:val="both"/>
        <w:rPr>
          <w:color w:val="4A86E8"/>
          <w:sz w:val="20"/>
          <w:szCs w:val="20"/>
        </w:rPr>
      </w:pPr>
    </w:p>
    <w:p w14:paraId="0CBEC6D0" w14:textId="77777777" w:rsidR="006E0EA4"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Quality assurance</w:t>
      </w:r>
    </w:p>
    <w:p w14:paraId="5E4793A9" w14:textId="77777777" w:rsidR="00612DD8" w:rsidRPr="00485F66" w:rsidRDefault="006F730D" w:rsidP="00F96E11">
      <w:pPr>
        <w:shd w:val="clear" w:color="auto" w:fill="FFFFFF"/>
        <w:spacing w:after="120" w:line="240" w:lineRule="auto"/>
        <w:jc w:val="both"/>
        <w:rPr>
          <w:rFonts w:ascii="Calibri" w:eastAsia="Cambria Math" w:hAnsi="Calibri" w:cs="Cambria Math"/>
          <w:color w:val="000000"/>
        </w:rPr>
      </w:pPr>
      <w:r w:rsidRPr="00485F66">
        <w:rPr>
          <w:rFonts w:ascii="Calibri" w:eastAsia="Cambria Math" w:hAnsi="Calibri" w:cs="Cambria Math"/>
          <w:color w:val="000000"/>
        </w:rPr>
        <w:t>Quality control can be performed based on the median availability and median consumer price ratio of selected generic medicines listed on the Global Health Observatory</w:t>
      </w:r>
      <w:r w:rsidR="00A23FA7" w:rsidRPr="00485F66">
        <w:rPr>
          <w:rFonts w:ascii="Calibri" w:eastAsia="Cambria Math" w:hAnsi="Calibri" w:cs="Cambria Math"/>
          <w:color w:val="000000"/>
        </w:rPr>
        <w:t xml:space="preserve"> (GHO)</w:t>
      </w:r>
      <w:r w:rsidRPr="00485F66">
        <w:rPr>
          <w:rFonts w:ascii="Calibri" w:eastAsia="Cambria Math" w:hAnsi="Calibri" w:cs="Cambria Math"/>
          <w:color w:val="000000"/>
          <w:vertAlign w:val="superscript"/>
        </w:rPr>
        <w:footnoteReference w:id="11"/>
      </w:r>
      <w:r w:rsidRPr="00485F66">
        <w:rPr>
          <w:rFonts w:ascii="Calibri" w:eastAsia="Cambria Math" w:hAnsi="Calibri" w:cs="Cambria Math"/>
          <w:color w:val="000000"/>
        </w:rPr>
        <w:t>. The quality of the key components of this indicator (i.e. availability, prices, etc.) can be assured for data collected using any of the three mechanisms listed above when cross-referenced with the GHO values.</w:t>
      </w:r>
    </w:p>
    <w:p w14:paraId="0B2E3134" w14:textId="7EECD22A" w:rsidR="006F730D" w:rsidRPr="00485F66" w:rsidRDefault="006F730D" w:rsidP="00F96E11">
      <w:pPr>
        <w:shd w:val="clear" w:color="auto" w:fill="FFFFFF"/>
        <w:spacing w:after="120" w:line="240" w:lineRule="auto"/>
        <w:jc w:val="both"/>
        <w:rPr>
          <w:rFonts w:ascii="Calibri" w:eastAsia="Cambria Math" w:hAnsi="Calibri" w:cs="Cambria Math"/>
          <w:color w:val="000000"/>
        </w:rPr>
      </w:pPr>
      <w:r w:rsidRPr="00485F66">
        <w:rPr>
          <w:rFonts w:ascii="Calibri" w:eastAsia="Cambria Math" w:hAnsi="Calibri" w:cs="Cambria Math"/>
          <w:color w:val="000000"/>
        </w:rPr>
        <w:t xml:space="preserve">For future data collection, quality will be based on the analysis of the sample size and the number of medicines captured in the basket. </w:t>
      </w:r>
    </w:p>
    <w:p w14:paraId="6D058311" w14:textId="15F72A31" w:rsidR="006F730D" w:rsidRPr="00485F66" w:rsidRDefault="00A23FA7" w:rsidP="00F96E11">
      <w:pPr>
        <w:pBdr>
          <w:left w:val="nil"/>
          <w:bottom w:val="nil"/>
          <w:right w:val="nil"/>
          <w:between w:val="nil"/>
        </w:pBdr>
        <w:spacing w:after="120" w:line="240" w:lineRule="auto"/>
        <w:jc w:val="both"/>
        <w:rPr>
          <w:rFonts w:ascii="Calibri" w:eastAsia="Cambria Math" w:hAnsi="Calibri" w:cs="Cambria Math"/>
          <w:color w:val="000000"/>
        </w:rPr>
      </w:pPr>
      <w:r w:rsidRPr="00485F66">
        <w:rPr>
          <w:rFonts w:ascii="Calibri" w:eastAsia="Cambria Math" w:hAnsi="Calibri" w:cs="Cambria Math"/>
          <w:color w:val="000000"/>
        </w:rPr>
        <w:t>C</w:t>
      </w:r>
      <w:r w:rsidR="006A32FC" w:rsidRPr="00485F66">
        <w:rPr>
          <w:rFonts w:ascii="Calibri" w:eastAsia="Cambria Math" w:hAnsi="Calibri" w:cs="Cambria Math"/>
          <w:color w:val="000000"/>
        </w:rPr>
        <w:t>ountries</w:t>
      </w:r>
      <w:r w:rsidR="006F730D" w:rsidRPr="00485F66">
        <w:rPr>
          <w:rFonts w:ascii="Calibri" w:eastAsia="Cambria Math" w:hAnsi="Calibri" w:cs="Cambria Math"/>
          <w:color w:val="000000"/>
        </w:rPr>
        <w:t xml:space="preserve"> will collect and share data with the WHO Secretariat. WHO will subsequently compute the indicator and return to the </w:t>
      </w:r>
      <w:r w:rsidR="006A32FC" w:rsidRPr="00485F66">
        <w:rPr>
          <w:rFonts w:ascii="Calibri" w:eastAsia="Cambria Math" w:hAnsi="Calibri" w:cs="Cambria Math"/>
          <w:color w:val="000000"/>
        </w:rPr>
        <w:t>countries</w:t>
      </w:r>
      <w:r w:rsidR="006F730D" w:rsidRPr="00485F66">
        <w:rPr>
          <w:rFonts w:ascii="Calibri" w:eastAsia="Cambria Math" w:hAnsi="Calibri" w:cs="Cambria Math"/>
          <w:color w:val="000000"/>
        </w:rPr>
        <w:t xml:space="preserve"> for validation. By request, WHO will also provide all background materials and training for data collection and indicator computation.</w:t>
      </w:r>
    </w:p>
    <w:p w14:paraId="46BA7ED3" w14:textId="6C041F3E" w:rsidR="00036635" w:rsidRPr="00485F66" w:rsidRDefault="00036635" w:rsidP="006A32FC">
      <w:pPr>
        <w:shd w:val="clear" w:color="auto" w:fill="FFFFFF" w:themeFill="background1"/>
        <w:spacing w:after="0"/>
        <w:rPr>
          <w:rFonts w:eastAsia="Cambria Math" w:cs="Cambria Math"/>
          <w:color w:val="000000" w:themeColor="text1"/>
        </w:rPr>
      </w:pPr>
    </w:p>
    <w:p w14:paraId="691F763E" w14:textId="77777777" w:rsidR="0058556D" w:rsidRPr="00485F66" w:rsidRDefault="77395C2D" w:rsidP="77395C2D">
      <w:pPr>
        <w:pBdr>
          <w:bottom w:val="single" w:sz="12" w:space="4" w:color="DDDDDD"/>
        </w:pBdr>
        <w:shd w:val="clear" w:color="auto" w:fill="FFFFFF" w:themeFill="background1"/>
        <w:spacing w:after="0"/>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t>Data Sources</w:t>
      </w:r>
    </w:p>
    <w:p w14:paraId="77082A85" w14:textId="77777777" w:rsidR="0058556D" w:rsidRPr="00485F66" w:rsidRDefault="0058556D" w:rsidP="77395C2D">
      <w:pPr>
        <w:shd w:val="clear" w:color="auto" w:fill="FFFFFF" w:themeFill="background1"/>
        <w:spacing w:after="0"/>
        <w:rPr>
          <w:rFonts w:eastAsia="Times New Roman" w:cs="Times New Roman"/>
          <w:b/>
          <w:bCs/>
          <w:color w:val="4A4A4A"/>
          <w:sz w:val="21"/>
          <w:szCs w:val="21"/>
          <w:lang w:eastAsia="en-GB"/>
        </w:rPr>
      </w:pPr>
    </w:p>
    <w:p w14:paraId="0F543624" w14:textId="77777777" w:rsidR="0058556D" w:rsidRPr="00485F66" w:rsidRDefault="77395C2D" w:rsidP="77395C2D">
      <w:pPr>
        <w:shd w:val="clear" w:color="auto" w:fill="FFFFFF" w:themeFill="background1"/>
        <w:spacing w:after="0"/>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Description:</w:t>
      </w:r>
    </w:p>
    <w:p w14:paraId="3DC088D9" w14:textId="12F01869" w:rsidR="00550194" w:rsidRPr="00485F66" w:rsidRDefault="77395C2D"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The indicator relies on three data sources that have been used by </w:t>
      </w:r>
      <w:r w:rsidR="006A32FC" w:rsidRPr="00485F66">
        <w:rPr>
          <w:rFonts w:eastAsia="Times New Roman" w:cs="Times New Roman"/>
          <w:lang w:eastAsia="en-GB"/>
        </w:rPr>
        <w:t>countries</w:t>
      </w:r>
      <w:r w:rsidRPr="00485F66">
        <w:rPr>
          <w:rFonts w:eastAsia="Times New Roman" w:cs="Times New Roman"/>
          <w:lang w:eastAsia="en-GB"/>
        </w:rPr>
        <w:t xml:space="preserve"> to collect information on </w:t>
      </w:r>
      <w:r w:rsidR="006F730D" w:rsidRPr="00485F66">
        <w:rPr>
          <w:rFonts w:eastAsia="Times New Roman" w:cs="Times New Roman"/>
          <w:lang w:eastAsia="en-GB"/>
        </w:rPr>
        <w:t>medicine prices and availability</w:t>
      </w:r>
      <w:r w:rsidRPr="00485F66">
        <w:rPr>
          <w:rFonts w:eastAsia="Times New Roman" w:cs="Times New Roman"/>
          <w:lang w:eastAsia="en-GB"/>
        </w:rPr>
        <w:t>:</w:t>
      </w:r>
    </w:p>
    <w:p w14:paraId="12859BC9" w14:textId="2583E922" w:rsidR="77395C2D" w:rsidRPr="00485F66" w:rsidRDefault="77395C2D" w:rsidP="00F96E11">
      <w:pPr>
        <w:pStyle w:val="ListParagraph"/>
        <w:numPr>
          <w:ilvl w:val="0"/>
          <w:numId w:val="19"/>
        </w:numPr>
        <w:shd w:val="clear" w:color="auto" w:fill="FFFFFF" w:themeFill="background1"/>
        <w:spacing w:after="120" w:line="240" w:lineRule="auto"/>
        <w:rPr>
          <w:lang w:eastAsia="en-GB"/>
        </w:rPr>
      </w:pPr>
      <w:r w:rsidRPr="00485F66">
        <w:rPr>
          <w:rFonts w:eastAsia="Times New Roman" w:cs="Times New Roman"/>
          <w:lang w:eastAsia="en-GB"/>
        </w:rPr>
        <w:t xml:space="preserve">Health Action International Project supported by the WHO </w:t>
      </w:r>
      <w:r w:rsidRPr="00485F66">
        <w:rPr>
          <w:rFonts w:eastAsia="Times New Roman"/>
          <w:b/>
          <w:bCs/>
          <w:lang w:eastAsia="en-GB"/>
        </w:rPr>
        <w:t>[</w:t>
      </w:r>
      <w:r w:rsidRPr="00485F66">
        <w:rPr>
          <w:rFonts w:eastAsia="Times New Roman" w:cs="Times New Roman"/>
          <w:b/>
          <w:bCs/>
          <w:lang w:eastAsia="en-GB"/>
        </w:rPr>
        <w:t>HAI/WHO</w:t>
      </w:r>
      <w:r w:rsidRPr="00485F66">
        <w:rPr>
          <w:rFonts w:eastAsia="Times New Roman"/>
          <w:b/>
          <w:bCs/>
          <w:lang w:eastAsia="en-GB"/>
        </w:rPr>
        <w:t>]</w:t>
      </w:r>
    </w:p>
    <w:p w14:paraId="309B0C66" w14:textId="19BF9F28" w:rsidR="77395C2D" w:rsidRPr="00485F66" w:rsidRDefault="77395C2D" w:rsidP="00F96E11">
      <w:pPr>
        <w:pStyle w:val="ListParagraph"/>
        <w:numPr>
          <w:ilvl w:val="0"/>
          <w:numId w:val="19"/>
        </w:numPr>
        <w:shd w:val="clear" w:color="auto" w:fill="FFFFFF" w:themeFill="background1"/>
        <w:spacing w:after="120" w:line="240" w:lineRule="auto"/>
        <w:rPr>
          <w:lang w:eastAsia="en-GB"/>
        </w:rPr>
      </w:pPr>
      <w:r w:rsidRPr="00485F66">
        <w:rPr>
          <w:rFonts w:eastAsia="Times New Roman" w:cs="Times New Roman"/>
          <w:lang w:eastAsia="en-GB"/>
        </w:rPr>
        <w:t xml:space="preserve">The Service Availability and Readiness Assessment survey </w:t>
      </w:r>
      <w:r w:rsidRPr="00485F66">
        <w:rPr>
          <w:rFonts w:eastAsia="Times New Roman"/>
          <w:b/>
          <w:bCs/>
          <w:lang w:eastAsia="en-GB"/>
        </w:rPr>
        <w:t>[</w:t>
      </w:r>
      <w:r w:rsidRPr="00485F66">
        <w:rPr>
          <w:rFonts w:eastAsia="Times New Roman" w:cs="Times New Roman"/>
          <w:b/>
          <w:bCs/>
          <w:lang w:eastAsia="en-GB"/>
        </w:rPr>
        <w:t>SARA</w:t>
      </w:r>
      <w:r w:rsidRPr="00485F66">
        <w:rPr>
          <w:rFonts w:eastAsia="Times New Roman"/>
          <w:b/>
          <w:bCs/>
          <w:lang w:eastAsia="en-GB"/>
        </w:rPr>
        <w:t>]</w:t>
      </w:r>
    </w:p>
    <w:p w14:paraId="47182633" w14:textId="77777777" w:rsidR="000E2025" w:rsidRPr="00485F66" w:rsidRDefault="77395C2D" w:rsidP="00F96E11">
      <w:pPr>
        <w:pStyle w:val="ListParagraph"/>
        <w:numPr>
          <w:ilvl w:val="0"/>
          <w:numId w:val="19"/>
        </w:numPr>
        <w:shd w:val="clear" w:color="auto" w:fill="FFFFFF" w:themeFill="background1"/>
        <w:spacing w:after="120" w:line="240" w:lineRule="auto"/>
        <w:rPr>
          <w:rFonts w:eastAsia="Times New Roman" w:cs="Times New Roman"/>
          <w:lang w:eastAsia="en-GB"/>
        </w:rPr>
      </w:pPr>
      <w:r w:rsidRPr="00485F66">
        <w:rPr>
          <w:rFonts w:eastAsia="Times New Roman" w:cs="Times New Roman"/>
          <w:lang w:eastAsia="en-GB"/>
        </w:rPr>
        <w:t xml:space="preserve">The WHO Medicines Price and Availability Monitoring mobile application </w:t>
      </w:r>
      <w:r w:rsidRPr="00485F66">
        <w:rPr>
          <w:rFonts w:eastAsia="Times New Roman"/>
          <w:b/>
          <w:bCs/>
          <w:lang w:eastAsia="en-GB"/>
        </w:rPr>
        <w:t>[</w:t>
      </w:r>
      <w:r w:rsidRPr="00485F66">
        <w:rPr>
          <w:rFonts w:eastAsia="Times New Roman" w:cs="Times New Roman"/>
          <w:b/>
          <w:bCs/>
          <w:lang w:eastAsia="en-GB"/>
        </w:rPr>
        <w:t>EMP MedMon</w:t>
      </w:r>
      <w:r w:rsidRPr="00485F66">
        <w:rPr>
          <w:rFonts w:eastAsia="Times New Roman"/>
          <w:b/>
          <w:bCs/>
          <w:lang w:eastAsia="en-GB"/>
        </w:rPr>
        <w:t>]</w:t>
      </w:r>
    </w:p>
    <w:p w14:paraId="1B008E46" w14:textId="226F2D26" w:rsidR="006E0EA4" w:rsidRPr="00485F66" w:rsidRDefault="77395C2D" w:rsidP="00F96E11">
      <w:pPr>
        <w:shd w:val="clear" w:color="auto" w:fill="FFFFFF" w:themeFill="background1"/>
        <w:spacing w:after="120" w:line="240" w:lineRule="auto"/>
        <w:rPr>
          <w:rFonts w:eastAsia="Times New Roman" w:cs="Times New Roman"/>
          <w:lang w:eastAsia="en-GB"/>
        </w:rPr>
      </w:pPr>
      <w:r w:rsidRPr="00485F66">
        <w:rPr>
          <w:rFonts w:eastAsia="Times New Roman" w:cs="Times New Roman"/>
          <w:lang w:eastAsia="en-GB"/>
        </w:rPr>
        <w:t xml:space="preserve">Health Action International Project supported by WHO </w:t>
      </w:r>
      <w:r w:rsidRPr="00485F66">
        <w:rPr>
          <w:rFonts w:eastAsia="Times New Roman"/>
          <w:b/>
          <w:bCs/>
          <w:lang w:eastAsia="en-GB"/>
        </w:rPr>
        <w:t>[</w:t>
      </w:r>
      <w:r w:rsidRPr="00485F66">
        <w:rPr>
          <w:rFonts w:eastAsia="Times New Roman" w:cs="Times New Roman"/>
          <w:b/>
          <w:bCs/>
          <w:lang w:eastAsia="en-GB"/>
        </w:rPr>
        <w:t>HAI/WHO</w:t>
      </w:r>
      <w:r w:rsidRPr="00485F66">
        <w:rPr>
          <w:rFonts w:eastAsia="Times New Roman"/>
          <w:b/>
          <w:bCs/>
          <w:lang w:eastAsia="en-GB"/>
        </w:rPr>
        <w:t>]</w:t>
      </w:r>
      <w:r w:rsidRPr="00485F66">
        <w:t xml:space="preserve"> </w:t>
      </w:r>
      <w:r w:rsidRPr="00485F66">
        <w:rPr>
          <w:rFonts w:eastAsia="Times New Roman" w:cs="Times New Roman"/>
          <w:lang w:eastAsia="en-GB"/>
        </w:rPr>
        <w:t>provides</w:t>
      </w:r>
      <w:r w:rsidRPr="00485F66">
        <w:t xml:space="preserve"> </w:t>
      </w:r>
      <w:r w:rsidRPr="00485F66">
        <w:rPr>
          <w:rFonts w:eastAsia="Times New Roman" w:cs="Times New Roman"/>
          <w:lang w:eastAsia="en-GB"/>
        </w:rPr>
        <w:t xml:space="preserve">data from national and sub-national surveys that have used the WHO/HAI methodology, Measuring Medicine Prices, Availability and Affordability and Price Components. The database is available at the following link: </w:t>
      </w:r>
      <w:hyperlink r:id="rId12">
        <w:r w:rsidRPr="00485F66">
          <w:rPr>
            <w:rStyle w:val="Hyperlink"/>
            <w:rFonts w:eastAsia="Times New Roman" w:cs="Times New Roman"/>
            <w:lang w:eastAsia="en-GB"/>
          </w:rPr>
          <w:t>http://haiweb.org/what-we-do/price-availability-affordability/price-availability-data/</w:t>
        </w:r>
      </w:hyperlink>
      <w:r w:rsidRPr="00485F66">
        <w:rPr>
          <w:rFonts w:eastAsia="Times New Roman" w:cs="Times New Roman"/>
          <w:lang w:eastAsia="en-GB"/>
        </w:rPr>
        <w:t xml:space="preserve"> </w:t>
      </w:r>
    </w:p>
    <w:p w14:paraId="23E39870" w14:textId="1E23D74F" w:rsidR="006E0EA4" w:rsidRPr="00485F66" w:rsidRDefault="77395C2D"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The Service Availability and Readiness Assessment </w:t>
      </w:r>
      <w:r w:rsidRPr="00485F66">
        <w:rPr>
          <w:rFonts w:eastAsia="Times New Roman"/>
          <w:b/>
          <w:bCs/>
          <w:lang w:eastAsia="en-GB"/>
        </w:rPr>
        <w:t>[</w:t>
      </w:r>
      <w:r w:rsidRPr="00485F66">
        <w:rPr>
          <w:rFonts w:eastAsia="Times New Roman" w:cs="Times New Roman"/>
          <w:b/>
          <w:bCs/>
          <w:lang w:eastAsia="en-GB"/>
        </w:rPr>
        <w:t>SARA</w:t>
      </w:r>
      <w:r w:rsidRPr="00485F66">
        <w:rPr>
          <w:rFonts w:eastAsia="Times New Roman"/>
          <w:b/>
          <w:bCs/>
          <w:lang w:eastAsia="en-GB"/>
        </w:rPr>
        <w:t xml:space="preserve">] </w:t>
      </w:r>
      <w:r w:rsidRPr="00485F66">
        <w:rPr>
          <w:rFonts w:eastAsia="Times New Roman" w:cs="Times New Roman"/>
          <w:lang w:eastAsia="en-GB"/>
        </w:rPr>
        <w:t xml:space="preserve">is a health facility assessment tool designed to assess and monitor availability and readiness of the services provided in the health sector and to generate evidence to support the planning and managing of </w:t>
      </w:r>
      <w:r w:rsidR="006F730D" w:rsidRPr="00485F66">
        <w:rPr>
          <w:rFonts w:eastAsia="Times New Roman" w:cs="Times New Roman"/>
          <w:lang w:eastAsia="en-GB"/>
        </w:rPr>
        <w:t>a</w:t>
      </w:r>
      <w:r w:rsidRPr="00485F66">
        <w:rPr>
          <w:rFonts w:eastAsia="Times New Roman" w:cs="Times New Roman"/>
          <w:lang w:eastAsia="en-GB"/>
        </w:rPr>
        <w:t xml:space="preserve"> health system. </w:t>
      </w:r>
    </w:p>
    <w:p w14:paraId="31DBACB1" w14:textId="1FE532C9" w:rsidR="001D3B8D" w:rsidRPr="00485F66" w:rsidRDefault="77395C2D" w:rsidP="00F96E11">
      <w:pPr>
        <w:shd w:val="clear" w:color="auto" w:fill="FFFFFF" w:themeFill="background1"/>
        <w:spacing w:after="120" w:line="240" w:lineRule="auto"/>
        <w:jc w:val="both"/>
        <w:rPr>
          <w:rFonts w:eastAsia="Times New Roman"/>
          <w:lang w:eastAsia="en-GB"/>
        </w:rPr>
      </w:pPr>
      <w:r w:rsidRPr="00485F66">
        <w:rPr>
          <w:rFonts w:eastAsia="Times New Roman" w:cs="Times New Roman"/>
          <w:lang w:eastAsia="en-GB"/>
        </w:rPr>
        <w:t xml:space="preserve">The WHO Medicines Price and Availability Monitoring mobile application </w:t>
      </w:r>
      <w:r w:rsidRPr="00485F66">
        <w:rPr>
          <w:rFonts w:eastAsia="Times New Roman"/>
          <w:b/>
          <w:bCs/>
          <w:lang w:eastAsia="en-GB"/>
        </w:rPr>
        <w:t>[</w:t>
      </w:r>
      <w:r w:rsidRPr="00485F66">
        <w:rPr>
          <w:rFonts w:eastAsia="Times New Roman" w:cs="Times New Roman"/>
          <w:b/>
          <w:bCs/>
          <w:lang w:eastAsia="en-GB"/>
        </w:rPr>
        <w:t>EMP MedMon</w:t>
      </w:r>
      <w:r w:rsidRPr="00485F66">
        <w:rPr>
          <w:rFonts w:eastAsia="Times New Roman"/>
          <w:b/>
          <w:bCs/>
          <w:lang w:eastAsia="en-GB"/>
        </w:rPr>
        <w:t xml:space="preserve">] </w:t>
      </w:r>
      <w:r w:rsidRPr="00485F66">
        <w:rPr>
          <w:rFonts w:eastAsia="Times New Roman"/>
          <w:lang w:eastAsia="en-GB"/>
        </w:rPr>
        <w:t>can be</w:t>
      </w:r>
      <w:r w:rsidRPr="00485F66">
        <w:rPr>
          <w:rFonts w:eastAsia="Times New Roman"/>
          <w:b/>
          <w:bCs/>
          <w:lang w:eastAsia="en-GB"/>
        </w:rPr>
        <w:t xml:space="preserve"> </w:t>
      </w:r>
      <w:r w:rsidRPr="00485F66">
        <w:rPr>
          <w:rFonts w:eastAsia="Times New Roman"/>
          <w:lang w:eastAsia="en-GB"/>
        </w:rPr>
        <w:t xml:space="preserve">considered as an updated version of the HAI/WHO tool for collecting data on medicine prices and availability. </w:t>
      </w:r>
      <w:r w:rsidR="00E474FA" w:rsidRPr="00485F66">
        <w:rPr>
          <w:rFonts w:eastAsia="Times New Roman"/>
          <w:lang w:eastAsia="en-GB"/>
        </w:rPr>
        <w:t>This</w:t>
      </w:r>
      <w:r w:rsidRPr="00485F66">
        <w:rPr>
          <w:rFonts w:eastAsia="Times New Roman"/>
          <w:lang w:eastAsia="en-GB"/>
        </w:rPr>
        <w:t xml:space="preserve"> data collection tool was created </w:t>
      </w:r>
      <w:r w:rsidR="00E474FA" w:rsidRPr="00485F66">
        <w:rPr>
          <w:rFonts w:eastAsia="Times New Roman"/>
          <w:lang w:eastAsia="en-GB"/>
        </w:rPr>
        <w:t>based on t</w:t>
      </w:r>
      <w:r w:rsidRPr="00485F66">
        <w:rPr>
          <w:rFonts w:eastAsia="Times New Roman"/>
          <w:lang w:eastAsia="en-GB"/>
        </w:rPr>
        <w:t xml:space="preserve">he </w:t>
      </w:r>
      <w:r w:rsidR="00E474FA" w:rsidRPr="00485F66">
        <w:rPr>
          <w:rFonts w:eastAsia="Times New Roman"/>
          <w:lang w:eastAsia="en-GB"/>
        </w:rPr>
        <w:t>two</w:t>
      </w:r>
      <w:r w:rsidRPr="00485F66">
        <w:rPr>
          <w:rFonts w:eastAsia="Times New Roman"/>
          <w:lang w:eastAsia="en-GB"/>
        </w:rPr>
        <w:t xml:space="preserve"> previously mentioned existing and well-established methodologies. This application is used at facility level to collect information on availability and price of the agreed</w:t>
      </w:r>
      <w:r w:rsidR="00E474FA" w:rsidRPr="00485F66">
        <w:rPr>
          <w:rFonts w:eastAsia="Times New Roman"/>
          <w:lang w:eastAsia="en-GB"/>
        </w:rPr>
        <w:t xml:space="preserve">-upon </w:t>
      </w:r>
      <w:r w:rsidRPr="00485F66">
        <w:rPr>
          <w:rFonts w:eastAsia="Times New Roman"/>
          <w:lang w:eastAsia="en-GB"/>
        </w:rPr>
        <w:t xml:space="preserve">core basket of medicines. </w:t>
      </w:r>
    </w:p>
    <w:p w14:paraId="7F0678D1" w14:textId="5269C4B1" w:rsidR="00D577A6" w:rsidRPr="00485F66" w:rsidRDefault="77395C2D" w:rsidP="00F96E11">
      <w:pPr>
        <w:shd w:val="clear" w:color="auto" w:fill="FFFFFF" w:themeFill="background1"/>
        <w:spacing w:after="120" w:line="240" w:lineRule="auto"/>
        <w:jc w:val="both"/>
        <w:rPr>
          <w:rFonts w:eastAsia="Times New Roman"/>
          <w:lang w:eastAsia="en-GB"/>
        </w:rPr>
      </w:pPr>
      <w:r w:rsidRPr="00485F66">
        <w:rPr>
          <w:rFonts w:eastAsia="Times New Roman"/>
          <w:lang w:eastAsia="en-GB"/>
        </w:rPr>
        <w:lastRenderedPageBreak/>
        <w:t xml:space="preserve">The EMP MedMon </w:t>
      </w:r>
      <w:r w:rsidR="00E474FA" w:rsidRPr="00485F66">
        <w:rPr>
          <w:rFonts w:eastAsia="Times New Roman"/>
          <w:lang w:eastAsia="en-GB"/>
        </w:rPr>
        <w:t xml:space="preserve">is easier to use, faster to conduct and consumes much fewer resources for collecting data. It also allows for a </w:t>
      </w:r>
      <w:r w:rsidRPr="00485F66">
        <w:rPr>
          <w:rFonts w:eastAsia="Times New Roman"/>
          <w:lang w:eastAsia="en-GB"/>
        </w:rPr>
        <w:t xml:space="preserve">modular approach to </w:t>
      </w:r>
      <w:r w:rsidR="00E474FA" w:rsidRPr="00485F66">
        <w:rPr>
          <w:rFonts w:eastAsia="Times New Roman"/>
          <w:lang w:eastAsia="en-GB"/>
        </w:rPr>
        <w:t xml:space="preserve">defining </w:t>
      </w:r>
      <w:r w:rsidRPr="00485F66">
        <w:rPr>
          <w:rFonts w:eastAsia="Times New Roman"/>
          <w:lang w:eastAsia="en-GB"/>
        </w:rPr>
        <w:t>the basket</w:t>
      </w:r>
      <w:r w:rsidR="007B3D85" w:rsidRPr="00485F66">
        <w:rPr>
          <w:rFonts w:eastAsia="Times New Roman"/>
          <w:lang w:eastAsia="en-GB"/>
        </w:rPr>
        <w:t>, which is highly useful and convenient for the purposes of this indicator.</w:t>
      </w:r>
    </w:p>
    <w:p w14:paraId="6A797550" w14:textId="71B83C14" w:rsidR="00E474FA" w:rsidRPr="00485F66" w:rsidRDefault="00E474FA" w:rsidP="00F96E11">
      <w:pPr>
        <w:shd w:val="clear" w:color="auto" w:fill="FFFFFF" w:themeFill="background1"/>
        <w:spacing w:after="120" w:line="240" w:lineRule="auto"/>
        <w:jc w:val="both"/>
        <w:rPr>
          <w:rFonts w:eastAsia="Times New Roman"/>
          <w:lang w:eastAsia="en-GB"/>
        </w:rPr>
      </w:pPr>
      <w:r w:rsidRPr="00485F66">
        <w:rPr>
          <w:rFonts w:eastAsia="Times New Roman"/>
          <w:lang w:eastAsia="en-GB"/>
        </w:rPr>
        <w:t xml:space="preserve">In order to compute historical data points prior to 2018, data from HAI/WHO </w:t>
      </w:r>
      <w:r w:rsidR="00612DD8" w:rsidRPr="00485F66">
        <w:rPr>
          <w:rFonts w:eastAsia="Times New Roman"/>
          <w:lang w:eastAsia="en-GB"/>
        </w:rPr>
        <w:t>is</w:t>
      </w:r>
      <w:r w:rsidRPr="00485F66">
        <w:rPr>
          <w:rFonts w:eastAsia="Times New Roman"/>
          <w:lang w:eastAsia="en-GB"/>
        </w:rPr>
        <w:t xml:space="preserve"> used. To compute current and future data points, SARA and EMP MedMon are recommended.</w:t>
      </w:r>
    </w:p>
    <w:p w14:paraId="2CADC671" w14:textId="77777777" w:rsidR="00EB331C" w:rsidRPr="00485F66" w:rsidRDefault="00EB331C" w:rsidP="00F96E11">
      <w:pPr>
        <w:shd w:val="clear" w:color="auto" w:fill="FFFFFF" w:themeFill="background1"/>
        <w:spacing w:after="120" w:line="240" w:lineRule="auto"/>
        <w:rPr>
          <w:rFonts w:eastAsia="Times New Roman" w:cs="Times New Roman"/>
          <w:color w:val="4A4A4A"/>
          <w:sz w:val="6"/>
          <w:lang w:eastAsia="en-GB"/>
        </w:rPr>
      </w:pPr>
    </w:p>
    <w:p w14:paraId="498C8F00" w14:textId="6FC258A8" w:rsidR="00550194"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Collection process:</w:t>
      </w:r>
    </w:p>
    <w:p w14:paraId="40BD10D7" w14:textId="52C857DE" w:rsidR="002B06D0" w:rsidRPr="00485F66" w:rsidRDefault="77395C2D" w:rsidP="00F96E11">
      <w:pPr>
        <w:shd w:val="clear" w:color="auto" w:fill="FFFFFF" w:themeFill="background1"/>
        <w:spacing w:after="120" w:line="240" w:lineRule="auto"/>
        <w:rPr>
          <w:rFonts w:eastAsia="Times New Roman" w:cs="Times New Roman"/>
          <w:lang w:eastAsia="en-GB"/>
        </w:rPr>
      </w:pPr>
      <w:r w:rsidRPr="00485F66">
        <w:rPr>
          <w:rFonts w:eastAsia="Times New Roman" w:cs="Times New Roman"/>
          <w:u w:val="single"/>
          <w:lang w:eastAsia="en-GB"/>
        </w:rPr>
        <w:t xml:space="preserve">Availability and affordability of medicines </w:t>
      </w:r>
    </w:p>
    <w:p w14:paraId="5322BBC7" w14:textId="018C1827" w:rsidR="002B06D0" w:rsidRPr="00485F66" w:rsidRDefault="77395C2D"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lang w:eastAsia="en-GB"/>
        </w:rPr>
        <w:t xml:space="preserve">WHO obtains SARA survey data on availability and affordability from the </w:t>
      </w:r>
      <w:r w:rsidR="00A23FA7" w:rsidRPr="00485F66">
        <w:rPr>
          <w:rFonts w:eastAsia="Times New Roman"/>
          <w:lang w:eastAsia="en-GB"/>
        </w:rPr>
        <w:t xml:space="preserve">countries’ </w:t>
      </w:r>
      <w:r w:rsidRPr="00485F66">
        <w:rPr>
          <w:rFonts w:eastAsia="Times New Roman"/>
          <w:lang w:eastAsia="en-GB"/>
        </w:rPr>
        <w:t xml:space="preserve">Ministries of Health (MoH).  </w:t>
      </w:r>
      <w:r w:rsidRPr="00485F66">
        <w:rPr>
          <w:rFonts w:eastAsia="Times New Roman" w:cs="Times New Roman"/>
          <w:lang w:eastAsia="en-GB"/>
        </w:rPr>
        <w:t xml:space="preserve">HAI/WHO historical data collected at </w:t>
      </w:r>
      <w:r w:rsidR="008472D2" w:rsidRPr="00485F66">
        <w:rPr>
          <w:rFonts w:eastAsia="Times New Roman" w:cs="Times New Roman"/>
          <w:lang w:eastAsia="en-GB"/>
        </w:rPr>
        <w:t xml:space="preserve">the </w:t>
      </w:r>
      <w:r w:rsidRPr="00485F66">
        <w:rPr>
          <w:rFonts w:eastAsia="Times New Roman" w:cs="Times New Roman"/>
          <w:lang w:eastAsia="en-GB"/>
        </w:rPr>
        <w:t xml:space="preserve">facility level </w:t>
      </w:r>
      <w:r w:rsidR="008472D2" w:rsidRPr="00485F66">
        <w:rPr>
          <w:rFonts w:eastAsia="Times New Roman" w:cs="Times New Roman"/>
          <w:lang w:eastAsia="en-GB"/>
        </w:rPr>
        <w:t>is available from HAI</w:t>
      </w:r>
      <w:r w:rsidRPr="00485F66">
        <w:rPr>
          <w:rFonts w:eastAsia="Times New Roman" w:cs="Times New Roman"/>
          <w:lang w:eastAsia="en-GB"/>
        </w:rPr>
        <w:t xml:space="preserve"> by request</w:t>
      </w:r>
      <w:r w:rsidR="00846928" w:rsidRPr="00485F66">
        <w:rPr>
          <w:rFonts w:eastAsia="Times New Roman" w:cs="Times New Roman"/>
          <w:lang w:eastAsia="en-GB"/>
        </w:rPr>
        <w:t>,</w:t>
      </w:r>
      <w:r w:rsidRPr="00485F66">
        <w:rPr>
          <w:rFonts w:eastAsia="Times New Roman" w:cs="Times New Roman"/>
          <w:lang w:eastAsia="en-GB"/>
        </w:rPr>
        <w:t xml:space="preserve"> </w:t>
      </w:r>
      <w:r w:rsidR="00846928" w:rsidRPr="00485F66">
        <w:rPr>
          <w:rFonts w:eastAsia="Times New Roman" w:cs="Times New Roman"/>
          <w:lang w:eastAsia="en-GB"/>
        </w:rPr>
        <w:t>as</w:t>
      </w:r>
      <w:r w:rsidR="008472D2" w:rsidRPr="00485F66">
        <w:rPr>
          <w:rFonts w:eastAsia="Times New Roman" w:cs="Times New Roman"/>
          <w:lang w:eastAsia="en-GB"/>
        </w:rPr>
        <w:t xml:space="preserve"> </w:t>
      </w:r>
      <w:r w:rsidRPr="00485F66">
        <w:rPr>
          <w:rFonts w:eastAsia="Times New Roman" w:cs="Times New Roman"/>
          <w:lang w:eastAsia="en-GB"/>
        </w:rPr>
        <w:t xml:space="preserve">publicly available HAI/WHO data on the HAI website </w:t>
      </w:r>
      <w:r w:rsidR="00846928" w:rsidRPr="00485F66">
        <w:rPr>
          <w:rFonts w:eastAsia="Times New Roman" w:cs="Times New Roman"/>
          <w:lang w:eastAsia="en-GB"/>
        </w:rPr>
        <w:t xml:space="preserve">has </w:t>
      </w:r>
      <w:r w:rsidRPr="00485F66">
        <w:rPr>
          <w:rFonts w:eastAsia="Times New Roman" w:cs="Times New Roman"/>
          <w:lang w:eastAsia="en-GB"/>
        </w:rPr>
        <w:t xml:space="preserve">already aggregated at </w:t>
      </w:r>
      <w:r w:rsidR="00846928" w:rsidRPr="00485F66">
        <w:rPr>
          <w:rFonts w:eastAsia="Times New Roman" w:cs="Times New Roman"/>
          <w:lang w:eastAsia="en-GB"/>
        </w:rPr>
        <w:t xml:space="preserve">the </w:t>
      </w:r>
      <w:r w:rsidRPr="00485F66">
        <w:rPr>
          <w:rFonts w:eastAsia="Times New Roman" w:cs="Times New Roman"/>
          <w:lang w:eastAsia="en-GB"/>
        </w:rPr>
        <w:t xml:space="preserve">country level. The EMP MedMon data on availability and medicine prices </w:t>
      </w:r>
      <w:r w:rsidR="008472D2" w:rsidRPr="00485F66">
        <w:rPr>
          <w:rFonts w:eastAsia="Times New Roman" w:cs="Times New Roman"/>
          <w:lang w:eastAsia="en-GB"/>
        </w:rPr>
        <w:t>is</w:t>
      </w:r>
      <w:r w:rsidRPr="00485F66">
        <w:rPr>
          <w:rFonts w:eastAsia="Times New Roman" w:cs="Times New Roman"/>
          <w:lang w:eastAsia="en-GB"/>
        </w:rPr>
        <w:t xml:space="preserve"> </w:t>
      </w:r>
      <w:r w:rsidR="003C7756" w:rsidRPr="00485F66">
        <w:rPr>
          <w:rFonts w:eastAsia="Times New Roman" w:cs="Times New Roman"/>
          <w:lang w:eastAsia="en-GB"/>
        </w:rPr>
        <w:t xml:space="preserve">collected in collaboration between WHO and </w:t>
      </w:r>
      <w:r w:rsidRPr="00485F66">
        <w:rPr>
          <w:rFonts w:eastAsia="Times New Roman" w:cs="Times New Roman"/>
          <w:lang w:eastAsia="en-GB"/>
        </w:rPr>
        <w:t xml:space="preserve">Ministries of Health of the </w:t>
      </w:r>
      <w:r w:rsidR="006A32FC" w:rsidRPr="00485F66">
        <w:rPr>
          <w:rFonts w:eastAsia="Times New Roman" w:cs="Times New Roman"/>
          <w:lang w:eastAsia="en-GB"/>
        </w:rPr>
        <w:t>countries</w:t>
      </w:r>
      <w:r w:rsidRPr="00485F66">
        <w:rPr>
          <w:rFonts w:eastAsia="Times New Roman" w:cs="Times New Roman"/>
          <w:lang w:eastAsia="en-GB"/>
        </w:rPr>
        <w:t xml:space="preserve">. </w:t>
      </w:r>
    </w:p>
    <w:p w14:paraId="499B9827" w14:textId="38EA2FFB" w:rsidR="00100430" w:rsidRPr="00485F66" w:rsidRDefault="77395C2D" w:rsidP="00F96E11">
      <w:pPr>
        <w:shd w:val="clear" w:color="auto" w:fill="FFFFFF" w:themeFill="background1"/>
        <w:spacing w:after="120" w:line="240" w:lineRule="auto"/>
        <w:rPr>
          <w:rFonts w:eastAsia="Times New Roman" w:cs="Times New Roman"/>
          <w:u w:val="single"/>
          <w:lang w:eastAsia="en-GB"/>
        </w:rPr>
      </w:pPr>
      <w:r w:rsidRPr="00485F66">
        <w:rPr>
          <w:rFonts w:eastAsia="Times New Roman" w:cs="Times New Roman"/>
          <w:u w:val="single"/>
          <w:lang w:eastAsia="en-GB"/>
        </w:rPr>
        <w:t>NPL</w:t>
      </w:r>
      <w:r w:rsidR="00846928" w:rsidRPr="00485F66">
        <w:rPr>
          <w:rFonts w:eastAsia="Times New Roman" w:cs="Times New Roman"/>
          <w:u w:val="single"/>
          <w:lang w:eastAsia="en-GB"/>
        </w:rPr>
        <w:t>s,</w:t>
      </w:r>
      <w:r w:rsidRPr="00485F66">
        <w:rPr>
          <w:rFonts w:eastAsia="Times New Roman" w:cs="Times New Roman"/>
          <w:u w:val="single"/>
          <w:lang w:eastAsia="en-GB"/>
        </w:rPr>
        <w:t xml:space="preserve"> LPGW wages, DALYs:</w:t>
      </w:r>
    </w:p>
    <w:p w14:paraId="2E290E8F" w14:textId="5ED9B80E" w:rsidR="00CA7613" w:rsidRPr="00485F66" w:rsidRDefault="00100430" w:rsidP="00CA7613">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National poverty reports consistently provide information on the </w:t>
      </w:r>
      <w:r w:rsidRPr="00485F66">
        <w:rPr>
          <w:rFonts w:eastAsia="Cambria Math" w:cs="Cambria Math"/>
          <w:i/>
          <w:iCs/>
          <w:color w:val="000000"/>
        </w:rPr>
        <w:t>NPLs</w:t>
      </w:r>
      <w:r w:rsidRPr="00485F66">
        <w:rPr>
          <w:rFonts w:eastAsia="Cambria Math" w:cs="Cambria Math"/>
          <w:color w:val="000000"/>
        </w:rPr>
        <w:t xml:space="preserve"> in local currency units</w:t>
      </w:r>
      <w:r w:rsidRPr="00485F66">
        <w:rPr>
          <w:rFonts w:eastAsia="Cambria Math" w:cstheme="minorHAnsi"/>
          <w:color w:val="000000"/>
        </w:rPr>
        <w:t xml:space="preserve">. The </w:t>
      </w:r>
      <w:r w:rsidR="00617728" w:rsidRPr="00485F66">
        <w:rPr>
          <w:rFonts w:eastAsia="Cambria Math" w:cstheme="minorHAnsi"/>
          <w:color w:val="000000"/>
        </w:rPr>
        <w:t xml:space="preserve">updated and recalculated </w:t>
      </w:r>
      <w:r w:rsidRPr="00485F66">
        <w:rPr>
          <w:rFonts w:eastAsia="Cambria Math" w:cstheme="minorHAnsi"/>
          <w:color w:val="000000"/>
        </w:rPr>
        <w:t xml:space="preserve">NPLs are </w:t>
      </w:r>
      <w:r w:rsidR="00617728" w:rsidRPr="00485F66">
        <w:rPr>
          <w:rFonts w:eastAsia="Cambria Math" w:cstheme="minorHAnsi"/>
          <w:color w:val="000000"/>
        </w:rPr>
        <w:t xml:space="preserve">also published by the </w:t>
      </w:r>
      <w:r w:rsidRPr="00485F66">
        <w:rPr>
          <w:rFonts w:eastAsia="Cambria Math" w:cstheme="minorHAnsi"/>
          <w:color w:val="000000"/>
        </w:rPr>
        <w:t>countries</w:t>
      </w:r>
      <w:r w:rsidR="00617728" w:rsidRPr="00485F66">
        <w:rPr>
          <w:rFonts w:eastAsia="Cambria Math" w:cstheme="minorHAnsi"/>
          <w:color w:val="000000"/>
        </w:rPr>
        <w:t xml:space="preserve"> in these poverty reports</w:t>
      </w:r>
      <w:r w:rsidRPr="00485F66">
        <w:rPr>
          <w:rFonts w:eastAsia="Cambria Math" w:cstheme="minorHAnsi"/>
          <w:color w:val="000000"/>
        </w:rPr>
        <w:t xml:space="preserve">. </w:t>
      </w:r>
      <w:r w:rsidRPr="00485F66">
        <w:rPr>
          <w:rFonts w:eastAsia="Cambria Math" w:cs="Cambria Math"/>
          <w:color w:val="000000"/>
        </w:rPr>
        <w:t xml:space="preserve">The </w:t>
      </w:r>
      <w:r w:rsidR="00EC24E1" w:rsidRPr="00485F66">
        <w:rPr>
          <w:rFonts w:eastAsia="Cambria Math" w:cs="Cambria Math"/>
          <w:i/>
          <w:iCs/>
          <w:color w:val="000000"/>
        </w:rPr>
        <w:t>wage</w:t>
      </w:r>
      <w:r w:rsidRPr="00485F66">
        <w:rPr>
          <w:rFonts w:eastAsia="Cambria Math" w:cs="Cambria Math"/>
          <w:i/>
          <w:iCs/>
          <w:color w:val="000000"/>
        </w:rPr>
        <w:t xml:space="preserve"> of the </w:t>
      </w:r>
      <w:r w:rsidR="00EC24E1" w:rsidRPr="00485F66">
        <w:rPr>
          <w:rFonts w:eastAsia="Cambria Math" w:cs="Cambria Math"/>
          <w:i/>
          <w:iCs/>
          <w:color w:val="000000"/>
        </w:rPr>
        <w:t xml:space="preserve">LPGW </w:t>
      </w:r>
      <w:r w:rsidRPr="00485F66">
        <w:rPr>
          <w:rFonts w:eastAsia="Cambria Math" w:cs="Cambria Math"/>
          <w:color w:val="000000"/>
        </w:rPr>
        <w:t xml:space="preserve">is published in the ILOSTAT database. </w:t>
      </w:r>
      <w:r w:rsidR="00617728" w:rsidRPr="00485F66">
        <w:rPr>
          <w:rFonts w:eastAsia="Cambria Math" w:cs="Cambria Math"/>
          <w:color w:val="000000"/>
        </w:rPr>
        <w:t xml:space="preserve">Information </w:t>
      </w:r>
      <w:r w:rsidR="00846928" w:rsidRPr="00485F66">
        <w:rPr>
          <w:rFonts w:eastAsia="Cambria Math" w:cs="Cambria Math"/>
          <w:color w:val="000000"/>
        </w:rPr>
        <w:t>regarding the</w:t>
      </w:r>
      <w:r w:rsidR="00617728" w:rsidRPr="00485F66">
        <w:rPr>
          <w:rFonts w:eastAsia="Cambria Math" w:cs="Cambria Math"/>
          <w:color w:val="000000"/>
        </w:rPr>
        <w:t xml:space="preserve"> </w:t>
      </w:r>
      <w:r w:rsidR="00617728" w:rsidRPr="00485F66">
        <w:rPr>
          <w:rFonts w:eastAsia="Cambria Math" w:cs="Cambria Math"/>
          <w:i/>
          <w:iCs/>
          <w:color w:val="000000"/>
        </w:rPr>
        <w:t>regional burden of diseases (DALYs)</w:t>
      </w:r>
      <w:r w:rsidR="00617728" w:rsidRPr="00485F66">
        <w:rPr>
          <w:rFonts w:eastAsia="Cambria Math" w:cs="Cambria Math"/>
          <w:color w:val="000000"/>
        </w:rPr>
        <w:t xml:space="preserve"> is publicly available </w:t>
      </w:r>
      <w:r w:rsidR="00846928" w:rsidRPr="00485F66">
        <w:rPr>
          <w:rFonts w:eastAsia="Cambria Math" w:cs="Cambria Math"/>
          <w:color w:val="000000"/>
        </w:rPr>
        <w:t>and</w:t>
      </w:r>
      <w:r w:rsidR="00617728" w:rsidRPr="00485F66">
        <w:rPr>
          <w:rFonts w:eastAsia="Cambria Math" w:cs="Cambria Math"/>
          <w:color w:val="000000"/>
        </w:rPr>
        <w:t xml:space="preserve"> published </w:t>
      </w:r>
      <w:r w:rsidR="002C409C" w:rsidRPr="00485F66">
        <w:rPr>
          <w:rFonts w:eastAsia="Cambria Math" w:cs="Cambria Math"/>
          <w:color w:val="000000"/>
        </w:rPr>
        <w:t>by WHO</w:t>
      </w:r>
      <w:r w:rsidR="00617728" w:rsidRPr="00485F66">
        <w:rPr>
          <w:rFonts w:eastAsia="Cambria Math" w:cs="Cambria Math"/>
          <w:color w:val="000000"/>
        </w:rPr>
        <w:t>.</w:t>
      </w:r>
    </w:p>
    <w:p w14:paraId="0A08FF19" w14:textId="77777777" w:rsidR="00CA7613" w:rsidRPr="00485F66" w:rsidRDefault="00CA7613" w:rsidP="77395C2D">
      <w:pPr>
        <w:keepNext/>
        <w:keepLines/>
        <w:pBdr>
          <w:bottom w:val="single" w:sz="12" w:space="4" w:color="DDDDDD"/>
        </w:pBdr>
        <w:shd w:val="clear" w:color="auto" w:fill="FFFFFF" w:themeFill="background1"/>
        <w:spacing w:after="0"/>
        <w:outlineLvl w:val="2"/>
        <w:rPr>
          <w:rFonts w:eastAsia="Times New Roman" w:cs="Times New Roman"/>
          <w:color w:val="1C75BC"/>
          <w:sz w:val="20"/>
          <w:szCs w:val="36"/>
          <w:lang w:eastAsia="en-GB"/>
        </w:rPr>
      </w:pPr>
    </w:p>
    <w:p w14:paraId="6371A6A1" w14:textId="78204BCD" w:rsidR="0058556D" w:rsidRPr="00485F66" w:rsidRDefault="77395C2D" w:rsidP="77395C2D">
      <w:pPr>
        <w:keepNext/>
        <w:keepLines/>
        <w:pBdr>
          <w:bottom w:val="single" w:sz="12" w:space="4" w:color="DDDDDD"/>
        </w:pBdr>
        <w:shd w:val="clear" w:color="auto" w:fill="FFFFFF" w:themeFill="background1"/>
        <w:spacing w:after="0"/>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t>Data Availability</w:t>
      </w:r>
    </w:p>
    <w:p w14:paraId="1A125CDC" w14:textId="77777777" w:rsidR="0058556D" w:rsidRPr="00485F66" w:rsidRDefault="0058556D" w:rsidP="77395C2D">
      <w:pPr>
        <w:keepNext/>
        <w:keepLines/>
        <w:shd w:val="clear" w:color="auto" w:fill="FFFFFF" w:themeFill="background1"/>
        <w:spacing w:after="0"/>
        <w:rPr>
          <w:rFonts w:eastAsia="Times New Roman" w:cs="Times New Roman"/>
          <w:b/>
          <w:bCs/>
          <w:color w:val="4A4A4A"/>
          <w:sz w:val="21"/>
          <w:szCs w:val="21"/>
          <w:lang w:eastAsia="en-GB"/>
        </w:rPr>
      </w:pPr>
    </w:p>
    <w:p w14:paraId="4D812CC0" w14:textId="77777777" w:rsidR="0058556D"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Description:</w:t>
      </w:r>
    </w:p>
    <w:p w14:paraId="2E4989C0" w14:textId="5D178CC4" w:rsidR="009715B0" w:rsidRPr="00485F66" w:rsidRDefault="77395C2D" w:rsidP="00F96E11">
      <w:pPr>
        <w:shd w:val="clear" w:color="auto" w:fill="FFFFFF" w:themeFill="background1"/>
        <w:spacing w:after="120" w:line="240" w:lineRule="auto"/>
        <w:rPr>
          <w:rFonts w:eastAsia="Times New Roman" w:cs="Times New Roman"/>
          <w:lang w:eastAsia="en-GB"/>
        </w:rPr>
      </w:pPr>
      <w:r w:rsidRPr="00485F66">
        <w:rPr>
          <w:rFonts w:eastAsia="Times New Roman" w:cs="Times New Roman"/>
          <w:b/>
          <w:bCs/>
          <w:lang w:eastAsia="en-GB"/>
        </w:rPr>
        <w:t xml:space="preserve">SARA: </w:t>
      </w:r>
      <w:r w:rsidRPr="00485F66">
        <w:rPr>
          <w:rFonts w:eastAsia="Times New Roman" w:cs="Times New Roman"/>
          <w:lang w:eastAsia="en-GB"/>
        </w:rPr>
        <w:t xml:space="preserve">21 national surveys are currently available from 2010 to 2017 for a total of 13 countries. </w:t>
      </w:r>
      <w:r w:rsidR="00846928" w:rsidRPr="00485F66">
        <w:rPr>
          <w:rFonts w:eastAsia="Times New Roman" w:cs="Times New Roman"/>
          <w:lang w:eastAsia="en-GB"/>
        </w:rPr>
        <w:t>Two</w:t>
      </w:r>
      <w:r w:rsidRPr="00485F66">
        <w:rPr>
          <w:rFonts w:eastAsia="Times New Roman" w:cs="Times New Roman"/>
          <w:lang w:eastAsia="en-GB"/>
        </w:rPr>
        <w:t xml:space="preserve">- and </w:t>
      </w:r>
      <w:r w:rsidR="00846928" w:rsidRPr="00485F66">
        <w:rPr>
          <w:rFonts w:eastAsia="Times New Roman" w:cs="Times New Roman"/>
          <w:lang w:eastAsia="en-GB"/>
        </w:rPr>
        <w:t>three</w:t>
      </w:r>
      <w:r w:rsidRPr="00485F66">
        <w:rPr>
          <w:rFonts w:eastAsia="Times New Roman" w:cs="Times New Roman"/>
          <w:lang w:eastAsia="en-GB"/>
        </w:rPr>
        <w:t xml:space="preserve">-year trends are available for </w:t>
      </w:r>
      <w:r w:rsidR="00846928" w:rsidRPr="00485F66">
        <w:rPr>
          <w:rFonts w:eastAsia="Times New Roman" w:cs="Times New Roman"/>
          <w:lang w:eastAsia="en-GB"/>
        </w:rPr>
        <w:t>six</w:t>
      </w:r>
      <w:r w:rsidRPr="00485F66">
        <w:rPr>
          <w:rFonts w:eastAsia="Times New Roman" w:cs="Times New Roman"/>
          <w:lang w:eastAsia="en-GB"/>
        </w:rPr>
        <w:t xml:space="preserve"> countries; the other </w:t>
      </w:r>
      <w:r w:rsidR="00846928" w:rsidRPr="00485F66">
        <w:rPr>
          <w:rFonts w:eastAsia="Times New Roman" w:cs="Times New Roman"/>
          <w:lang w:eastAsia="en-GB"/>
        </w:rPr>
        <w:t>seven</w:t>
      </w:r>
      <w:r w:rsidRPr="00485F66">
        <w:rPr>
          <w:rFonts w:eastAsia="Times New Roman" w:cs="Times New Roman"/>
          <w:lang w:eastAsia="en-GB"/>
        </w:rPr>
        <w:t xml:space="preserve"> countries only </w:t>
      </w:r>
      <w:r w:rsidR="00846928" w:rsidRPr="00485F66">
        <w:rPr>
          <w:rFonts w:eastAsia="Times New Roman" w:cs="Times New Roman"/>
          <w:lang w:eastAsia="en-GB"/>
        </w:rPr>
        <w:t xml:space="preserve">have </w:t>
      </w:r>
      <w:r w:rsidRPr="00485F66">
        <w:rPr>
          <w:rFonts w:eastAsia="Times New Roman" w:cs="Times New Roman"/>
          <w:lang w:eastAsia="en-GB"/>
        </w:rPr>
        <w:t xml:space="preserve">one data point. 67% of the SDG basket of relevant essential medicines is covered </w:t>
      </w:r>
      <w:r w:rsidR="00846928" w:rsidRPr="00485F66">
        <w:rPr>
          <w:rFonts w:eastAsia="Times New Roman" w:cs="Times New Roman"/>
          <w:lang w:eastAsia="en-GB"/>
        </w:rPr>
        <w:t>by</w:t>
      </w:r>
      <w:r w:rsidRPr="00485F66">
        <w:rPr>
          <w:rFonts w:eastAsia="Times New Roman" w:cs="Times New Roman"/>
          <w:lang w:eastAsia="en-GB"/>
        </w:rPr>
        <w:t xml:space="preserve"> such surveys. These data will be used to test quality on the availability dimension only.</w:t>
      </w:r>
    </w:p>
    <w:p w14:paraId="07B16BDB" w14:textId="48746013" w:rsidR="001849BF" w:rsidRPr="00485F66" w:rsidRDefault="77395C2D" w:rsidP="00F96E11">
      <w:pPr>
        <w:shd w:val="clear" w:color="auto" w:fill="FFFFFF" w:themeFill="background1"/>
        <w:spacing w:after="120" w:line="240" w:lineRule="auto"/>
        <w:rPr>
          <w:rFonts w:eastAsia="Times New Roman" w:cs="Times New Roman"/>
          <w:lang w:eastAsia="en-GB"/>
        </w:rPr>
      </w:pPr>
      <w:r w:rsidRPr="00485F66">
        <w:rPr>
          <w:rFonts w:eastAsia="Times New Roman" w:cs="Times New Roman"/>
          <w:b/>
          <w:bCs/>
          <w:lang w:eastAsia="en-GB"/>
        </w:rPr>
        <w:t xml:space="preserve">HAI/WHO: </w:t>
      </w:r>
      <w:r w:rsidRPr="00485F66">
        <w:rPr>
          <w:rFonts w:eastAsia="Times New Roman" w:cs="Times New Roman"/>
          <w:lang w:eastAsia="en-GB"/>
        </w:rPr>
        <w:t xml:space="preserve">Historical data points are available for 55 countries (28%) of all WHO </w:t>
      </w:r>
      <w:r w:rsidR="00846928" w:rsidRPr="00485F66">
        <w:rPr>
          <w:rFonts w:eastAsia="Times New Roman" w:cs="Times New Roman"/>
          <w:lang w:eastAsia="en-GB"/>
        </w:rPr>
        <w:t>M</w:t>
      </w:r>
      <w:r w:rsidRPr="00485F66">
        <w:rPr>
          <w:rFonts w:eastAsia="Times New Roman" w:cs="Times New Roman"/>
          <w:lang w:eastAsia="en-GB"/>
        </w:rPr>
        <w:t xml:space="preserve">ember </w:t>
      </w:r>
      <w:r w:rsidR="00846928" w:rsidRPr="00485F66">
        <w:rPr>
          <w:rFonts w:eastAsia="Times New Roman" w:cs="Times New Roman"/>
          <w:lang w:eastAsia="en-GB"/>
        </w:rPr>
        <w:t>S</w:t>
      </w:r>
      <w:r w:rsidRPr="00485F66">
        <w:rPr>
          <w:rFonts w:eastAsia="Times New Roman" w:cs="Times New Roman"/>
          <w:lang w:eastAsia="en-GB"/>
        </w:rPr>
        <w:t>tates. The highest number of countries captured by the surveys is in</w:t>
      </w:r>
      <w:r w:rsidR="00846928" w:rsidRPr="00485F66">
        <w:rPr>
          <w:rFonts w:eastAsia="Times New Roman" w:cs="Times New Roman"/>
          <w:lang w:eastAsia="en-GB"/>
        </w:rPr>
        <w:t xml:space="preserve"> the</w:t>
      </w:r>
      <w:r w:rsidRPr="00485F66">
        <w:rPr>
          <w:rFonts w:eastAsia="Times New Roman" w:cs="Times New Roman"/>
          <w:lang w:eastAsia="en-GB"/>
        </w:rPr>
        <w:t xml:space="preserve"> SEARO region (59%) and the smallest is in EURO </w:t>
      </w:r>
      <w:r w:rsidR="00846928" w:rsidRPr="00485F66">
        <w:rPr>
          <w:rFonts w:eastAsia="Times New Roman" w:cs="Times New Roman"/>
          <w:lang w:eastAsia="en-GB"/>
        </w:rPr>
        <w:t xml:space="preserve">region </w:t>
      </w:r>
      <w:r w:rsidRPr="00485F66">
        <w:rPr>
          <w:rFonts w:eastAsia="Times New Roman" w:cs="Times New Roman"/>
          <w:lang w:eastAsia="en-GB"/>
        </w:rPr>
        <w:t xml:space="preserve">(15%). More than 60% of the medicines from the defined </w:t>
      </w:r>
      <w:r w:rsidR="00846928" w:rsidRPr="00485F66">
        <w:rPr>
          <w:rFonts w:eastAsia="Times New Roman" w:cs="Times New Roman"/>
          <w:lang w:eastAsia="en-GB"/>
        </w:rPr>
        <w:t xml:space="preserve">SDG indicator </w:t>
      </w:r>
      <w:r w:rsidRPr="00485F66">
        <w:rPr>
          <w:rFonts w:eastAsia="Times New Roman" w:cs="Times New Roman"/>
          <w:lang w:eastAsia="en-GB"/>
        </w:rPr>
        <w:t xml:space="preserve">basket are captured in the </w:t>
      </w:r>
      <w:r w:rsidR="00846928" w:rsidRPr="00485F66">
        <w:rPr>
          <w:rFonts w:eastAsia="Times New Roman" w:cs="Times New Roman"/>
          <w:lang w:eastAsia="en-GB"/>
        </w:rPr>
        <w:t xml:space="preserve">HAI/WHO </w:t>
      </w:r>
      <w:r w:rsidRPr="00485F66">
        <w:rPr>
          <w:rFonts w:eastAsia="Times New Roman" w:cs="Times New Roman"/>
          <w:lang w:eastAsia="en-GB"/>
        </w:rPr>
        <w:t xml:space="preserve">historical data </w:t>
      </w:r>
      <w:r w:rsidR="00846928" w:rsidRPr="00485F66">
        <w:rPr>
          <w:rFonts w:eastAsia="Times New Roman" w:cs="Times New Roman"/>
          <w:lang w:eastAsia="en-GB"/>
        </w:rPr>
        <w:t>surveys</w:t>
      </w:r>
      <w:r w:rsidRPr="00485F66">
        <w:rPr>
          <w:rFonts w:eastAsia="Times New Roman" w:cs="Times New Roman"/>
          <w:lang w:eastAsia="en-GB"/>
        </w:rPr>
        <w:t>.</w:t>
      </w:r>
    </w:p>
    <w:p w14:paraId="16F7E693" w14:textId="77777777" w:rsidR="001849BF" w:rsidRPr="00485F66" w:rsidRDefault="001849BF" w:rsidP="00F96E11">
      <w:pPr>
        <w:shd w:val="clear" w:color="auto" w:fill="FFFFFF" w:themeFill="background1"/>
        <w:spacing w:after="120" w:line="240" w:lineRule="auto"/>
        <w:rPr>
          <w:rFonts w:eastAsia="Times New Roman" w:cs="Times New Roman"/>
          <w:lang w:eastAsia="en-GB"/>
        </w:rPr>
      </w:pPr>
    </w:p>
    <w:p w14:paraId="47B9BBD0" w14:textId="6A57647D" w:rsidR="001849BF" w:rsidRPr="00485F66" w:rsidRDefault="00AD00B5" w:rsidP="00F96E11">
      <w:pPr>
        <w:shd w:val="clear" w:color="auto" w:fill="FFFFFF" w:themeFill="background1"/>
        <w:spacing w:after="120" w:line="240" w:lineRule="auto"/>
        <w:jc w:val="center"/>
        <w:rPr>
          <w:rFonts w:eastAsia="Times New Roman" w:cs="Times New Roman"/>
          <w:lang w:eastAsia="en-GB"/>
        </w:rPr>
      </w:pPr>
      <w:r w:rsidRPr="00485F66">
        <w:rPr>
          <w:rFonts w:eastAsia="Times New Roman" w:cs="Times New Roman"/>
          <w:b/>
          <w:bCs/>
          <w:lang w:eastAsia="en-GB"/>
        </w:rPr>
        <w:t>Table 1</w:t>
      </w:r>
      <w:r w:rsidR="77395C2D" w:rsidRPr="00485F66">
        <w:rPr>
          <w:rFonts w:eastAsia="Times New Roman" w:cs="Times New Roman"/>
          <w:b/>
          <w:bCs/>
          <w:lang w:eastAsia="en-GB"/>
        </w:rPr>
        <w:t xml:space="preserve">. </w:t>
      </w:r>
      <w:r w:rsidR="77395C2D" w:rsidRPr="00485F66">
        <w:rPr>
          <w:rFonts w:eastAsia="Times New Roman" w:cs="Times New Roman"/>
          <w:lang w:eastAsia="en-GB"/>
        </w:rPr>
        <w:t>Number of countries captured by the surveys across regions</w:t>
      </w:r>
    </w:p>
    <w:tbl>
      <w:tblPr>
        <w:tblW w:w="6376" w:type="dxa"/>
        <w:jc w:val="center"/>
        <w:tblLook w:val="04A0" w:firstRow="1" w:lastRow="0" w:firstColumn="1" w:lastColumn="0" w:noHBand="0" w:noVBand="1"/>
      </w:tblPr>
      <w:tblGrid>
        <w:gridCol w:w="2514"/>
        <w:gridCol w:w="1023"/>
        <w:gridCol w:w="1022"/>
        <w:gridCol w:w="1023"/>
        <w:gridCol w:w="794"/>
      </w:tblGrid>
      <w:tr w:rsidR="00795F1A" w:rsidRPr="00485F66" w14:paraId="3FA71C98" w14:textId="77777777" w:rsidTr="00470709">
        <w:trPr>
          <w:trHeight w:val="198"/>
          <w:jc w:val="center"/>
        </w:trPr>
        <w:tc>
          <w:tcPr>
            <w:tcW w:w="2514" w:type="dxa"/>
            <w:tcBorders>
              <w:top w:val="single" w:sz="8" w:space="0" w:color="808080"/>
              <w:left w:val="single" w:sz="4" w:space="0" w:color="FFFFFF"/>
              <w:bottom w:val="single" w:sz="4" w:space="0" w:color="808080"/>
              <w:right w:val="single" w:sz="4" w:space="0" w:color="FFFFFF"/>
            </w:tcBorders>
            <w:shd w:val="clear" w:color="auto" w:fill="auto"/>
            <w:noWrap/>
            <w:vAlign w:val="bottom"/>
            <w:hideMark/>
          </w:tcPr>
          <w:p w14:paraId="615ED0EF" w14:textId="77777777" w:rsidR="00795F1A" w:rsidRPr="00485F66" w:rsidRDefault="00795F1A" w:rsidP="00795F1A">
            <w:pPr>
              <w:shd w:val="clear" w:color="auto" w:fill="FFFFFF" w:themeFill="background1"/>
              <w:spacing w:after="120" w:line="240" w:lineRule="auto"/>
              <w:rPr>
                <w:b/>
                <w:bCs/>
                <w:noProof/>
                <w:sz w:val="18"/>
                <w:u w:val="single"/>
                <w:lang w:val="en-US"/>
              </w:rPr>
            </w:pPr>
            <w:r w:rsidRPr="00485F66">
              <w:rPr>
                <w:b/>
                <w:bCs/>
                <w:noProof/>
                <w:sz w:val="18"/>
                <w:u w:val="single"/>
                <w:lang w:val="en-US"/>
              </w:rPr>
              <w:t>WHO Region</w:t>
            </w:r>
          </w:p>
        </w:tc>
        <w:tc>
          <w:tcPr>
            <w:tcW w:w="1023" w:type="dxa"/>
            <w:tcBorders>
              <w:top w:val="single" w:sz="8" w:space="0" w:color="808080"/>
              <w:left w:val="nil"/>
              <w:bottom w:val="single" w:sz="4" w:space="0" w:color="808080"/>
              <w:right w:val="single" w:sz="4" w:space="0" w:color="FFFFFF"/>
            </w:tcBorders>
            <w:shd w:val="clear" w:color="auto" w:fill="auto"/>
            <w:vAlign w:val="center"/>
            <w:hideMark/>
          </w:tcPr>
          <w:p w14:paraId="0D824F32" w14:textId="77777777" w:rsidR="00795F1A" w:rsidRPr="00485F66" w:rsidRDefault="00795F1A" w:rsidP="00795F1A">
            <w:pPr>
              <w:shd w:val="clear" w:color="auto" w:fill="FFFFFF" w:themeFill="background1"/>
              <w:spacing w:after="120" w:line="240" w:lineRule="auto"/>
              <w:jc w:val="center"/>
              <w:rPr>
                <w:b/>
                <w:bCs/>
                <w:noProof/>
                <w:sz w:val="18"/>
                <w:u w:val="single"/>
                <w:lang w:val="en-US"/>
              </w:rPr>
            </w:pPr>
            <w:r w:rsidRPr="00485F66">
              <w:rPr>
                <w:b/>
                <w:bCs/>
                <w:noProof/>
                <w:sz w:val="18"/>
                <w:u w:val="single"/>
                <w:lang w:val="en-US"/>
              </w:rPr>
              <w:t>2001-2005</w:t>
            </w:r>
          </w:p>
        </w:tc>
        <w:tc>
          <w:tcPr>
            <w:tcW w:w="1022" w:type="dxa"/>
            <w:tcBorders>
              <w:top w:val="single" w:sz="8" w:space="0" w:color="808080"/>
              <w:left w:val="nil"/>
              <w:bottom w:val="single" w:sz="4" w:space="0" w:color="808080"/>
              <w:right w:val="single" w:sz="4" w:space="0" w:color="FFFFFF"/>
            </w:tcBorders>
            <w:shd w:val="clear" w:color="auto" w:fill="auto"/>
            <w:vAlign w:val="center"/>
            <w:hideMark/>
          </w:tcPr>
          <w:p w14:paraId="5B24F9FE" w14:textId="77777777" w:rsidR="00795F1A" w:rsidRPr="00485F66" w:rsidRDefault="00795F1A" w:rsidP="00795F1A">
            <w:pPr>
              <w:shd w:val="clear" w:color="auto" w:fill="FFFFFF" w:themeFill="background1"/>
              <w:spacing w:after="120" w:line="240" w:lineRule="auto"/>
              <w:jc w:val="center"/>
              <w:rPr>
                <w:b/>
                <w:bCs/>
                <w:noProof/>
                <w:sz w:val="18"/>
                <w:u w:val="single"/>
                <w:lang w:val="en-US"/>
              </w:rPr>
            </w:pPr>
            <w:r w:rsidRPr="00485F66">
              <w:rPr>
                <w:b/>
                <w:bCs/>
                <w:noProof/>
                <w:sz w:val="18"/>
                <w:u w:val="single"/>
                <w:lang w:val="en-US"/>
              </w:rPr>
              <w:t>2005-2010</w:t>
            </w:r>
          </w:p>
        </w:tc>
        <w:tc>
          <w:tcPr>
            <w:tcW w:w="1023" w:type="dxa"/>
            <w:tcBorders>
              <w:top w:val="single" w:sz="8" w:space="0" w:color="808080"/>
              <w:left w:val="nil"/>
              <w:bottom w:val="single" w:sz="4" w:space="0" w:color="808080"/>
              <w:right w:val="single" w:sz="4" w:space="0" w:color="FFFFFF"/>
            </w:tcBorders>
            <w:shd w:val="clear" w:color="auto" w:fill="auto"/>
            <w:vAlign w:val="center"/>
            <w:hideMark/>
          </w:tcPr>
          <w:p w14:paraId="34977465" w14:textId="77777777" w:rsidR="00795F1A" w:rsidRPr="00485F66" w:rsidRDefault="00795F1A" w:rsidP="00795F1A">
            <w:pPr>
              <w:shd w:val="clear" w:color="auto" w:fill="FFFFFF" w:themeFill="background1"/>
              <w:spacing w:after="120" w:line="240" w:lineRule="auto"/>
              <w:jc w:val="center"/>
              <w:rPr>
                <w:b/>
                <w:bCs/>
                <w:noProof/>
                <w:sz w:val="18"/>
                <w:u w:val="single"/>
                <w:lang w:val="en-US"/>
              </w:rPr>
            </w:pPr>
            <w:r w:rsidRPr="00485F66">
              <w:rPr>
                <w:b/>
                <w:bCs/>
                <w:noProof/>
                <w:sz w:val="18"/>
                <w:u w:val="single"/>
                <w:lang w:val="en-US"/>
              </w:rPr>
              <w:t>2010-2015</w:t>
            </w:r>
          </w:p>
        </w:tc>
        <w:tc>
          <w:tcPr>
            <w:tcW w:w="794" w:type="dxa"/>
            <w:tcBorders>
              <w:top w:val="single" w:sz="8" w:space="0" w:color="808080"/>
              <w:left w:val="nil"/>
              <w:bottom w:val="single" w:sz="4" w:space="0" w:color="808080"/>
              <w:right w:val="single" w:sz="4" w:space="0" w:color="FFFFFF"/>
            </w:tcBorders>
            <w:shd w:val="clear" w:color="auto" w:fill="auto"/>
            <w:vAlign w:val="center"/>
            <w:hideMark/>
          </w:tcPr>
          <w:p w14:paraId="3159087B" w14:textId="77777777" w:rsidR="00795F1A" w:rsidRPr="00485F66" w:rsidRDefault="00795F1A" w:rsidP="00795F1A">
            <w:pPr>
              <w:shd w:val="clear" w:color="auto" w:fill="FFFFFF" w:themeFill="background1"/>
              <w:spacing w:after="120" w:line="240" w:lineRule="auto"/>
              <w:jc w:val="center"/>
              <w:rPr>
                <w:b/>
                <w:bCs/>
                <w:noProof/>
                <w:sz w:val="18"/>
                <w:u w:val="single"/>
                <w:lang w:val="en-US"/>
              </w:rPr>
            </w:pPr>
            <w:r w:rsidRPr="00485F66">
              <w:rPr>
                <w:b/>
                <w:bCs/>
                <w:noProof/>
                <w:sz w:val="18"/>
                <w:u w:val="single"/>
                <w:lang w:val="en-US"/>
              </w:rPr>
              <w:t>Total</w:t>
            </w:r>
          </w:p>
        </w:tc>
      </w:tr>
      <w:tr w:rsidR="00795F1A" w:rsidRPr="00485F66" w14:paraId="312ED007" w14:textId="77777777" w:rsidTr="00470709">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0900B8C2" w14:textId="77777777" w:rsidR="00795F1A" w:rsidRPr="00485F66" w:rsidRDefault="00795F1A" w:rsidP="00795F1A">
            <w:pPr>
              <w:shd w:val="clear" w:color="auto" w:fill="FFFFFF" w:themeFill="background1"/>
              <w:spacing w:after="120" w:line="240" w:lineRule="auto"/>
              <w:rPr>
                <w:i/>
                <w:iCs/>
                <w:noProof/>
                <w:sz w:val="18"/>
                <w:lang w:val="en-US"/>
              </w:rPr>
            </w:pPr>
            <w:r w:rsidRPr="00485F66">
              <w:rPr>
                <w:i/>
                <w:iCs/>
                <w:noProof/>
                <w:sz w:val="18"/>
                <w:lang w:val="en-US"/>
              </w:rPr>
              <w:t>African Region</w:t>
            </w:r>
          </w:p>
        </w:tc>
        <w:tc>
          <w:tcPr>
            <w:tcW w:w="1023" w:type="dxa"/>
            <w:tcBorders>
              <w:top w:val="nil"/>
              <w:left w:val="nil"/>
              <w:bottom w:val="single" w:sz="4" w:space="0" w:color="FFFFFF"/>
              <w:right w:val="single" w:sz="4" w:space="0" w:color="FFFFFF"/>
            </w:tcBorders>
            <w:shd w:val="clear" w:color="auto" w:fill="auto"/>
            <w:noWrap/>
            <w:vAlign w:val="bottom"/>
            <w:hideMark/>
          </w:tcPr>
          <w:p w14:paraId="7BBC8D2A"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14</w:t>
            </w:r>
          </w:p>
        </w:tc>
        <w:tc>
          <w:tcPr>
            <w:tcW w:w="1022" w:type="dxa"/>
            <w:tcBorders>
              <w:top w:val="nil"/>
              <w:left w:val="nil"/>
              <w:bottom w:val="single" w:sz="4" w:space="0" w:color="FFFFFF"/>
              <w:right w:val="single" w:sz="4" w:space="0" w:color="FFFFFF"/>
            </w:tcBorders>
            <w:shd w:val="clear" w:color="auto" w:fill="auto"/>
            <w:noWrap/>
            <w:vAlign w:val="bottom"/>
            <w:hideMark/>
          </w:tcPr>
          <w:p w14:paraId="0B808849"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5</w:t>
            </w:r>
          </w:p>
        </w:tc>
        <w:tc>
          <w:tcPr>
            <w:tcW w:w="1023" w:type="dxa"/>
            <w:tcBorders>
              <w:top w:val="nil"/>
              <w:left w:val="nil"/>
              <w:bottom w:val="single" w:sz="4" w:space="0" w:color="FFFFFF"/>
              <w:right w:val="single" w:sz="4" w:space="0" w:color="FFFFFF"/>
            </w:tcBorders>
            <w:shd w:val="clear" w:color="auto" w:fill="auto"/>
            <w:noWrap/>
            <w:vAlign w:val="bottom"/>
            <w:hideMark/>
          </w:tcPr>
          <w:p w14:paraId="5CF90E18"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2</w:t>
            </w:r>
          </w:p>
        </w:tc>
        <w:tc>
          <w:tcPr>
            <w:tcW w:w="794" w:type="dxa"/>
            <w:tcBorders>
              <w:top w:val="nil"/>
              <w:left w:val="nil"/>
              <w:bottom w:val="single" w:sz="4" w:space="0" w:color="FFFFFF"/>
              <w:right w:val="single" w:sz="4" w:space="0" w:color="FFFFFF"/>
            </w:tcBorders>
            <w:shd w:val="clear" w:color="auto" w:fill="auto"/>
            <w:noWrap/>
            <w:vAlign w:val="bottom"/>
            <w:hideMark/>
          </w:tcPr>
          <w:p w14:paraId="599E83B0"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21</w:t>
            </w:r>
          </w:p>
        </w:tc>
      </w:tr>
      <w:tr w:rsidR="00795F1A" w:rsidRPr="00485F66" w14:paraId="42E6EA6A" w14:textId="77777777" w:rsidTr="00470709">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6BEF7541" w14:textId="77777777" w:rsidR="00795F1A" w:rsidRPr="00485F66" w:rsidRDefault="00795F1A" w:rsidP="00795F1A">
            <w:pPr>
              <w:shd w:val="clear" w:color="auto" w:fill="FFFFFF" w:themeFill="background1"/>
              <w:spacing w:after="120" w:line="240" w:lineRule="auto"/>
              <w:rPr>
                <w:i/>
                <w:iCs/>
                <w:noProof/>
                <w:sz w:val="18"/>
                <w:lang w:val="en-US"/>
              </w:rPr>
            </w:pPr>
            <w:r w:rsidRPr="00485F66">
              <w:rPr>
                <w:i/>
                <w:iCs/>
                <w:noProof/>
                <w:sz w:val="18"/>
                <w:lang w:val="en-US"/>
              </w:rPr>
              <w:t>Region of the Americas</w:t>
            </w:r>
          </w:p>
        </w:tc>
        <w:tc>
          <w:tcPr>
            <w:tcW w:w="1023" w:type="dxa"/>
            <w:tcBorders>
              <w:top w:val="nil"/>
              <w:left w:val="nil"/>
              <w:bottom w:val="single" w:sz="4" w:space="0" w:color="FFFFFF"/>
              <w:right w:val="single" w:sz="4" w:space="0" w:color="FFFFFF"/>
            </w:tcBorders>
            <w:shd w:val="clear" w:color="auto" w:fill="auto"/>
            <w:noWrap/>
            <w:vAlign w:val="bottom"/>
            <w:hideMark/>
          </w:tcPr>
          <w:p w14:paraId="5C724136"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3</w:t>
            </w:r>
          </w:p>
        </w:tc>
        <w:tc>
          <w:tcPr>
            <w:tcW w:w="1022" w:type="dxa"/>
            <w:tcBorders>
              <w:top w:val="nil"/>
              <w:left w:val="nil"/>
              <w:bottom w:val="single" w:sz="4" w:space="0" w:color="FFFFFF"/>
              <w:right w:val="single" w:sz="4" w:space="0" w:color="FFFFFF"/>
            </w:tcBorders>
            <w:shd w:val="clear" w:color="auto" w:fill="auto"/>
            <w:noWrap/>
            <w:vAlign w:val="bottom"/>
            <w:hideMark/>
          </w:tcPr>
          <w:p w14:paraId="263CA589"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7</w:t>
            </w:r>
          </w:p>
        </w:tc>
        <w:tc>
          <w:tcPr>
            <w:tcW w:w="1023" w:type="dxa"/>
            <w:tcBorders>
              <w:top w:val="nil"/>
              <w:left w:val="nil"/>
              <w:bottom w:val="single" w:sz="4" w:space="0" w:color="FFFFFF"/>
              <w:right w:val="single" w:sz="4" w:space="0" w:color="FFFFFF"/>
            </w:tcBorders>
            <w:shd w:val="clear" w:color="auto" w:fill="auto"/>
            <w:noWrap/>
            <w:vAlign w:val="bottom"/>
            <w:hideMark/>
          </w:tcPr>
          <w:p w14:paraId="7FA74857"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1</w:t>
            </w:r>
          </w:p>
        </w:tc>
        <w:tc>
          <w:tcPr>
            <w:tcW w:w="794" w:type="dxa"/>
            <w:tcBorders>
              <w:top w:val="nil"/>
              <w:left w:val="nil"/>
              <w:bottom w:val="single" w:sz="4" w:space="0" w:color="FFFFFF"/>
              <w:right w:val="single" w:sz="4" w:space="0" w:color="FFFFFF"/>
            </w:tcBorders>
            <w:shd w:val="clear" w:color="auto" w:fill="auto"/>
            <w:noWrap/>
            <w:vAlign w:val="bottom"/>
            <w:hideMark/>
          </w:tcPr>
          <w:p w14:paraId="4F8F2E10"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11</w:t>
            </w:r>
          </w:p>
        </w:tc>
      </w:tr>
      <w:tr w:rsidR="00795F1A" w:rsidRPr="00485F66" w14:paraId="7195FE54" w14:textId="77777777" w:rsidTr="00470709">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2FBBACBD" w14:textId="77777777" w:rsidR="00795F1A" w:rsidRPr="00485F66" w:rsidRDefault="00795F1A" w:rsidP="00795F1A">
            <w:pPr>
              <w:shd w:val="clear" w:color="auto" w:fill="FFFFFF" w:themeFill="background1"/>
              <w:spacing w:after="120" w:line="240" w:lineRule="auto"/>
              <w:rPr>
                <w:i/>
                <w:iCs/>
                <w:noProof/>
                <w:sz w:val="18"/>
                <w:lang w:val="en-US"/>
              </w:rPr>
            </w:pPr>
            <w:r w:rsidRPr="00485F66">
              <w:rPr>
                <w:i/>
                <w:iCs/>
                <w:noProof/>
                <w:sz w:val="18"/>
                <w:lang w:val="en-US"/>
              </w:rPr>
              <w:t>Eastern Mediterranean Region</w:t>
            </w:r>
          </w:p>
        </w:tc>
        <w:tc>
          <w:tcPr>
            <w:tcW w:w="1023" w:type="dxa"/>
            <w:tcBorders>
              <w:top w:val="nil"/>
              <w:left w:val="nil"/>
              <w:bottom w:val="single" w:sz="4" w:space="0" w:color="FFFFFF"/>
              <w:right w:val="single" w:sz="4" w:space="0" w:color="FFFFFF"/>
            </w:tcBorders>
            <w:shd w:val="clear" w:color="auto" w:fill="auto"/>
            <w:noWrap/>
            <w:vAlign w:val="bottom"/>
            <w:hideMark/>
          </w:tcPr>
          <w:p w14:paraId="4DDEAC65"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8</w:t>
            </w:r>
          </w:p>
        </w:tc>
        <w:tc>
          <w:tcPr>
            <w:tcW w:w="1022" w:type="dxa"/>
            <w:tcBorders>
              <w:top w:val="nil"/>
              <w:left w:val="nil"/>
              <w:bottom w:val="single" w:sz="4" w:space="0" w:color="FFFFFF"/>
              <w:right w:val="single" w:sz="4" w:space="0" w:color="FFFFFF"/>
            </w:tcBorders>
            <w:shd w:val="clear" w:color="auto" w:fill="auto"/>
            <w:noWrap/>
            <w:vAlign w:val="bottom"/>
            <w:hideMark/>
          </w:tcPr>
          <w:p w14:paraId="72888172"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5</w:t>
            </w:r>
          </w:p>
        </w:tc>
        <w:tc>
          <w:tcPr>
            <w:tcW w:w="1023" w:type="dxa"/>
            <w:tcBorders>
              <w:top w:val="nil"/>
              <w:left w:val="nil"/>
              <w:bottom w:val="single" w:sz="4" w:space="0" w:color="FFFFFF"/>
              <w:right w:val="single" w:sz="4" w:space="0" w:color="FFFFFF"/>
            </w:tcBorders>
            <w:shd w:val="clear" w:color="auto" w:fill="auto"/>
            <w:noWrap/>
            <w:vAlign w:val="bottom"/>
            <w:hideMark/>
          </w:tcPr>
          <w:p w14:paraId="79DADBAF"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3</w:t>
            </w:r>
          </w:p>
        </w:tc>
        <w:tc>
          <w:tcPr>
            <w:tcW w:w="794" w:type="dxa"/>
            <w:tcBorders>
              <w:top w:val="nil"/>
              <w:left w:val="nil"/>
              <w:bottom w:val="single" w:sz="4" w:space="0" w:color="FFFFFF"/>
              <w:right w:val="single" w:sz="4" w:space="0" w:color="FFFFFF"/>
            </w:tcBorders>
            <w:shd w:val="clear" w:color="auto" w:fill="auto"/>
            <w:noWrap/>
            <w:vAlign w:val="bottom"/>
            <w:hideMark/>
          </w:tcPr>
          <w:p w14:paraId="5C2AD0B8"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16</w:t>
            </w:r>
          </w:p>
        </w:tc>
      </w:tr>
      <w:tr w:rsidR="00795F1A" w:rsidRPr="00485F66" w14:paraId="6F7D489A" w14:textId="77777777" w:rsidTr="00470709">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224AD467" w14:textId="77777777" w:rsidR="00795F1A" w:rsidRPr="00485F66" w:rsidRDefault="00795F1A" w:rsidP="00795F1A">
            <w:pPr>
              <w:shd w:val="clear" w:color="auto" w:fill="FFFFFF" w:themeFill="background1"/>
              <w:spacing w:after="120" w:line="240" w:lineRule="auto"/>
              <w:rPr>
                <w:i/>
                <w:iCs/>
                <w:noProof/>
                <w:sz w:val="18"/>
                <w:lang w:val="en-US"/>
              </w:rPr>
            </w:pPr>
            <w:r w:rsidRPr="00485F66">
              <w:rPr>
                <w:i/>
                <w:iCs/>
                <w:noProof/>
                <w:sz w:val="18"/>
                <w:lang w:val="en-US"/>
              </w:rPr>
              <w:t>European Region</w:t>
            </w:r>
          </w:p>
        </w:tc>
        <w:tc>
          <w:tcPr>
            <w:tcW w:w="1023" w:type="dxa"/>
            <w:tcBorders>
              <w:top w:val="nil"/>
              <w:left w:val="nil"/>
              <w:bottom w:val="single" w:sz="4" w:space="0" w:color="FFFFFF"/>
              <w:right w:val="single" w:sz="4" w:space="0" w:color="FFFFFF"/>
            </w:tcBorders>
            <w:shd w:val="clear" w:color="auto" w:fill="auto"/>
            <w:noWrap/>
            <w:vAlign w:val="bottom"/>
            <w:hideMark/>
          </w:tcPr>
          <w:p w14:paraId="2BC33EDF"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5</w:t>
            </w:r>
          </w:p>
        </w:tc>
        <w:tc>
          <w:tcPr>
            <w:tcW w:w="1022" w:type="dxa"/>
            <w:tcBorders>
              <w:top w:val="nil"/>
              <w:left w:val="nil"/>
              <w:bottom w:val="single" w:sz="4" w:space="0" w:color="FFFFFF"/>
              <w:right w:val="single" w:sz="4" w:space="0" w:color="FFFFFF"/>
            </w:tcBorders>
            <w:shd w:val="clear" w:color="auto" w:fill="auto"/>
            <w:noWrap/>
            <w:vAlign w:val="bottom"/>
            <w:hideMark/>
          </w:tcPr>
          <w:p w14:paraId="7C4FC77A"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2</w:t>
            </w:r>
          </w:p>
        </w:tc>
        <w:tc>
          <w:tcPr>
            <w:tcW w:w="1023" w:type="dxa"/>
            <w:tcBorders>
              <w:top w:val="nil"/>
              <w:left w:val="nil"/>
              <w:bottom w:val="single" w:sz="4" w:space="0" w:color="FFFFFF"/>
              <w:right w:val="single" w:sz="4" w:space="0" w:color="FFFFFF"/>
            </w:tcBorders>
            <w:shd w:val="clear" w:color="auto" w:fill="auto"/>
            <w:noWrap/>
            <w:vAlign w:val="bottom"/>
            <w:hideMark/>
          </w:tcPr>
          <w:p w14:paraId="1BA484B0"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3</w:t>
            </w:r>
          </w:p>
        </w:tc>
        <w:tc>
          <w:tcPr>
            <w:tcW w:w="794" w:type="dxa"/>
            <w:tcBorders>
              <w:top w:val="nil"/>
              <w:left w:val="nil"/>
              <w:bottom w:val="single" w:sz="4" w:space="0" w:color="FFFFFF"/>
              <w:right w:val="single" w:sz="4" w:space="0" w:color="FFFFFF"/>
            </w:tcBorders>
            <w:shd w:val="clear" w:color="auto" w:fill="auto"/>
            <w:noWrap/>
            <w:vAlign w:val="bottom"/>
            <w:hideMark/>
          </w:tcPr>
          <w:p w14:paraId="11832709"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10</w:t>
            </w:r>
          </w:p>
        </w:tc>
      </w:tr>
      <w:tr w:rsidR="00795F1A" w:rsidRPr="00485F66" w14:paraId="2A716405" w14:textId="77777777" w:rsidTr="00470709">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34572EF6" w14:textId="77777777" w:rsidR="00795F1A" w:rsidRPr="00485F66" w:rsidRDefault="00795F1A" w:rsidP="00795F1A">
            <w:pPr>
              <w:shd w:val="clear" w:color="auto" w:fill="FFFFFF" w:themeFill="background1"/>
              <w:spacing w:after="120" w:line="240" w:lineRule="auto"/>
              <w:rPr>
                <w:i/>
                <w:iCs/>
                <w:noProof/>
                <w:sz w:val="18"/>
                <w:lang w:val="en-US"/>
              </w:rPr>
            </w:pPr>
            <w:r w:rsidRPr="00485F66">
              <w:rPr>
                <w:i/>
                <w:iCs/>
                <w:noProof/>
                <w:sz w:val="18"/>
                <w:lang w:val="en-US"/>
              </w:rPr>
              <w:t>South-East Asia Region</w:t>
            </w:r>
          </w:p>
        </w:tc>
        <w:tc>
          <w:tcPr>
            <w:tcW w:w="1023" w:type="dxa"/>
            <w:tcBorders>
              <w:top w:val="nil"/>
              <w:left w:val="nil"/>
              <w:bottom w:val="single" w:sz="4" w:space="0" w:color="FFFFFF"/>
              <w:right w:val="single" w:sz="4" w:space="0" w:color="FFFFFF"/>
            </w:tcBorders>
            <w:shd w:val="clear" w:color="auto" w:fill="auto"/>
            <w:noWrap/>
            <w:vAlign w:val="bottom"/>
            <w:hideMark/>
          </w:tcPr>
          <w:p w14:paraId="0FB16651"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5</w:t>
            </w:r>
          </w:p>
        </w:tc>
        <w:tc>
          <w:tcPr>
            <w:tcW w:w="1022" w:type="dxa"/>
            <w:tcBorders>
              <w:top w:val="nil"/>
              <w:left w:val="nil"/>
              <w:bottom w:val="single" w:sz="4" w:space="0" w:color="FFFFFF"/>
              <w:right w:val="single" w:sz="4" w:space="0" w:color="FFFFFF"/>
            </w:tcBorders>
            <w:shd w:val="clear" w:color="auto" w:fill="auto"/>
            <w:noWrap/>
            <w:vAlign w:val="bottom"/>
            <w:hideMark/>
          </w:tcPr>
          <w:p w14:paraId="23AEE7D3"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2</w:t>
            </w:r>
          </w:p>
        </w:tc>
        <w:tc>
          <w:tcPr>
            <w:tcW w:w="1023" w:type="dxa"/>
            <w:tcBorders>
              <w:top w:val="nil"/>
              <w:left w:val="nil"/>
              <w:bottom w:val="single" w:sz="4" w:space="0" w:color="FFFFFF"/>
              <w:right w:val="single" w:sz="4" w:space="0" w:color="FFFFFF"/>
            </w:tcBorders>
            <w:shd w:val="clear" w:color="auto" w:fill="auto"/>
            <w:noWrap/>
            <w:vAlign w:val="bottom"/>
            <w:hideMark/>
          </w:tcPr>
          <w:p w14:paraId="08005E8D"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1</w:t>
            </w:r>
          </w:p>
        </w:tc>
        <w:tc>
          <w:tcPr>
            <w:tcW w:w="794" w:type="dxa"/>
            <w:tcBorders>
              <w:top w:val="nil"/>
              <w:left w:val="nil"/>
              <w:bottom w:val="single" w:sz="4" w:space="0" w:color="FFFFFF"/>
              <w:right w:val="single" w:sz="4" w:space="0" w:color="FFFFFF"/>
            </w:tcBorders>
            <w:shd w:val="clear" w:color="auto" w:fill="auto"/>
            <w:noWrap/>
            <w:vAlign w:val="bottom"/>
            <w:hideMark/>
          </w:tcPr>
          <w:p w14:paraId="1137F2FC"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8</w:t>
            </w:r>
          </w:p>
        </w:tc>
      </w:tr>
      <w:tr w:rsidR="00795F1A" w:rsidRPr="00485F66" w14:paraId="5B167F03" w14:textId="77777777" w:rsidTr="00470709">
        <w:trPr>
          <w:trHeight w:val="198"/>
          <w:jc w:val="center"/>
        </w:trPr>
        <w:tc>
          <w:tcPr>
            <w:tcW w:w="2514" w:type="dxa"/>
            <w:tcBorders>
              <w:top w:val="nil"/>
              <w:left w:val="single" w:sz="4" w:space="0" w:color="FFFFFF"/>
              <w:bottom w:val="nil"/>
              <w:right w:val="single" w:sz="4" w:space="0" w:color="FFFFFF"/>
            </w:tcBorders>
            <w:shd w:val="clear" w:color="auto" w:fill="auto"/>
            <w:noWrap/>
            <w:vAlign w:val="bottom"/>
            <w:hideMark/>
          </w:tcPr>
          <w:p w14:paraId="5B16EFAD" w14:textId="77777777" w:rsidR="00795F1A" w:rsidRPr="00485F66" w:rsidRDefault="00795F1A" w:rsidP="00795F1A">
            <w:pPr>
              <w:shd w:val="clear" w:color="auto" w:fill="FFFFFF" w:themeFill="background1"/>
              <w:spacing w:after="120" w:line="240" w:lineRule="auto"/>
              <w:rPr>
                <w:i/>
                <w:iCs/>
                <w:noProof/>
                <w:sz w:val="18"/>
                <w:lang w:val="en-US"/>
              </w:rPr>
            </w:pPr>
            <w:r w:rsidRPr="00485F66">
              <w:rPr>
                <w:i/>
                <w:iCs/>
                <w:noProof/>
                <w:sz w:val="18"/>
                <w:lang w:val="en-US"/>
              </w:rPr>
              <w:t>Western Pacific Region</w:t>
            </w:r>
          </w:p>
        </w:tc>
        <w:tc>
          <w:tcPr>
            <w:tcW w:w="1023" w:type="dxa"/>
            <w:tcBorders>
              <w:top w:val="nil"/>
              <w:left w:val="nil"/>
              <w:bottom w:val="nil"/>
              <w:right w:val="single" w:sz="4" w:space="0" w:color="FFFFFF"/>
            </w:tcBorders>
            <w:shd w:val="clear" w:color="auto" w:fill="auto"/>
            <w:noWrap/>
            <w:vAlign w:val="bottom"/>
            <w:hideMark/>
          </w:tcPr>
          <w:p w14:paraId="19F5B437"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6</w:t>
            </w:r>
          </w:p>
        </w:tc>
        <w:tc>
          <w:tcPr>
            <w:tcW w:w="1022" w:type="dxa"/>
            <w:tcBorders>
              <w:top w:val="nil"/>
              <w:left w:val="nil"/>
              <w:bottom w:val="nil"/>
              <w:right w:val="single" w:sz="4" w:space="0" w:color="FFFFFF"/>
            </w:tcBorders>
            <w:shd w:val="clear" w:color="auto" w:fill="auto"/>
            <w:noWrap/>
            <w:vAlign w:val="bottom"/>
            <w:hideMark/>
          </w:tcPr>
          <w:p w14:paraId="020F58D5"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2</w:t>
            </w:r>
          </w:p>
        </w:tc>
        <w:tc>
          <w:tcPr>
            <w:tcW w:w="1023" w:type="dxa"/>
            <w:tcBorders>
              <w:top w:val="nil"/>
              <w:left w:val="nil"/>
              <w:bottom w:val="nil"/>
              <w:right w:val="single" w:sz="4" w:space="0" w:color="FFFFFF"/>
            </w:tcBorders>
            <w:shd w:val="clear" w:color="auto" w:fill="auto"/>
            <w:noWrap/>
            <w:vAlign w:val="bottom"/>
            <w:hideMark/>
          </w:tcPr>
          <w:p w14:paraId="21CF955C" w14:textId="77777777" w:rsidR="00795F1A" w:rsidRPr="00485F66" w:rsidRDefault="00795F1A" w:rsidP="00795F1A">
            <w:pPr>
              <w:shd w:val="clear" w:color="auto" w:fill="FFFFFF" w:themeFill="background1"/>
              <w:spacing w:after="120" w:line="240" w:lineRule="auto"/>
              <w:jc w:val="center"/>
              <w:rPr>
                <w:noProof/>
                <w:sz w:val="18"/>
                <w:lang w:val="en-US"/>
              </w:rPr>
            </w:pPr>
            <w:r w:rsidRPr="00485F66">
              <w:rPr>
                <w:noProof/>
                <w:sz w:val="18"/>
                <w:lang w:val="en-US"/>
              </w:rPr>
              <w:t>2</w:t>
            </w:r>
          </w:p>
        </w:tc>
        <w:tc>
          <w:tcPr>
            <w:tcW w:w="794" w:type="dxa"/>
            <w:tcBorders>
              <w:top w:val="nil"/>
              <w:left w:val="nil"/>
              <w:bottom w:val="nil"/>
              <w:right w:val="single" w:sz="4" w:space="0" w:color="FFFFFF"/>
            </w:tcBorders>
            <w:shd w:val="clear" w:color="auto" w:fill="auto"/>
            <w:noWrap/>
            <w:vAlign w:val="bottom"/>
            <w:hideMark/>
          </w:tcPr>
          <w:p w14:paraId="33A1A3D2"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10</w:t>
            </w:r>
          </w:p>
        </w:tc>
      </w:tr>
      <w:tr w:rsidR="00795F1A" w:rsidRPr="00485F66" w14:paraId="02A4E79F" w14:textId="77777777" w:rsidTr="00470709">
        <w:trPr>
          <w:trHeight w:val="38"/>
          <w:jc w:val="center"/>
        </w:trPr>
        <w:tc>
          <w:tcPr>
            <w:tcW w:w="2514" w:type="dxa"/>
            <w:tcBorders>
              <w:top w:val="single" w:sz="4" w:space="0" w:color="808080"/>
              <w:left w:val="single" w:sz="4" w:space="0" w:color="FFFFFF"/>
              <w:bottom w:val="single" w:sz="8" w:space="0" w:color="808080"/>
              <w:right w:val="single" w:sz="4" w:space="0" w:color="FFFFFF"/>
            </w:tcBorders>
            <w:shd w:val="clear" w:color="auto" w:fill="auto"/>
            <w:noWrap/>
            <w:vAlign w:val="bottom"/>
            <w:hideMark/>
          </w:tcPr>
          <w:p w14:paraId="09137A1F" w14:textId="77777777" w:rsidR="00795F1A" w:rsidRPr="00485F66" w:rsidRDefault="00795F1A" w:rsidP="00795F1A">
            <w:pPr>
              <w:shd w:val="clear" w:color="auto" w:fill="FFFFFF" w:themeFill="background1"/>
              <w:spacing w:after="120" w:line="240" w:lineRule="auto"/>
              <w:rPr>
                <w:b/>
                <w:bCs/>
                <w:noProof/>
                <w:sz w:val="18"/>
                <w:lang w:val="en-US"/>
              </w:rPr>
            </w:pPr>
            <w:r w:rsidRPr="00485F66">
              <w:rPr>
                <w:b/>
                <w:bCs/>
                <w:noProof/>
                <w:sz w:val="18"/>
                <w:lang w:val="en-US"/>
              </w:rPr>
              <w:t>Total</w:t>
            </w:r>
          </w:p>
        </w:tc>
        <w:tc>
          <w:tcPr>
            <w:tcW w:w="1023" w:type="dxa"/>
            <w:tcBorders>
              <w:top w:val="single" w:sz="4" w:space="0" w:color="808080"/>
              <w:left w:val="nil"/>
              <w:bottom w:val="single" w:sz="8" w:space="0" w:color="808080"/>
              <w:right w:val="single" w:sz="4" w:space="0" w:color="FFFFFF"/>
            </w:tcBorders>
            <w:shd w:val="clear" w:color="auto" w:fill="auto"/>
            <w:noWrap/>
            <w:vAlign w:val="bottom"/>
            <w:hideMark/>
          </w:tcPr>
          <w:p w14:paraId="4B40BD8B"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41</w:t>
            </w:r>
          </w:p>
        </w:tc>
        <w:tc>
          <w:tcPr>
            <w:tcW w:w="1022" w:type="dxa"/>
            <w:tcBorders>
              <w:top w:val="single" w:sz="4" w:space="0" w:color="808080"/>
              <w:left w:val="nil"/>
              <w:bottom w:val="single" w:sz="8" w:space="0" w:color="808080"/>
              <w:right w:val="single" w:sz="4" w:space="0" w:color="FFFFFF"/>
            </w:tcBorders>
            <w:shd w:val="clear" w:color="auto" w:fill="auto"/>
            <w:noWrap/>
            <w:vAlign w:val="bottom"/>
            <w:hideMark/>
          </w:tcPr>
          <w:p w14:paraId="0DB465E0"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23</w:t>
            </w:r>
          </w:p>
        </w:tc>
        <w:tc>
          <w:tcPr>
            <w:tcW w:w="1023" w:type="dxa"/>
            <w:tcBorders>
              <w:top w:val="single" w:sz="4" w:space="0" w:color="808080"/>
              <w:left w:val="nil"/>
              <w:bottom w:val="single" w:sz="8" w:space="0" w:color="808080"/>
              <w:right w:val="single" w:sz="4" w:space="0" w:color="FFFFFF"/>
            </w:tcBorders>
            <w:shd w:val="clear" w:color="auto" w:fill="auto"/>
            <w:noWrap/>
            <w:vAlign w:val="bottom"/>
            <w:hideMark/>
          </w:tcPr>
          <w:p w14:paraId="5CB4F6D3"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12</w:t>
            </w:r>
          </w:p>
        </w:tc>
        <w:tc>
          <w:tcPr>
            <w:tcW w:w="794" w:type="dxa"/>
            <w:tcBorders>
              <w:top w:val="single" w:sz="4" w:space="0" w:color="808080"/>
              <w:left w:val="nil"/>
              <w:bottom w:val="single" w:sz="8" w:space="0" w:color="808080"/>
              <w:right w:val="single" w:sz="4" w:space="0" w:color="FFFFFF"/>
            </w:tcBorders>
            <w:shd w:val="clear" w:color="auto" w:fill="auto"/>
            <w:noWrap/>
            <w:vAlign w:val="bottom"/>
            <w:hideMark/>
          </w:tcPr>
          <w:p w14:paraId="256DDC30" w14:textId="77777777" w:rsidR="00795F1A" w:rsidRPr="00485F66" w:rsidRDefault="00795F1A" w:rsidP="00795F1A">
            <w:pPr>
              <w:shd w:val="clear" w:color="auto" w:fill="FFFFFF" w:themeFill="background1"/>
              <w:spacing w:after="120" w:line="240" w:lineRule="auto"/>
              <w:jc w:val="center"/>
              <w:rPr>
                <w:b/>
                <w:bCs/>
                <w:noProof/>
                <w:sz w:val="18"/>
                <w:lang w:val="en-US"/>
              </w:rPr>
            </w:pPr>
            <w:r w:rsidRPr="00485F66">
              <w:rPr>
                <w:b/>
                <w:bCs/>
                <w:noProof/>
                <w:sz w:val="18"/>
                <w:lang w:val="en-US"/>
              </w:rPr>
              <w:t>76</w:t>
            </w:r>
          </w:p>
        </w:tc>
      </w:tr>
    </w:tbl>
    <w:p w14:paraId="19CC5004" w14:textId="331B2A28" w:rsidR="001849BF" w:rsidRPr="00485F66" w:rsidRDefault="001849BF" w:rsidP="00F96E11">
      <w:pPr>
        <w:shd w:val="clear" w:color="auto" w:fill="FFFFFF" w:themeFill="background1"/>
        <w:spacing w:after="120" w:line="240" w:lineRule="auto"/>
        <w:jc w:val="center"/>
        <w:rPr>
          <w:rFonts w:eastAsia="Times New Roman" w:cs="Times New Roman"/>
          <w:sz w:val="21"/>
          <w:szCs w:val="21"/>
          <w:lang w:eastAsia="en-GB"/>
        </w:rPr>
      </w:pPr>
    </w:p>
    <w:p w14:paraId="0A4B74F4" w14:textId="79C122CD" w:rsidR="00BB2CC5" w:rsidRPr="00485F66" w:rsidRDefault="77395C2D" w:rsidP="00F96E11">
      <w:pPr>
        <w:shd w:val="clear" w:color="auto" w:fill="FFFFFF" w:themeFill="background1"/>
        <w:spacing w:after="120" w:line="240" w:lineRule="auto"/>
        <w:rPr>
          <w:rFonts w:eastAsia="Times New Roman" w:cs="Times New Roman"/>
          <w:b/>
          <w:bCs/>
          <w:lang w:eastAsia="en-GB"/>
        </w:rPr>
      </w:pPr>
      <w:r w:rsidRPr="00485F66">
        <w:rPr>
          <w:rFonts w:eastAsia="Times New Roman" w:cs="Times New Roman"/>
          <w:lang w:eastAsia="en-GB"/>
        </w:rPr>
        <w:t xml:space="preserve">HAI/WHO surveys were conducted more than once in some of the countries for a total of 76 surveys. </w:t>
      </w:r>
    </w:p>
    <w:p w14:paraId="4FA056D5" w14:textId="2228BC39" w:rsidR="00846928" w:rsidRPr="00485F66" w:rsidRDefault="77395C2D" w:rsidP="00F96E11">
      <w:pPr>
        <w:keepNext/>
        <w:keepLines/>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b/>
          <w:bCs/>
          <w:lang w:eastAsia="en-GB"/>
        </w:rPr>
        <w:lastRenderedPageBreak/>
        <w:t>EMP MedMon</w:t>
      </w:r>
      <w:r w:rsidRPr="00485F66">
        <w:rPr>
          <w:rFonts w:eastAsia="Times New Roman" w:cs="Times New Roman"/>
          <w:lang w:eastAsia="en-GB"/>
        </w:rPr>
        <w:t xml:space="preserve">: In 2016 the design of the EMP MedMon tool for data collection was finalised. Since then, several pilot surveys have been conducted to test the tool. </w:t>
      </w:r>
      <w:r w:rsidR="00846928" w:rsidRPr="00485F66">
        <w:rPr>
          <w:rFonts w:eastAsia="Times New Roman" w:cs="Times New Roman"/>
          <w:lang w:eastAsia="en-GB"/>
        </w:rPr>
        <w:t xml:space="preserve">The </w:t>
      </w:r>
      <w:r w:rsidRPr="00485F66">
        <w:rPr>
          <w:rFonts w:eastAsia="Times New Roman" w:cs="Times New Roman"/>
          <w:lang w:eastAsia="en-GB"/>
        </w:rPr>
        <w:t xml:space="preserve">first pilot survey was conducted across 19 countries using a basket of medicines that captures around 60% of the </w:t>
      </w:r>
      <w:r w:rsidR="00846928" w:rsidRPr="00485F66">
        <w:rPr>
          <w:rFonts w:eastAsia="Times New Roman" w:cs="Times New Roman"/>
          <w:lang w:eastAsia="en-GB"/>
        </w:rPr>
        <w:t xml:space="preserve">one </w:t>
      </w:r>
      <w:r w:rsidRPr="00485F66">
        <w:rPr>
          <w:rFonts w:eastAsia="Times New Roman" w:cs="Times New Roman"/>
          <w:lang w:eastAsia="en-GB"/>
        </w:rPr>
        <w:t xml:space="preserve">currently proposed. The second pilot used a basket adjusted for the purposes of capturing non-communicable diseases only. These pilots have demonstrated that </w:t>
      </w:r>
      <w:r w:rsidR="00846928" w:rsidRPr="00485F66">
        <w:rPr>
          <w:rFonts w:eastAsia="Times New Roman" w:cs="Times New Roman"/>
          <w:lang w:eastAsia="en-GB"/>
        </w:rPr>
        <w:t>this tool is flexible and can be easily manipulated to include specialized modules of medicines for future data collection.</w:t>
      </w:r>
    </w:p>
    <w:p w14:paraId="46BF37B1" w14:textId="77777777" w:rsidR="00A86BC7" w:rsidRPr="00485F66" w:rsidRDefault="00A86BC7" w:rsidP="00F96E11">
      <w:pPr>
        <w:keepNext/>
        <w:keepLines/>
        <w:shd w:val="clear" w:color="auto" w:fill="FFFFFF" w:themeFill="background1"/>
        <w:spacing w:after="120" w:line="240" w:lineRule="auto"/>
        <w:jc w:val="both"/>
        <w:rPr>
          <w:rFonts w:eastAsia="Times New Roman" w:cs="Times New Roman"/>
          <w:sz w:val="2"/>
          <w:lang w:eastAsia="en-GB"/>
        </w:rPr>
      </w:pPr>
    </w:p>
    <w:p w14:paraId="35F41CCD" w14:textId="77777777" w:rsidR="0058556D"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Time series:</w:t>
      </w:r>
    </w:p>
    <w:p w14:paraId="60AA7C6C" w14:textId="1C20F5C2" w:rsidR="00BB2CC5" w:rsidRPr="00485F66" w:rsidRDefault="77395C2D"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 xml:space="preserve">Existing data has been historically collected based on available funding. The </w:t>
      </w:r>
      <w:r w:rsidR="000D0863" w:rsidRPr="00485F66">
        <w:rPr>
          <w:rFonts w:eastAsia="Times New Roman" w:cs="Times New Roman"/>
          <w:lang w:eastAsia="en-GB"/>
        </w:rPr>
        <w:t xml:space="preserve">majority of existing </w:t>
      </w:r>
      <w:r w:rsidRPr="00485F66">
        <w:rPr>
          <w:rFonts w:eastAsia="Times New Roman" w:cs="Times New Roman"/>
          <w:lang w:eastAsia="en-GB"/>
        </w:rPr>
        <w:t>surveys ha</w:t>
      </w:r>
      <w:r w:rsidR="0026460E" w:rsidRPr="00485F66">
        <w:rPr>
          <w:rFonts w:eastAsia="Times New Roman" w:cs="Times New Roman"/>
          <w:lang w:eastAsia="en-GB"/>
        </w:rPr>
        <w:t>ve</w:t>
      </w:r>
      <w:r w:rsidRPr="00485F66">
        <w:rPr>
          <w:rFonts w:eastAsia="Times New Roman" w:cs="Times New Roman"/>
          <w:lang w:eastAsia="en-GB"/>
        </w:rPr>
        <w:t xml:space="preserve"> been collected </w:t>
      </w:r>
      <w:r w:rsidR="0026460E" w:rsidRPr="00485F66">
        <w:rPr>
          <w:rFonts w:eastAsia="Times New Roman" w:cs="Times New Roman"/>
          <w:lang w:eastAsia="en-GB"/>
        </w:rPr>
        <w:t xml:space="preserve">thus </w:t>
      </w:r>
      <w:r w:rsidRPr="00485F66">
        <w:rPr>
          <w:rFonts w:eastAsia="Times New Roman" w:cs="Times New Roman"/>
          <w:lang w:eastAsia="en-GB"/>
        </w:rPr>
        <w:t xml:space="preserve">far using the </w:t>
      </w:r>
      <w:r w:rsidRPr="00485F66">
        <w:rPr>
          <w:rFonts w:eastAsia="Times New Roman" w:cs="Times New Roman"/>
          <w:b/>
          <w:bCs/>
          <w:lang w:eastAsia="en-GB"/>
        </w:rPr>
        <w:t>HAI/WHO</w:t>
      </w:r>
      <w:r w:rsidRPr="00485F66">
        <w:rPr>
          <w:rFonts w:eastAsia="Times New Roman" w:cs="Times New Roman"/>
          <w:lang w:eastAsia="en-GB"/>
        </w:rPr>
        <w:t xml:space="preserve"> data collection tool. </w:t>
      </w:r>
      <w:r w:rsidR="0026460E" w:rsidRPr="00485F66">
        <w:rPr>
          <w:rFonts w:eastAsia="Times New Roman" w:cs="Times New Roman"/>
          <w:lang w:eastAsia="en-GB"/>
        </w:rPr>
        <w:t>Most of</w:t>
      </w:r>
      <w:r w:rsidRPr="00485F66">
        <w:rPr>
          <w:rFonts w:eastAsia="Times New Roman" w:cs="Times New Roman"/>
          <w:lang w:eastAsia="en-GB"/>
        </w:rPr>
        <w:t xml:space="preserve"> the</w:t>
      </w:r>
      <w:r w:rsidR="0026460E" w:rsidRPr="00485F66">
        <w:rPr>
          <w:rFonts w:eastAsia="Times New Roman" w:cs="Times New Roman"/>
          <w:lang w:eastAsia="en-GB"/>
        </w:rPr>
        <w:t xml:space="preserve"> existing</w:t>
      </w:r>
      <w:r w:rsidRPr="00485F66">
        <w:rPr>
          <w:rFonts w:eastAsia="Times New Roman" w:cs="Times New Roman"/>
          <w:lang w:eastAsia="en-GB"/>
        </w:rPr>
        <w:t xml:space="preserve"> data points are </w:t>
      </w:r>
      <w:r w:rsidR="0026460E" w:rsidRPr="00485F66">
        <w:rPr>
          <w:rFonts w:eastAsia="Times New Roman" w:cs="Times New Roman"/>
          <w:lang w:eastAsia="en-GB"/>
        </w:rPr>
        <w:t>from</w:t>
      </w:r>
      <w:r w:rsidRPr="00485F66">
        <w:rPr>
          <w:rFonts w:eastAsia="Times New Roman" w:cs="Times New Roman"/>
          <w:lang w:eastAsia="en-GB"/>
        </w:rPr>
        <w:t xml:space="preserve"> 2000 – 2005</w:t>
      </w:r>
      <w:r w:rsidR="0026460E" w:rsidRPr="00485F66">
        <w:rPr>
          <w:rFonts w:eastAsia="Times New Roman" w:cs="Times New Roman"/>
          <w:lang w:eastAsia="en-GB"/>
        </w:rPr>
        <w:t>.</w:t>
      </w:r>
      <w:r w:rsidRPr="00485F66">
        <w:rPr>
          <w:rFonts w:eastAsia="Times New Roman" w:cs="Times New Roman"/>
          <w:lang w:eastAsia="en-GB"/>
        </w:rPr>
        <w:t xml:space="preserve"> </w:t>
      </w:r>
    </w:p>
    <w:p w14:paraId="31CC2D5E" w14:textId="77777777" w:rsidR="00706139" w:rsidRPr="00485F66" w:rsidRDefault="77395C2D" w:rsidP="00F96E11">
      <w:pPr>
        <w:shd w:val="clear" w:color="auto" w:fill="FFFFFF" w:themeFill="background1"/>
        <w:spacing w:after="120" w:line="240" w:lineRule="auto"/>
        <w:jc w:val="center"/>
        <w:rPr>
          <w:rFonts w:eastAsia="Times New Roman" w:cs="Times New Roman"/>
          <w:lang w:eastAsia="en-GB"/>
        </w:rPr>
      </w:pPr>
      <w:r w:rsidRPr="00485F66">
        <w:rPr>
          <w:rFonts w:eastAsia="Times New Roman" w:cs="Times New Roman"/>
          <w:b/>
          <w:bCs/>
          <w:lang w:eastAsia="en-GB"/>
        </w:rPr>
        <w:t>Table</w:t>
      </w:r>
      <w:r w:rsidR="00AD00B5" w:rsidRPr="00485F66">
        <w:rPr>
          <w:rFonts w:eastAsia="Times New Roman" w:cs="Times New Roman"/>
          <w:b/>
          <w:bCs/>
          <w:lang w:eastAsia="en-GB"/>
        </w:rPr>
        <w:t xml:space="preserve"> 2</w:t>
      </w:r>
      <w:r w:rsidRPr="00485F66">
        <w:rPr>
          <w:rFonts w:eastAsia="Times New Roman" w:cs="Times New Roman"/>
          <w:b/>
          <w:bCs/>
          <w:lang w:eastAsia="en-GB"/>
        </w:rPr>
        <w:t xml:space="preserve">. </w:t>
      </w:r>
      <w:r w:rsidRPr="00485F66">
        <w:rPr>
          <w:rFonts w:eastAsia="Times New Roman" w:cs="Times New Roman"/>
          <w:lang w:eastAsia="en-GB"/>
        </w:rPr>
        <w:t xml:space="preserve">Number of surveys and % of medicines from the defined basket </w:t>
      </w:r>
    </w:p>
    <w:p w14:paraId="65D06A3B" w14:textId="65315D10" w:rsidR="00BB2CC5" w:rsidRPr="00485F66" w:rsidRDefault="77395C2D" w:rsidP="00F96E11">
      <w:pPr>
        <w:shd w:val="clear" w:color="auto" w:fill="FFFFFF" w:themeFill="background1"/>
        <w:spacing w:after="120" w:line="240" w:lineRule="auto"/>
        <w:jc w:val="center"/>
        <w:rPr>
          <w:rFonts w:eastAsia="Times New Roman" w:cs="Times New Roman"/>
          <w:lang w:eastAsia="en-GB"/>
        </w:rPr>
      </w:pPr>
      <w:r w:rsidRPr="00485F66">
        <w:rPr>
          <w:rFonts w:eastAsia="Times New Roman" w:cs="Times New Roman"/>
          <w:lang w:eastAsia="en-GB"/>
        </w:rPr>
        <w:t xml:space="preserve">that </w:t>
      </w:r>
      <w:r w:rsidR="0026460E" w:rsidRPr="00485F66">
        <w:rPr>
          <w:rFonts w:eastAsia="Times New Roman" w:cs="Times New Roman"/>
          <w:lang w:eastAsia="en-GB"/>
        </w:rPr>
        <w:t>are</w:t>
      </w:r>
      <w:r w:rsidRPr="00485F66">
        <w:rPr>
          <w:rFonts w:eastAsia="Times New Roman" w:cs="Times New Roman"/>
          <w:lang w:eastAsia="en-GB"/>
        </w:rPr>
        <w:t xml:space="preserve"> captured </w:t>
      </w:r>
      <w:r w:rsidR="0026460E" w:rsidRPr="00485F66">
        <w:rPr>
          <w:rFonts w:eastAsia="Times New Roman" w:cs="Times New Roman"/>
          <w:lang w:eastAsia="en-GB"/>
        </w:rPr>
        <w:t>by</w:t>
      </w:r>
      <w:r w:rsidRPr="00485F66">
        <w:rPr>
          <w:rFonts w:eastAsia="Times New Roman" w:cs="Times New Roman"/>
          <w:lang w:eastAsia="en-GB"/>
        </w:rPr>
        <w:t xml:space="preserve"> HAI/WHO surveys</w:t>
      </w:r>
    </w:p>
    <w:tbl>
      <w:tblPr>
        <w:tblW w:w="7062" w:type="dxa"/>
        <w:jc w:val="center"/>
        <w:tblLook w:val="04A0" w:firstRow="1" w:lastRow="0" w:firstColumn="1" w:lastColumn="0" w:noHBand="0" w:noVBand="1"/>
      </w:tblPr>
      <w:tblGrid>
        <w:gridCol w:w="3392"/>
        <w:gridCol w:w="1279"/>
        <w:gridCol w:w="1259"/>
        <w:gridCol w:w="1132"/>
      </w:tblGrid>
      <w:tr w:rsidR="00706139" w:rsidRPr="00485F66" w14:paraId="43377E49" w14:textId="77777777" w:rsidTr="00706139">
        <w:trPr>
          <w:trHeight w:val="247"/>
          <w:jc w:val="center"/>
        </w:trPr>
        <w:tc>
          <w:tcPr>
            <w:tcW w:w="3392" w:type="dxa"/>
            <w:tcBorders>
              <w:top w:val="single" w:sz="8" w:space="0" w:color="808080"/>
              <w:left w:val="single" w:sz="4" w:space="0" w:color="FFFFFF"/>
              <w:bottom w:val="single" w:sz="4" w:space="0" w:color="808080"/>
              <w:right w:val="single" w:sz="4" w:space="0" w:color="FFFFFF"/>
            </w:tcBorders>
            <w:shd w:val="clear" w:color="auto" w:fill="auto"/>
            <w:noWrap/>
            <w:vAlign w:val="bottom"/>
            <w:hideMark/>
          </w:tcPr>
          <w:p w14:paraId="585DEDB8" w14:textId="77777777" w:rsidR="00706139" w:rsidRPr="00485F66" w:rsidRDefault="00706139" w:rsidP="003C1A63">
            <w:pPr>
              <w:spacing w:after="0" w:line="240" w:lineRule="auto"/>
              <w:rPr>
                <w:rFonts w:ascii="Calibri" w:eastAsia="Times New Roman" w:hAnsi="Calibri" w:cs="Calibri"/>
                <w:color w:val="000000"/>
                <w:sz w:val="16"/>
              </w:rPr>
            </w:pPr>
            <w:bookmarkStart w:id="2" w:name="_Hlk526173672"/>
            <w:r w:rsidRPr="00485F66">
              <w:rPr>
                <w:rFonts w:ascii="Calibri" w:eastAsia="Times New Roman" w:hAnsi="Calibri" w:cs="Calibri"/>
                <w:color w:val="000000"/>
                <w:sz w:val="16"/>
              </w:rPr>
              <w:t> </w:t>
            </w:r>
          </w:p>
        </w:tc>
        <w:tc>
          <w:tcPr>
            <w:tcW w:w="1279" w:type="dxa"/>
            <w:tcBorders>
              <w:top w:val="single" w:sz="8" w:space="0" w:color="808080"/>
              <w:left w:val="nil"/>
              <w:bottom w:val="single" w:sz="4" w:space="0" w:color="808080"/>
              <w:right w:val="single" w:sz="4" w:space="0" w:color="FFFFFF"/>
            </w:tcBorders>
            <w:shd w:val="clear" w:color="auto" w:fill="auto"/>
            <w:noWrap/>
            <w:vAlign w:val="bottom"/>
            <w:hideMark/>
          </w:tcPr>
          <w:p w14:paraId="2675A29B" w14:textId="77777777" w:rsidR="00706139" w:rsidRPr="00485F66" w:rsidRDefault="00706139" w:rsidP="003C1A63">
            <w:pPr>
              <w:spacing w:after="0" w:line="240" w:lineRule="auto"/>
              <w:jc w:val="center"/>
              <w:rPr>
                <w:rFonts w:ascii="Calibri" w:eastAsia="Times New Roman" w:hAnsi="Calibri" w:cs="Calibri"/>
                <w:b/>
                <w:bCs/>
                <w:color w:val="000000"/>
                <w:sz w:val="16"/>
                <w:u w:val="single"/>
              </w:rPr>
            </w:pPr>
            <w:r w:rsidRPr="00485F66">
              <w:rPr>
                <w:rFonts w:ascii="Calibri" w:eastAsia="Times New Roman" w:hAnsi="Calibri" w:cs="Calibri"/>
                <w:b/>
                <w:bCs/>
                <w:color w:val="000000"/>
                <w:sz w:val="16"/>
                <w:u w:val="single"/>
              </w:rPr>
              <w:t>2001-2005</w:t>
            </w:r>
          </w:p>
        </w:tc>
        <w:tc>
          <w:tcPr>
            <w:tcW w:w="1259" w:type="dxa"/>
            <w:tcBorders>
              <w:top w:val="single" w:sz="8" w:space="0" w:color="808080"/>
              <w:left w:val="nil"/>
              <w:bottom w:val="single" w:sz="4" w:space="0" w:color="808080"/>
              <w:right w:val="single" w:sz="4" w:space="0" w:color="FFFFFF"/>
            </w:tcBorders>
            <w:shd w:val="clear" w:color="auto" w:fill="auto"/>
            <w:noWrap/>
            <w:vAlign w:val="bottom"/>
            <w:hideMark/>
          </w:tcPr>
          <w:p w14:paraId="09EBEA54" w14:textId="77777777" w:rsidR="00706139" w:rsidRPr="00485F66" w:rsidRDefault="00706139" w:rsidP="003C1A63">
            <w:pPr>
              <w:spacing w:after="0" w:line="240" w:lineRule="auto"/>
              <w:jc w:val="center"/>
              <w:rPr>
                <w:rFonts w:ascii="Calibri" w:eastAsia="Times New Roman" w:hAnsi="Calibri" w:cs="Calibri"/>
                <w:b/>
                <w:bCs/>
                <w:color w:val="000000"/>
                <w:sz w:val="16"/>
                <w:u w:val="single"/>
              </w:rPr>
            </w:pPr>
            <w:r w:rsidRPr="00485F66">
              <w:rPr>
                <w:rFonts w:ascii="Calibri" w:eastAsia="Times New Roman" w:hAnsi="Calibri" w:cs="Calibri"/>
                <w:b/>
                <w:bCs/>
                <w:color w:val="000000"/>
                <w:sz w:val="16"/>
                <w:u w:val="single"/>
              </w:rPr>
              <w:t>2005-2010</w:t>
            </w:r>
          </w:p>
        </w:tc>
        <w:tc>
          <w:tcPr>
            <w:tcW w:w="1132" w:type="dxa"/>
            <w:tcBorders>
              <w:top w:val="single" w:sz="8" w:space="0" w:color="808080"/>
              <w:left w:val="nil"/>
              <w:bottom w:val="single" w:sz="4" w:space="0" w:color="808080"/>
              <w:right w:val="single" w:sz="4" w:space="0" w:color="FFFFFF"/>
            </w:tcBorders>
            <w:shd w:val="clear" w:color="auto" w:fill="auto"/>
            <w:noWrap/>
            <w:vAlign w:val="bottom"/>
            <w:hideMark/>
          </w:tcPr>
          <w:p w14:paraId="3A896013" w14:textId="77777777" w:rsidR="00706139" w:rsidRPr="00485F66" w:rsidRDefault="00706139" w:rsidP="003C1A63">
            <w:pPr>
              <w:spacing w:after="0" w:line="240" w:lineRule="auto"/>
              <w:jc w:val="center"/>
              <w:rPr>
                <w:rFonts w:ascii="Calibri" w:eastAsia="Times New Roman" w:hAnsi="Calibri" w:cs="Calibri"/>
                <w:b/>
                <w:bCs/>
                <w:color w:val="000000"/>
                <w:sz w:val="16"/>
                <w:u w:val="single"/>
              </w:rPr>
            </w:pPr>
            <w:r w:rsidRPr="00485F66">
              <w:rPr>
                <w:rFonts w:ascii="Calibri" w:eastAsia="Times New Roman" w:hAnsi="Calibri" w:cs="Calibri"/>
                <w:b/>
                <w:bCs/>
                <w:color w:val="000000"/>
                <w:sz w:val="16"/>
                <w:u w:val="single"/>
              </w:rPr>
              <w:t>2010-2015</w:t>
            </w:r>
          </w:p>
        </w:tc>
      </w:tr>
      <w:tr w:rsidR="00706139" w:rsidRPr="00485F66" w14:paraId="2DA8FD72" w14:textId="77777777" w:rsidTr="00706139">
        <w:trPr>
          <w:trHeight w:val="247"/>
          <w:jc w:val="center"/>
        </w:trPr>
        <w:tc>
          <w:tcPr>
            <w:tcW w:w="3392" w:type="dxa"/>
            <w:tcBorders>
              <w:top w:val="nil"/>
              <w:left w:val="single" w:sz="4" w:space="0" w:color="FFFFFF"/>
              <w:bottom w:val="single" w:sz="4" w:space="0" w:color="FFFFFF"/>
              <w:right w:val="single" w:sz="4" w:space="0" w:color="FFFFFF"/>
            </w:tcBorders>
            <w:shd w:val="clear" w:color="auto" w:fill="auto"/>
            <w:vAlign w:val="bottom"/>
            <w:hideMark/>
          </w:tcPr>
          <w:p w14:paraId="42F49800" w14:textId="77777777" w:rsidR="00706139" w:rsidRPr="00485F66" w:rsidRDefault="00706139" w:rsidP="003C1A63">
            <w:pPr>
              <w:spacing w:after="0" w:line="240" w:lineRule="auto"/>
              <w:rPr>
                <w:rFonts w:ascii="Calibri" w:eastAsia="Times New Roman" w:hAnsi="Calibri" w:cs="Calibri"/>
                <w:i/>
                <w:iCs/>
                <w:color w:val="000000"/>
                <w:sz w:val="16"/>
              </w:rPr>
            </w:pPr>
            <w:r w:rsidRPr="00485F66">
              <w:rPr>
                <w:rFonts w:ascii="Calibri" w:eastAsia="Times New Roman" w:hAnsi="Calibri" w:cs="Calibri"/>
                <w:i/>
                <w:iCs/>
                <w:color w:val="000000"/>
                <w:sz w:val="16"/>
              </w:rPr>
              <w:t>Total number of surveys (n)</w:t>
            </w:r>
          </w:p>
        </w:tc>
        <w:tc>
          <w:tcPr>
            <w:tcW w:w="1279" w:type="dxa"/>
            <w:tcBorders>
              <w:top w:val="nil"/>
              <w:left w:val="nil"/>
              <w:bottom w:val="single" w:sz="4" w:space="0" w:color="FFFFFF"/>
              <w:right w:val="single" w:sz="4" w:space="0" w:color="FFFFFF"/>
            </w:tcBorders>
            <w:shd w:val="clear" w:color="auto" w:fill="auto"/>
            <w:noWrap/>
            <w:vAlign w:val="bottom"/>
            <w:hideMark/>
          </w:tcPr>
          <w:p w14:paraId="3C781DE7" w14:textId="77777777" w:rsidR="00706139" w:rsidRPr="00485F66" w:rsidRDefault="00706139" w:rsidP="003C1A63">
            <w:pPr>
              <w:spacing w:after="0" w:line="240" w:lineRule="auto"/>
              <w:jc w:val="center"/>
              <w:rPr>
                <w:rFonts w:ascii="Calibri" w:eastAsia="Times New Roman" w:hAnsi="Calibri" w:cs="Calibri"/>
                <w:color w:val="000000"/>
                <w:sz w:val="16"/>
              </w:rPr>
            </w:pPr>
            <w:r w:rsidRPr="00485F66">
              <w:rPr>
                <w:rFonts w:ascii="Calibri" w:eastAsia="Times New Roman" w:hAnsi="Calibri" w:cs="Calibri"/>
                <w:color w:val="000000"/>
                <w:sz w:val="16"/>
              </w:rPr>
              <w:t>41</w:t>
            </w:r>
          </w:p>
        </w:tc>
        <w:tc>
          <w:tcPr>
            <w:tcW w:w="1259" w:type="dxa"/>
            <w:tcBorders>
              <w:top w:val="nil"/>
              <w:left w:val="nil"/>
              <w:bottom w:val="single" w:sz="4" w:space="0" w:color="FFFFFF"/>
              <w:right w:val="single" w:sz="4" w:space="0" w:color="FFFFFF"/>
            </w:tcBorders>
            <w:shd w:val="clear" w:color="auto" w:fill="auto"/>
            <w:noWrap/>
            <w:vAlign w:val="bottom"/>
            <w:hideMark/>
          </w:tcPr>
          <w:p w14:paraId="672001F4" w14:textId="77777777" w:rsidR="00706139" w:rsidRPr="00485F66" w:rsidRDefault="00706139" w:rsidP="003C1A63">
            <w:pPr>
              <w:spacing w:after="0" w:line="240" w:lineRule="auto"/>
              <w:jc w:val="center"/>
              <w:rPr>
                <w:rFonts w:ascii="Calibri" w:eastAsia="Times New Roman" w:hAnsi="Calibri" w:cs="Calibri"/>
                <w:color w:val="000000"/>
                <w:sz w:val="16"/>
              </w:rPr>
            </w:pPr>
            <w:r w:rsidRPr="00485F66">
              <w:rPr>
                <w:rFonts w:ascii="Calibri" w:eastAsia="Times New Roman" w:hAnsi="Calibri" w:cs="Calibri"/>
                <w:color w:val="000000"/>
                <w:sz w:val="16"/>
              </w:rPr>
              <w:t>23</w:t>
            </w:r>
          </w:p>
        </w:tc>
        <w:tc>
          <w:tcPr>
            <w:tcW w:w="1132" w:type="dxa"/>
            <w:tcBorders>
              <w:top w:val="nil"/>
              <w:left w:val="nil"/>
              <w:bottom w:val="single" w:sz="4" w:space="0" w:color="FFFFFF"/>
              <w:right w:val="single" w:sz="4" w:space="0" w:color="FFFFFF"/>
            </w:tcBorders>
            <w:shd w:val="clear" w:color="auto" w:fill="auto"/>
            <w:noWrap/>
            <w:vAlign w:val="bottom"/>
            <w:hideMark/>
          </w:tcPr>
          <w:p w14:paraId="51F7E214" w14:textId="77777777" w:rsidR="00706139" w:rsidRPr="00485F66" w:rsidRDefault="00706139" w:rsidP="003C1A63">
            <w:pPr>
              <w:spacing w:after="0" w:line="240" w:lineRule="auto"/>
              <w:jc w:val="center"/>
              <w:rPr>
                <w:rFonts w:ascii="Calibri" w:eastAsia="Times New Roman" w:hAnsi="Calibri" w:cs="Calibri"/>
                <w:color w:val="000000"/>
                <w:sz w:val="16"/>
              </w:rPr>
            </w:pPr>
            <w:r w:rsidRPr="00485F66">
              <w:rPr>
                <w:rFonts w:ascii="Calibri" w:eastAsia="Times New Roman" w:hAnsi="Calibri" w:cs="Calibri"/>
                <w:color w:val="000000"/>
                <w:sz w:val="16"/>
              </w:rPr>
              <w:t>12</w:t>
            </w:r>
          </w:p>
        </w:tc>
      </w:tr>
      <w:tr w:rsidR="00706139" w:rsidRPr="00485F66" w14:paraId="53C6EA17" w14:textId="77777777" w:rsidTr="00706139">
        <w:trPr>
          <w:trHeight w:val="259"/>
          <w:jc w:val="center"/>
        </w:trPr>
        <w:tc>
          <w:tcPr>
            <w:tcW w:w="3392" w:type="dxa"/>
            <w:tcBorders>
              <w:top w:val="nil"/>
              <w:left w:val="single" w:sz="4" w:space="0" w:color="FFFFFF"/>
              <w:bottom w:val="single" w:sz="8" w:space="0" w:color="808080"/>
              <w:right w:val="single" w:sz="4" w:space="0" w:color="FFFFFF"/>
            </w:tcBorders>
            <w:shd w:val="clear" w:color="auto" w:fill="auto"/>
            <w:vAlign w:val="bottom"/>
            <w:hideMark/>
          </w:tcPr>
          <w:p w14:paraId="470FD2A2" w14:textId="77777777" w:rsidR="00706139" w:rsidRPr="00485F66" w:rsidRDefault="00706139" w:rsidP="003C1A63">
            <w:pPr>
              <w:spacing w:after="0" w:line="240" w:lineRule="auto"/>
              <w:rPr>
                <w:rFonts w:ascii="Calibri" w:eastAsia="Times New Roman" w:hAnsi="Calibri" w:cs="Calibri"/>
                <w:i/>
                <w:iCs/>
                <w:color w:val="000000"/>
                <w:sz w:val="16"/>
              </w:rPr>
            </w:pPr>
            <w:r w:rsidRPr="00485F66">
              <w:rPr>
                <w:rFonts w:ascii="Calibri" w:eastAsia="Times New Roman" w:hAnsi="Calibri" w:cs="Calibri"/>
                <w:i/>
                <w:iCs/>
                <w:color w:val="000000"/>
                <w:sz w:val="16"/>
              </w:rPr>
              <w:t>Medicines captured in the surveys (%)</w:t>
            </w:r>
          </w:p>
        </w:tc>
        <w:tc>
          <w:tcPr>
            <w:tcW w:w="1279" w:type="dxa"/>
            <w:tcBorders>
              <w:top w:val="nil"/>
              <w:left w:val="nil"/>
              <w:bottom w:val="single" w:sz="8" w:space="0" w:color="808080"/>
              <w:right w:val="single" w:sz="4" w:space="0" w:color="FFFFFF"/>
            </w:tcBorders>
            <w:shd w:val="clear" w:color="auto" w:fill="auto"/>
            <w:noWrap/>
            <w:vAlign w:val="bottom"/>
            <w:hideMark/>
          </w:tcPr>
          <w:p w14:paraId="451070FC" w14:textId="77777777" w:rsidR="00706139" w:rsidRPr="00485F66" w:rsidRDefault="00706139" w:rsidP="003C1A63">
            <w:pPr>
              <w:spacing w:after="0" w:line="240" w:lineRule="auto"/>
              <w:jc w:val="center"/>
              <w:rPr>
                <w:rFonts w:ascii="Calibri" w:eastAsia="Times New Roman" w:hAnsi="Calibri" w:cs="Calibri"/>
                <w:color w:val="000000"/>
                <w:sz w:val="16"/>
              </w:rPr>
            </w:pPr>
            <w:r w:rsidRPr="00485F66">
              <w:rPr>
                <w:rFonts w:ascii="Calibri" w:eastAsia="Times New Roman" w:hAnsi="Calibri" w:cs="Calibri"/>
                <w:color w:val="000000"/>
                <w:sz w:val="16"/>
              </w:rPr>
              <w:t>49.8%</w:t>
            </w:r>
          </w:p>
        </w:tc>
        <w:tc>
          <w:tcPr>
            <w:tcW w:w="1259" w:type="dxa"/>
            <w:tcBorders>
              <w:top w:val="nil"/>
              <w:left w:val="nil"/>
              <w:bottom w:val="single" w:sz="8" w:space="0" w:color="808080"/>
              <w:right w:val="single" w:sz="4" w:space="0" w:color="FFFFFF"/>
            </w:tcBorders>
            <w:shd w:val="clear" w:color="auto" w:fill="auto"/>
            <w:noWrap/>
            <w:vAlign w:val="bottom"/>
            <w:hideMark/>
          </w:tcPr>
          <w:p w14:paraId="22CB4F1D" w14:textId="77777777" w:rsidR="00706139" w:rsidRPr="00485F66" w:rsidRDefault="00706139" w:rsidP="003C1A63">
            <w:pPr>
              <w:spacing w:after="0" w:line="240" w:lineRule="auto"/>
              <w:jc w:val="center"/>
              <w:rPr>
                <w:rFonts w:ascii="Calibri" w:eastAsia="Times New Roman" w:hAnsi="Calibri" w:cs="Calibri"/>
                <w:color w:val="000000"/>
                <w:sz w:val="16"/>
              </w:rPr>
            </w:pPr>
            <w:r w:rsidRPr="00485F66">
              <w:rPr>
                <w:rFonts w:ascii="Calibri" w:eastAsia="Times New Roman" w:hAnsi="Calibri" w:cs="Calibri"/>
                <w:color w:val="000000"/>
                <w:sz w:val="16"/>
              </w:rPr>
              <w:t>66.3%</w:t>
            </w:r>
          </w:p>
        </w:tc>
        <w:tc>
          <w:tcPr>
            <w:tcW w:w="1132" w:type="dxa"/>
            <w:tcBorders>
              <w:top w:val="nil"/>
              <w:left w:val="nil"/>
              <w:bottom w:val="single" w:sz="8" w:space="0" w:color="808080"/>
              <w:right w:val="single" w:sz="4" w:space="0" w:color="FFFFFF"/>
            </w:tcBorders>
            <w:shd w:val="clear" w:color="auto" w:fill="auto"/>
            <w:noWrap/>
            <w:vAlign w:val="bottom"/>
            <w:hideMark/>
          </w:tcPr>
          <w:p w14:paraId="6CA6BDA9" w14:textId="77777777" w:rsidR="00706139" w:rsidRPr="00485F66" w:rsidRDefault="00706139" w:rsidP="003C1A63">
            <w:pPr>
              <w:spacing w:after="0" w:line="240" w:lineRule="auto"/>
              <w:jc w:val="center"/>
              <w:rPr>
                <w:rFonts w:ascii="Calibri" w:eastAsia="Times New Roman" w:hAnsi="Calibri" w:cs="Calibri"/>
                <w:color w:val="000000"/>
                <w:sz w:val="16"/>
              </w:rPr>
            </w:pPr>
            <w:r w:rsidRPr="00485F66">
              <w:rPr>
                <w:rFonts w:ascii="Calibri" w:eastAsia="Times New Roman" w:hAnsi="Calibri" w:cs="Calibri"/>
                <w:color w:val="000000"/>
                <w:sz w:val="16"/>
              </w:rPr>
              <w:t>72.9%</w:t>
            </w:r>
          </w:p>
        </w:tc>
      </w:tr>
      <w:bookmarkEnd w:id="2"/>
    </w:tbl>
    <w:p w14:paraId="26647EE1" w14:textId="77777777" w:rsidR="00706139" w:rsidRPr="00485F66" w:rsidRDefault="00706139" w:rsidP="00A353E5">
      <w:pPr>
        <w:shd w:val="clear" w:color="auto" w:fill="FFFFFF" w:themeFill="background1"/>
        <w:spacing w:after="0"/>
        <w:jc w:val="both"/>
        <w:rPr>
          <w:rFonts w:eastAsia="Times New Roman" w:cs="Times New Roman"/>
          <w:lang w:eastAsia="en-GB"/>
        </w:rPr>
      </w:pPr>
    </w:p>
    <w:p w14:paraId="145C79F8" w14:textId="3A7E1196" w:rsidR="00BB2CC5" w:rsidRPr="00485F66" w:rsidRDefault="77395C2D" w:rsidP="00A353E5">
      <w:pPr>
        <w:shd w:val="clear" w:color="auto" w:fill="FFFFFF" w:themeFill="background1"/>
        <w:spacing w:after="0"/>
        <w:jc w:val="both"/>
        <w:rPr>
          <w:rFonts w:eastAsia="Times New Roman" w:cs="Times New Roman"/>
          <w:b/>
          <w:bCs/>
          <w:lang w:eastAsia="en-GB"/>
        </w:rPr>
      </w:pPr>
      <w:r w:rsidRPr="00485F66">
        <w:rPr>
          <w:rFonts w:eastAsia="Times New Roman" w:cs="Times New Roman"/>
          <w:lang w:eastAsia="en-GB"/>
        </w:rPr>
        <w:t>The distribution of these 76 surveys across WHO regions is represented in</w:t>
      </w:r>
      <w:r w:rsidRPr="00485F66">
        <w:rPr>
          <w:rFonts w:eastAsia="Times New Roman" w:cs="Times New Roman"/>
          <w:b/>
          <w:bCs/>
          <w:lang w:eastAsia="en-GB"/>
        </w:rPr>
        <w:t xml:space="preserve"> Table </w:t>
      </w:r>
      <w:r w:rsidR="00706139" w:rsidRPr="00485F66">
        <w:rPr>
          <w:rFonts w:eastAsia="Times New Roman" w:cs="Times New Roman"/>
          <w:b/>
          <w:bCs/>
          <w:lang w:eastAsia="en-GB"/>
        </w:rPr>
        <w:t>3</w:t>
      </w:r>
      <w:r w:rsidRPr="00485F66">
        <w:rPr>
          <w:rFonts w:eastAsia="Times New Roman" w:cs="Times New Roman"/>
          <w:b/>
          <w:bCs/>
          <w:lang w:eastAsia="en-GB"/>
        </w:rPr>
        <w:t xml:space="preserve">. </w:t>
      </w:r>
    </w:p>
    <w:p w14:paraId="17B42A1E" w14:textId="78644A29" w:rsidR="00795F1A" w:rsidRPr="00485F66" w:rsidRDefault="00BB2CC5" w:rsidP="00677FB0">
      <w:pPr>
        <w:shd w:val="clear" w:color="auto" w:fill="FFFFFF" w:themeFill="background1"/>
        <w:spacing w:after="0"/>
        <w:jc w:val="center"/>
        <w:rPr>
          <w:noProof/>
          <w:lang w:val="en-US"/>
        </w:rPr>
      </w:pPr>
      <w:r w:rsidRPr="00485F66">
        <w:rPr>
          <w:rFonts w:eastAsia="Times New Roman" w:cs="Times New Roman"/>
          <w:b/>
          <w:bCs/>
          <w:sz w:val="21"/>
          <w:szCs w:val="21"/>
          <w:lang w:eastAsia="en-GB"/>
        </w:rPr>
        <w:t>Table</w:t>
      </w:r>
      <w:r w:rsidR="00AD00B5" w:rsidRPr="00485F66">
        <w:rPr>
          <w:rFonts w:eastAsia="Times New Roman" w:cs="Times New Roman"/>
          <w:b/>
          <w:bCs/>
          <w:sz w:val="21"/>
          <w:szCs w:val="21"/>
          <w:lang w:eastAsia="en-GB"/>
        </w:rPr>
        <w:t xml:space="preserve"> 3</w:t>
      </w:r>
      <w:r w:rsidRPr="00485F66">
        <w:rPr>
          <w:rFonts w:eastAsia="Times New Roman" w:cs="Times New Roman"/>
          <w:b/>
          <w:bCs/>
          <w:sz w:val="21"/>
          <w:szCs w:val="21"/>
          <w:lang w:eastAsia="en-GB"/>
        </w:rPr>
        <w:t xml:space="preserve">. </w:t>
      </w:r>
      <w:r w:rsidRPr="00485F66">
        <w:rPr>
          <w:rFonts w:eastAsia="Times New Roman" w:cs="Times New Roman"/>
          <w:sz w:val="21"/>
          <w:szCs w:val="21"/>
          <w:lang w:eastAsia="en-GB"/>
        </w:rPr>
        <w:t xml:space="preserve">Number of </w:t>
      </w:r>
      <w:r w:rsidR="00D825DA" w:rsidRPr="00485F66">
        <w:rPr>
          <w:rFonts w:eastAsia="Times New Roman" w:cs="Times New Roman"/>
          <w:sz w:val="21"/>
          <w:szCs w:val="21"/>
          <w:lang w:eastAsia="en-GB"/>
        </w:rPr>
        <w:t xml:space="preserve">HAI/WHO </w:t>
      </w:r>
      <w:r w:rsidRPr="00485F66">
        <w:rPr>
          <w:rFonts w:eastAsia="Times New Roman" w:cs="Times New Roman"/>
          <w:sz w:val="21"/>
          <w:szCs w:val="21"/>
          <w:lang w:eastAsia="en-GB"/>
        </w:rPr>
        <w:t>surveys across regions</w:t>
      </w:r>
      <w:r w:rsidR="00795F1A" w:rsidRPr="00485F66">
        <w:rPr>
          <w:noProof/>
          <w:lang w:val="en-US"/>
        </w:rPr>
        <w:drawing>
          <wp:inline distT="0" distB="0" distL="0" distR="0" wp14:anchorId="28C40E80" wp14:editId="3EB0A8F2">
            <wp:extent cx="4510147"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9779" cy="1656734"/>
                    </a:xfrm>
                    <a:prstGeom prst="rect">
                      <a:avLst/>
                    </a:prstGeom>
                    <a:noFill/>
                    <a:ln>
                      <a:noFill/>
                    </a:ln>
                  </pic:spPr>
                </pic:pic>
              </a:graphicData>
            </a:graphic>
          </wp:inline>
        </w:drawing>
      </w:r>
    </w:p>
    <w:p w14:paraId="54E96FEB" w14:textId="7DC0A077" w:rsidR="00D825DA" w:rsidRPr="00485F66" w:rsidRDefault="00795F1A"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t>O</w:t>
      </w:r>
      <w:r w:rsidR="77395C2D" w:rsidRPr="00485F66">
        <w:rPr>
          <w:rFonts w:eastAsia="Times New Roman" w:cs="Times New Roman"/>
          <w:lang w:eastAsia="en-GB"/>
        </w:rPr>
        <w:t xml:space="preserve">verall 21 </w:t>
      </w:r>
      <w:r w:rsidR="77395C2D" w:rsidRPr="00485F66">
        <w:rPr>
          <w:rFonts w:eastAsia="Times New Roman" w:cs="Times New Roman"/>
          <w:b/>
          <w:bCs/>
          <w:lang w:eastAsia="en-GB"/>
        </w:rPr>
        <w:t>SARA</w:t>
      </w:r>
      <w:r w:rsidR="77395C2D" w:rsidRPr="00485F66">
        <w:rPr>
          <w:rFonts w:eastAsia="Times New Roman" w:cs="Times New Roman"/>
          <w:lang w:eastAsia="en-GB"/>
        </w:rPr>
        <w:t xml:space="preserve"> surveys were conducted over </w:t>
      </w:r>
      <w:r w:rsidR="0026460E" w:rsidRPr="00485F66">
        <w:rPr>
          <w:rFonts w:eastAsia="Times New Roman" w:cs="Times New Roman"/>
          <w:lang w:eastAsia="en-GB"/>
        </w:rPr>
        <w:t>the</w:t>
      </w:r>
      <w:r w:rsidR="77395C2D" w:rsidRPr="00485F66">
        <w:rPr>
          <w:rFonts w:eastAsia="Times New Roman" w:cs="Times New Roman"/>
          <w:lang w:eastAsia="en-GB"/>
        </w:rPr>
        <w:t xml:space="preserve"> period from 2010 to 2017. 17 surveys were conducted between 2010 and 2015 and 4 surveys after 2015. </w:t>
      </w:r>
    </w:p>
    <w:p w14:paraId="3774C2E9" w14:textId="77777777" w:rsidR="00B17716" w:rsidRPr="00485F66" w:rsidRDefault="00B17716" w:rsidP="00A353E5">
      <w:pPr>
        <w:pBdr>
          <w:bottom w:val="single" w:sz="12" w:space="4" w:color="DDDDDD"/>
        </w:pBdr>
        <w:shd w:val="clear" w:color="auto" w:fill="FFFFFF" w:themeFill="background1"/>
        <w:spacing w:after="0"/>
        <w:jc w:val="both"/>
        <w:outlineLvl w:val="2"/>
        <w:rPr>
          <w:rFonts w:eastAsia="Times New Roman" w:cs="Times New Roman"/>
          <w:color w:val="1C75BC"/>
          <w:sz w:val="36"/>
          <w:szCs w:val="36"/>
          <w:lang w:eastAsia="en-GB"/>
        </w:rPr>
      </w:pPr>
    </w:p>
    <w:p w14:paraId="67F7F6E0" w14:textId="752F6CFB" w:rsidR="0058556D" w:rsidRPr="00485F66" w:rsidRDefault="77395C2D" w:rsidP="00A353E5">
      <w:pPr>
        <w:pBdr>
          <w:bottom w:val="single" w:sz="12" w:space="4" w:color="DDDDDD"/>
        </w:pBdr>
        <w:shd w:val="clear" w:color="auto" w:fill="FFFFFF" w:themeFill="background1"/>
        <w:spacing w:after="0"/>
        <w:jc w:val="both"/>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t>Calendar</w:t>
      </w:r>
    </w:p>
    <w:p w14:paraId="2EC6D6B4" w14:textId="77777777" w:rsidR="0058556D" w:rsidRPr="00485F66" w:rsidRDefault="0058556D" w:rsidP="00A353E5">
      <w:pPr>
        <w:shd w:val="clear" w:color="auto" w:fill="FFFFFF" w:themeFill="background1"/>
        <w:spacing w:after="0"/>
        <w:jc w:val="both"/>
        <w:rPr>
          <w:rFonts w:eastAsia="Times New Roman" w:cs="Times New Roman"/>
          <w:b/>
          <w:bCs/>
          <w:color w:val="4A4A4A"/>
          <w:sz w:val="21"/>
          <w:szCs w:val="21"/>
          <w:lang w:eastAsia="en-GB"/>
        </w:rPr>
      </w:pPr>
    </w:p>
    <w:p w14:paraId="36B4EB86" w14:textId="0850A35C" w:rsidR="00C449A8" w:rsidRPr="00485F66" w:rsidRDefault="77395C2D" w:rsidP="00F96E11">
      <w:pPr>
        <w:shd w:val="clear" w:color="auto" w:fill="FFFFFF" w:themeFill="background1"/>
        <w:spacing w:after="0"/>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Data collection:</w:t>
      </w:r>
    </w:p>
    <w:p w14:paraId="6CF3DE3D" w14:textId="41E9734D" w:rsidR="00D475C2" w:rsidRPr="00485F66" w:rsidRDefault="77395C2D" w:rsidP="00F96E11">
      <w:pPr>
        <w:shd w:val="clear" w:color="auto" w:fill="FFFFFF" w:themeFill="background1"/>
        <w:spacing w:after="120" w:line="240" w:lineRule="auto"/>
        <w:jc w:val="both"/>
        <w:rPr>
          <w:rFonts w:eastAsia="Times New Roman" w:cs="Times New Roman"/>
          <w:bCs/>
          <w:lang w:eastAsia="en-GB"/>
        </w:rPr>
      </w:pPr>
      <w:r w:rsidRPr="00485F66">
        <w:rPr>
          <w:rFonts w:eastAsia="Times New Roman" w:cs="Times New Roman"/>
          <w:b/>
          <w:bCs/>
          <w:lang w:eastAsia="en-GB"/>
        </w:rPr>
        <w:t>SARA</w:t>
      </w:r>
      <w:r w:rsidR="00A23FA7" w:rsidRPr="00485F66">
        <w:rPr>
          <w:rFonts w:eastAsia="Times New Roman" w:cs="Times New Roman"/>
          <w:b/>
          <w:bCs/>
          <w:lang w:eastAsia="en-GB"/>
        </w:rPr>
        <w:t xml:space="preserve"> &amp; HAI/WHO</w:t>
      </w:r>
      <w:r w:rsidRPr="00485F66">
        <w:rPr>
          <w:rFonts w:eastAsia="Times New Roman" w:cs="Times New Roman"/>
          <w:b/>
          <w:bCs/>
          <w:lang w:eastAsia="en-GB"/>
        </w:rPr>
        <w:t xml:space="preserve">: </w:t>
      </w:r>
      <w:r w:rsidR="003C7756" w:rsidRPr="00485F66">
        <w:rPr>
          <w:rFonts w:eastAsia="Times New Roman" w:cs="Times New Roman"/>
          <w:lang w:eastAsia="en-GB"/>
        </w:rPr>
        <w:t>Data collection activities have often been conducted using funds from international donors.</w:t>
      </w:r>
    </w:p>
    <w:p w14:paraId="31FA5DF9" w14:textId="7A1EFC53" w:rsidR="00D475C2" w:rsidRPr="00485F66" w:rsidRDefault="77395C2D" w:rsidP="00F96E11">
      <w:pPr>
        <w:keepNext/>
        <w:keepLines/>
        <w:shd w:val="clear" w:color="auto" w:fill="FFFFFF" w:themeFill="background1"/>
        <w:spacing w:after="120" w:line="240" w:lineRule="auto"/>
        <w:jc w:val="both"/>
        <w:rPr>
          <w:rFonts w:eastAsia="Times New Roman" w:cs="Times New Roman"/>
          <w:color w:val="4A4A4A"/>
          <w:lang w:eastAsia="en-GB"/>
        </w:rPr>
      </w:pPr>
      <w:r w:rsidRPr="00485F66">
        <w:rPr>
          <w:rFonts w:eastAsia="Times New Roman" w:cs="Times New Roman"/>
          <w:b/>
          <w:bCs/>
          <w:lang w:eastAsia="en-GB"/>
        </w:rPr>
        <w:t>EMP MedMon</w:t>
      </w:r>
      <w:r w:rsidRPr="00485F66">
        <w:rPr>
          <w:rFonts w:eastAsia="Times New Roman" w:cs="Times New Roman"/>
          <w:lang w:eastAsia="en-GB"/>
        </w:rPr>
        <w:t xml:space="preserve">: </w:t>
      </w:r>
      <w:r w:rsidR="003C7756" w:rsidRPr="00485F66">
        <w:rPr>
          <w:rFonts w:eastAsia="Times New Roman" w:cs="Times New Roman"/>
          <w:lang w:eastAsia="en-GB"/>
        </w:rPr>
        <w:t xml:space="preserve">Data collection activities </w:t>
      </w:r>
      <w:r w:rsidRPr="00485F66">
        <w:rPr>
          <w:rFonts w:eastAsia="Times New Roman" w:cs="Times New Roman"/>
          <w:lang w:eastAsia="en-GB"/>
        </w:rPr>
        <w:t xml:space="preserve">have been conducted using funds from international donors, but WHO is currently testing a sustainable regular monitoring mechanism through the integration of </w:t>
      </w:r>
      <w:r w:rsidR="00B626E2" w:rsidRPr="00485F66">
        <w:rPr>
          <w:rFonts w:eastAsia="Times New Roman" w:cs="Times New Roman"/>
          <w:lang w:eastAsia="en-GB"/>
        </w:rPr>
        <w:t xml:space="preserve">similar </w:t>
      </w:r>
      <w:r w:rsidRPr="00485F66">
        <w:rPr>
          <w:rFonts w:eastAsia="Times New Roman" w:cs="Times New Roman"/>
          <w:lang w:eastAsia="en-GB"/>
        </w:rPr>
        <w:t>data collection</w:t>
      </w:r>
      <w:r w:rsidR="00B626E2" w:rsidRPr="00485F66">
        <w:rPr>
          <w:rFonts w:eastAsia="Times New Roman" w:cs="Times New Roman"/>
          <w:lang w:eastAsia="en-GB"/>
        </w:rPr>
        <w:t xml:space="preserve"> during</w:t>
      </w:r>
      <w:r w:rsidRPr="00485F66">
        <w:rPr>
          <w:rFonts w:eastAsia="Times New Roman" w:cs="Times New Roman"/>
          <w:lang w:eastAsia="en-GB"/>
        </w:rPr>
        <w:t xml:space="preserve"> government inspection of</w:t>
      </w:r>
      <w:r w:rsidR="003C7756" w:rsidRPr="00485F66">
        <w:rPr>
          <w:rFonts w:eastAsia="Times New Roman" w:cs="Times New Roman"/>
          <w:lang w:eastAsia="en-GB"/>
        </w:rPr>
        <w:t xml:space="preserve"> health</w:t>
      </w:r>
      <w:r w:rsidRPr="00485F66">
        <w:rPr>
          <w:rFonts w:eastAsia="Times New Roman" w:cs="Times New Roman"/>
          <w:lang w:eastAsia="en-GB"/>
        </w:rPr>
        <w:t xml:space="preserve"> facilities</w:t>
      </w:r>
      <w:r w:rsidR="003C7756" w:rsidRPr="00485F66">
        <w:rPr>
          <w:rFonts w:eastAsia="Times New Roman" w:cs="Times New Roman"/>
          <w:lang w:eastAsia="en-GB"/>
        </w:rPr>
        <w:t xml:space="preserve"> or using country-determined sentinel monitoring sites.</w:t>
      </w:r>
    </w:p>
    <w:p w14:paraId="0F019861" w14:textId="77777777" w:rsidR="00653424" w:rsidRPr="00485F66" w:rsidRDefault="00653424" w:rsidP="00F96E11">
      <w:pPr>
        <w:shd w:val="clear" w:color="auto" w:fill="FFFFFF" w:themeFill="background1"/>
        <w:tabs>
          <w:tab w:val="left" w:pos="1320"/>
        </w:tabs>
        <w:spacing w:after="120" w:line="240" w:lineRule="auto"/>
        <w:jc w:val="both"/>
        <w:rPr>
          <w:rFonts w:eastAsia="Times New Roman" w:cs="Times New Roman"/>
          <w:color w:val="4A4A4A"/>
          <w:lang w:eastAsia="en-GB"/>
        </w:rPr>
      </w:pPr>
    </w:p>
    <w:p w14:paraId="4B3F862C" w14:textId="77777777" w:rsidR="0058556D" w:rsidRPr="00485F66" w:rsidRDefault="77395C2D" w:rsidP="00F96E11">
      <w:pPr>
        <w:shd w:val="clear" w:color="auto" w:fill="FFFFFF" w:themeFill="background1"/>
        <w:spacing w:after="120" w:line="240" w:lineRule="auto"/>
        <w:jc w:val="both"/>
        <w:rPr>
          <w:rFonts w:eastAsia="Times New Roman" w:cs="Times New Roman"/>
          <w:b/>
          <w:bCs/>
          <w:color w:val="4A4A4A"/>
          <w:sz w:val="24"/>
          <w:szCs w:val="24"/>
          <w:lang w:eastAsia="en-GB"/>
        </w:rPr>
      </w:pPr>
      <w:r w:rsidRPr="00485F66">
        <w:rPr>
          <w:rFonts w:eastAsia="Times New Roman" w:cs="Times New Roman"/>
          <w:b/>
          <w:bCs/>
          <w:color w:val="4A4A4A"/>
          <w:sz w:val="24"/>
          <w:szCs w:val="24"/>
          <w:lang w:eastAsia="en-GB"/>
        </w:rPr>
        <w:t>Data release:</w:t>
      </w:r>
    </w:p>
    <w:p w14:paraId="55B95234" w14:textId="3C2A199E" w:rsidR="00D475C2" w:rsidRPr="00485F66" w:rsidRDefault="00B626E2" w:rsidP="00F96E11">
      <w:pPr>
        <w:keepNext/>
        <w:keepLines/>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lang w:eastAsia="en-GB"/>
        </w:rPr>
        <w:lastRenderedPageBreak/>
        <w:t>Based on historical data points, t</w:t>
      </w:r>
      <w:r w:rsidR="77395C2D" w:rsidRPr="00485F66">
        <w:rPr>
          <w:rFonts w:eastAsia="Times New Roman" w:cs="Times New Roman"/>
          <w:lang w:eastAsia="en-GB"/>
        </w:rPr>
        <w:t>he first release of the SDG indicator 3.b.3</w:t>
      </w:r>
      <w:r w:rsidRPr="00485F66">
        <w:rPr>
          <w:rFonts w:eastAsia="Times New Roman" w:cs="Times New Roman"/>
          <w:lang w:eastAsia="en-GB"/>
        </w:rPr>
        <w:t xml:space="preserve"> results</w:t>
      </w:r>
      <w:r w:rsidR="77395C2D" w:rsidRPr="00485F66">
        <w:rPr>
          <w:rFonts w:eastAsia="Times New Roman" w:cs="Times New Roman"/>
          <w:lang w:eastAsia="en-GB"/>
        </w:rPr>
        <w:t xml:space="preserve"> is planned for </w:t>
      </w:r>
      <w:r w:rsidRPr="00485F66">
        <w:rPr>
          <w:rFonts w:eastAsia="Times New Roman" w:cs="Times New Roman"/>
          <w:lang w:eastAsia="en-GB"/>
        </w:rPr>
        <w:t xml:space="preserve">the </w:t>
      </w:r>
      <w:r w:rsidR="77395C2D" w:rsidRPr="00485F66">
        <w:rPr>
          <w:rFonts w:eastAsia="Times New Roman" w:cs="Times New Roman"/>
          <w:lang w:eastAsia="en-GB"/>
        </w:rPr>
        <w:t xml:space="preserve">summer </w:t>
      </w:r>
      <w:r w:rsidRPr="00485F66">
        <w:rPr>
          <w:rFonts w:eastAsia="Times New Roman" w:cs="Times New Roman"/>
          <w:lang w:eastAsia="en-GB"/>
        </w:rPr>
        <w:t xml:space="preserve">of </w:t>
      </w:r>
      <w:r w:rsidR="77395C2D" w:rsidRPr="00485F66">
        <w:rPr>
          <w:rFonts w:eastAsia="Times New Roman" w:cs="Times New Roman"/>
          <w:lang w:eastAsia="en-GB"/>
        </w:rPr>
        <w:t xml:space="preserve">2019. </w:t>
      </w:r>
      <w:r w:rsidRPr="00485F66">
        <w:rPr>
          <w:rFonts w:eastAsia="Times New Roman" w:cs="Times New Roman"/>
          <w:lang w:eastAsia="en-GB"/>
        </w:rPr>
        <w:t>Subsequently,</w:t>
      </w:r>
      <w:r w:rsidR="77395C2D" w:rsidRPr="00485F66">
        <w:rPr>
          <w:rFonts w:eastAsia="Times New Roman" w:cs="Times New Roman"/>
          <w:lang w:eastAsia="en-GB"/>
        </w:rPr>
        <w:t xml:space="preserve"> updated values will be calculated and published on an annual basis. </w:t>
      </w:r>
    </w:p>
    <w:p w14:paraId="5F0B2405" w14:textId="77777777" w:rsidR="00326C05" w:rsidRPr="00485F66" w:rsidRDefault="00326C05" w:rsidP="00A353E5">
      <w:pPr>
        <w:shd w:val="clear" w:color="auto" w:fill="FFFFFF" w:themeFill="background1"/>
        <w:spacing w:after="0"/>
        <w:jc w:val="both"/>
        <w:rPr>
          <w:rFonts w:eastAsia="Times New Roman" w:cs="Times New Roman"/>
          <w:color w:val="4A4A4A"/>
          <w:szCs w:val="36"/>
          <w:lang w:eastAsia="en-GB"/>
        </w:rPr>
      </w:pPr>
    </w:p>
    <w:p w14:paraId="4971AC15" w14:textId="77777777" w:rsidR="0058556D" w:rsidRPr="00485F66" w:rsidRDefault="77395C2D" w:rsidP="00A353E5">
      <w:pPr>
        <w:pBdr>
          <w:bottom w:val="single" w:sz="12" w:space="4" w:color="DDDDDD"/>
        </w:pBdr>
        <w:shd w:val="clear" w:color="auto" w:fill="FFFFFF" w:themeFill="background1"/>
        <w:spacing w:after="0"/>
        <w:jc w:val="both"/>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t>Data providers</w:t>
      </w:r>
    </w:p>
    <w:p w14:paraId="28E37A6C" w14:textId="69BF6AE2" w:rsidR="00326C05" w:rsidRPr="00485F66" w:rsidRDefault="77395C2D" w:rsidP="00A353E5">
      <w:pPr>
        <w:shd w:val="clear" w:color="auto" w:fill="FFFFFF" w:themeFill="background1"/>
        <w:spacing w:after="0"/>
        <w:jc w:val="both"/>
        <w:rPr>
          <w:rFonts w:eastAsia="Times New Roman" w:cs="Times New Roman"/>
          <w:lang w:eastAsia="en-GB"/>
        </w:rPr>
      </w:pPr>
      <w:r w:rsidRPr="00485F66">
        <w:rPr>
          <w:rFonts w:eastAsia="Times New Roman" w:cs="Times New Roman"/>
          <w:b/>
          <w:bCs/>
          <w:lang w:eastAsia="en-GB"/>
        </w:rPr>
        <w:t>SARA, HAI/WHO, EMP MedMon:</w:t>
      </w:r>
      <w:r w:rsidRPr="00485F66">
        <w:rPr>
          <w:rFonts w:eastAsia="Times New Roman" w:cs="Times New Roman"/>
          <w:lang w:eastAsia="en-GB"/>
        </w:rPr>
        <w:t xml:space="preserve"> Data is collected by the</w:t>
      </w:r>
      <w:r w:rsidR="006A32FC" w:rsidRPr="00485F66">
        <w:rPr>
          <w:rFonts w:eastAsia="Times New Roman" w:cs="Times New Roman"/>
          <w:lang w:eastAsia="en-GB"/>
        </w:rPr>
        <w:t xml:space="preserve"> countries’</w:t>
      </w:r>
      <w:r w:rsidRPr="00485F66">
        <w:rPr>
          <w:rFonts w:eastAsia="Times New Roman" w:cs="Times New Roman"/>
          <w:lang w:eastAsia="en-GB"/>
        </w:rPr>
        <w:t xml:space="preserve"> Ministries of Health (MOH)</w:t>
      </w:r>
      <w:r w:rsidR="00B626E2" w:rsidRPr="00485F66">
        <w:rPr>
          <w:rFonts w:eastAsia="Times New Roman" w:cs="Times New Roman"/>
          <w:lang w:eastAsia="en-GB"/>
        </w:rPr>
        <w:t>,</w:t>
      </w:r>
      <w:r w:rsidRPr="00485F66">
        <w:rPr>
          <w:rFonts w:eastAsia="Times New Roman" w:cs="Times New Roman"/>
          <w:lang w:eastAsia="en-GB"/>
        </w:rPr>
        <w:t xml:space="preserve"> often with the support of the WHO country office. </w:t>
      </w:r>
      <w:r w:rsidR="00B626E2" w:rsidRPr="00485F66">
        <w:rPr>
          <w:rFonts w:eastAsia="Times New Roman" w:cs="Times New Roman"/>
          <w:lang w:eastAsia="en-GB"/>
        </w:rPr>
        <w:t xml:space="preserve">Data </w:t>
      </w:r>
      <w:r w:rsidRPr="00485F66">
        <w:rPr>
          <w:rFonts w:eastAsia="Times New Roman" w:cs="Times New Roman"/>
          <w:lang w:eastAsia="en-GB"/>
        </w:rPr>
        <w:t>is</w:t>
      </w:r>
      <w:r w:rsidR="00B626E2" w:rsidRPr="00485F66">
        <w:rPr>
          <w:rFonts w:eastAsia="Times New Roman" w:cs="Times New Roman"/>
          <w:lang w:eastAsia="en-GB"/>
        </w:rPr>
        <w:t xml:space="preserve"> then</w:t>
      </w:r>
      <w:r w:rsidRPr="00485F66">
        <w:rPr>
          <w:rFonts w:eastAsia="Times New Roman" w:cs="Times New Roman"/>
          <w:lang w:eastAsia="en-GB"/>
        </w:rPr>
        <w:t xml:space="preserve"> validated by </w:t>
      </w:r>
      <w:r w:rsidR="00B626E2" w:rsidRPr="00485F66">
        <w:rPr>
          <w:rFonts w:eastAsia="Times New Roman" w:cs="Times New Roman"/>
          <w:lang w:eastAsia="en-GB"/>
        </w:rPr>
        <w:t xml:space="preserve">MoH-based </w:t>
      </w:r>
      <w:r w:rsidRPr="00485F66">
        <w:rPr>
          <w:rFonts w:eastAsia="Times New Roman" w:cs="Times New Roman"/>
          <w:lang w:eastAsia="en-GB"/>
        </w:rPr>
        <w:t xml:space="preserve">statisticians and shared with WHO by request. </w:t>
      </w:r>
    </w:p>
    <w:p w14:paraId="1A48E314" w14:textId="77777777" w:rsidR="00D475C2" w:rsidRPr="00485F66" w:rsidRDefault="00D475C2" w:rsidP="00A353E5">
      <w:pPr>
        <w:shd w:val="clear" w:color="auto" w:fill="FFFFFF" w:themeFill="background1"/>
        <w:spacing w:after="0"/>
        <w:jc w:val="both"/>
        <w:rPr>
          <w:rFonts w:eastAsia="Times New Roman" w:cs="Times New Roman"/>
          <w:color w:val="4A4A4A"/>
          <w:sz w:val="28"/>
          <w:szCs w:val="36"/>
          <w:lang w:eastAsia="en-GB"/>
        </w:rPr>
      </w:pPr>
    </w:p>
    <w:p w14:paraId="39DC3E14" w14:textId="77777777" w:rsidR="0058556D" w:rsidRPr="00485F66" w:rsidRDefault="77395C2D" w:rsidP="00A353E5">
      <w:pPr>
        <w:pBdr>
          <w:bottom w:val="single" w:sz="12" w:space="4" w:color="DDDDDD"/>
        </w:pBdr>
        <w:shd w:val="clear" w:color="auto" w:fill="FFFFFF" w:themeFill="background1"/>
        <w:spacing w:after="0"/>
        <w:jc w:val="both"/>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t>Data compilers</w:t>
      </w:r>
    </w:p>
    <w:p w14:paraId="51464B9F" w14:textId="45441122" w:rsidR="00326C05" w:rsidRPr="00485F66" w:rsidRDefault="77395C2D" w:rsidP="00A353E5">
      <w:pPr>
        <w:shd w:val="clear" w:color="auto" w:fill="FFFFFF" w:themeFill="background1"/>
        <w:spacing w:after="0"/>
        <w:jc w:val="both"/>
        <w:rPr>
          <w:rFonts w:eastAsia="Times New Roman" w:cs="Times New Roman"/>
          <w:lang w:eastAsia="en-GB"/>
        </w:rPr>
      </w:pPr>
      <w:r w:rsidRPr="00485F66">
        <w:rPr>
          <w:rFonts w:eastAsia="Times New Roman" w:cs="Times New Roman"/>
          <w:lang w:eastAsia="en-GB"/>
        </w:rPr>
        <w:t xml:space="preserve">The World Health Organization </w:t>
      </w:r>
    </w:p>
    <w:p w14:paraId="3B146B3A" w14:textId="00F540F9" w:rsidR="00B626E2" w:rsidRPr="00485F66" w:rsidRDefault="00B626E2" w:rsidP="00A353E5">
      <w:pPr>
        <w:pBdr>
          <w:bottom w:val="single" w:sz="12" w:space="4" w:color="DDDDDD"/>
        </w:pBdr>
        <w:shd w:val="clear" w:color="auto" w:fill="FFFFFF" w:themeFill="background1"/>
        <w:spacing w:after="0"/>
        <w:jc w:val="both"/>
        <w:outlineLvl w:val="2"/>
        <w:rPr>
          <w:rFonts w:eastAsia="Times New Roman" w:cs="Times New Roman"/>
          <w:color w:val="1C75BC"/>
          <w:sz w:val="28"/>
          <w:szCs w:val="36"/>
          <w:lang w:eastAsia="en-GB"/>
        </w:rPr>
      </w:pPr>
    </w:p>
    <w:p w14:paraId="16ED9C81" w14:textId="77777777" w:rsidR="0058556D" w:rsidRPr="00485F66" w:rsidRDefault="77395C2D" w:rsidP="00A353E5">
      <w:pPr>
        <w:pBdr>
          <w:bottom w:val="single" w:sz="12" w:space="4" w:color="DDDDDD"/>
        </w:pBdr>
        <w:shd w:val="clear" w:color="auto" w:fill="FFFFFF" w:themeFill="background1"/>
        <w:spacing w:after="0"/>
        <w:jc w:val="both"/>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t>References</w:t>
      </w:r>
    </w:p>
    <w:p w14:paraId="555AA519" w14:textId="2B7DFC7F" w:rsidR="002501F9" w:rsidRPr="00485F66" w:rsidRDefault="002501F9" w:rsidP="00EF0F08">
      <w:pPr>
        <w:pStyle w:val="ListParagraph"/>
        <w:numPr>
          <w:ilvl w:val="0"/>
          <w:numId w:val="37"/>
        </w:numPr>
        <w:shd w:val="clear" w:color="auto" w:fill="FFFFFF" w:themeFill="background1"/>
        <w:spacing w:after="120" w:line="240" w:lineRule="auto"/>
        <w:jc w:val="both"/>
        <w:rPr>
          <w:rFonts w:eastAsia="Times New Roman" w:cs="Times New Roman"/>
          <w:b/>
          <w:bCs/>
          <w:color w:val="4A4A4A"/>
          <w:lang w:val="en-US" w:eastAsia="en-GB"/>
        </w:rPr>
      </w:pPr>
      <w:r w:rsidRPr="00485F66">
        <w:rPr>
          <w:rFonts w:eastAsia="Times New Roman" w:cs="Times New Roman"/>
          <w:lang w:val="en-US" w:eastAsia="en-GB"/>
        </w:rPr>
        <w:t xml:space="preserve">World Health Organization and Health Action International, </w:t>
      </w:r>
      <w:r w:rsidRPr="00485F66">
        <w:rPr>
          <w:rFonts w:eastAsia="Times New Roman" w:cs="Times New Roman"/>
          <w:i/>
          <w:lang w:val="en-US" w:eastAsia="en-GB"/>
        </w:rPr>
        <w:t>Measuring medicine prices, availability, affordability and price components, 2</w:t>
      </w:r>
      <w:r w:rsidRPr="00485F66">
        <w:rPr>
          <w:rFonts w:eastAsia="Times New Roman" w:cs="Times New Roman"/>
          <w:i/>
          <w:vertAlign w:val="superscript"/>
          <w:lang w:val="en-US" w:eastAsia="en-GB"/>
        </w:rPr>
        <w:t>nd</w:t>
      </w:r>
      <w:r w:rsidRPr="00485F66">
        <w:rPr>
          <w:rFonts w:eastAsia="Times New Roman" w:cs="Times New Roman"/>
          <w:i/>
          <w:lang w:val="en-US" w:eastAsia="en-GB"/>
        </w:rPr>
        <w:t xml:space="preserve"> Edition</w:t>
      </w:r>
      <w:r w:rsidRPr="00485F66">
        <w:rPr>
          <w:rFonts w:eastAsia="Times New Roman" w:cs="Times New Roman"/>
          <w:lang w:val="en-US" w:eastAsia="en-GB"/>
        </w:rPr>
        <w:t xml:space="preserve"> (Switzerland, 2008), available from</w:t>
      </w:r>
      <w:r w:rsidRPr="00485F66">
        <w:rPr>
          <w:rFonts w:eastAsia="Times New Roman" w:cs="Times New Roman"/>
          <w:b/>
          <w:bCs/>
          <w:lang w:val="en-US" w:eastAsia="en-GB"/>
        </w:rPr>
        <w:t xml:space="preserve"> </w:t>
      </w:r>
      <w:hyperlink r:id="rId14" w:history="1">
        <w:r w:rsidRPr="00485F66">
          <w:rPr>
            <w:rStyle w:val="Hyperlink"/>
            <w:rFonts w:eastAsia="Times New Roman" w:cs="Times New Roman"/>
            <w:lang w:eastAsia="en-GB"/>
          </w:rPr>
          <w:t>http://www.who.int/medicines/areas/access/OMS_Medicine_prices.pdf</w:t>
        </w:r>
      </w:hyperlink>
    </w:p>
    <w:p w14:paraId="72900B39" w14:textId="1B4C6596" w:rsidR="002501F9" w:rsidRPr="00485F66" w:rsidRDefault="002501F9" w:rsidP="00EF0F08">
      <w:pPr>
        <w:pStyle w:val="ListParagraph"/>
        <w:numPr>
          <w:ilvl w:val="0"/>
          <w:numId w:val="37"/>
        </w:numPr>
        <w:shd w:val="clear" w:color="auto" w:fill="FFFFFF" w:themeFill="background1"/>
        <w:spacing w:after="120" w:line="240" w:lineRule="auto"/>
        <w:jc w:val="both"/>
        <w:rPr>
          <w:rFonts w:eastAsia="Times New Roman" w:cs="Times New Roman"/>
          <w:b/>
          <w:bCs/>
          <w:color w:val="4A4A4A"/>
          <w:lang w:val="en-US" w:eastAsia="en-GB"/>
        </w:rPr>
      </w:pPr>
      <w:r w:rsidRPr="00485F66">
        <w:rPr>
          <w:rFonts w:eastAsia="Times New Roman" w:cs="Times New Roman"/>
          <w:lang w:val="en-US" w:eastAsia="en-GB"/>
        </w:rPr>
        <w:t>“Defined Daily Dose: Definition and general considerations” (WHO Collaborating Centre for Drug Statistics methodology, 07 February 2018),</w:t>
      </w:r>
      <w:r w:rsidRPr="00485F66">
        <w:rPr>
          <w:rFonts w:eastAsia="Times New Roman" w:cs="Times New Roman"/>
          <w:b/>
          <w:bCs/>
          <w:lang w:val="en-US" w:eastAsia="en-GB"/>
        </w:rPr>
        <w:t xml:space="preserve"> </w:t>
      </w:r>
      <w:hyperlink r:id="rId15" w:history="1">
        <w:r w:rsidRPr="00485F66">
          <w:rPr>
            <w:rStyle w:val="Hyperlink"/>
            <w:rFonts w:eastAsia="Times New Roman" w:cs="Times New Roman"/>
            <w:lang w:val="en-US" w:eastAsia="en-GB"/>
          </w:rPr>
          <w:t>https://www.whocc.no/ddd/definition_and_general_considera/</w:t>
        </w:r>
      </w:hyperlink>
    </w:p>
    <w:p w14:paraId="210A8B9C" w14:textId="5CE1EFFA" w:rsidR="002501F9" w:rsidRPr="00485F66" w:rsidRDefault="002501F9" w:rsidP="00EF0F08">
      <w:pPr>
        <w:pStyle w:val="ListParagraph"/>
        <w:numPr>
          <w:ilvl w:val="0"/>
          <w:numId w:val="37"/>
        </w:numPr>
        <w:shd w:val="clear" w:color="auto" w:fill="FFFFFF" w:themeFill="background1"/>
        <w:spacing w:after="120" w:line="240" w:lineRule="auto"/>
        <w:jc w:val="both"/>
        <w:rPr>
          <w:rFonts w:eastAsia="Times New Roman" w:cs="Times New Roman"/>
          <w:b/>
          <w:bCs/>
          <w:color w:val="4A4A4A"/>
          <w:lang w:val="en-US" w:eastAsia="en-GB"/>
        </w:rPr>
      </w:pPr>
      <w:r w:rsidRPr="00485F66">
        <w:rPr>
          <w:rFonts w:eastAsia="Times New Roman" w:cs="Times New Roman"/>
          <w:lang w:val="en-US" w:eastAsia="en-GB"/>
        </w:rPr>
        <w:t>“How to define a minimum wage?” (International Labour Organization, 2018),</w:t>
      </w:r>
      <w:r w:rsidRPr="00485F66">
        <w:rPr>
          <w:rFonts w:eastAsia="Times New Roman" w:cs="Times New Roman"/>
          <w:b/>
          <w:bCs/>
          <w:lang w:val="en-US" w:eastAsia="en-GB"/>
        </w:rPr>
        <w:t xml:space="preserve"> </w:t>
      </w:r>
      <w:hyperlink r:id="rId16" w:history="1">
        <w:r w:rsidRPr="00485F66">
          <w:rPr>
            <w:rStyle w:val="Hyperlink"/>
            <w:rFonts w:eastAsia="Times New Roman" w:cs="Times New Roman"/>
            <w:lang w:eastAsia="en-GB"/>
          </w:rPr>
          <w:t>https://www.ilo.org/global/topics/wages/minimum-wages/definition/lang--en/index.htm</w:t>
        </w:r>
      </w:hyperlink>
    </w:p>
    <w:p w14:paraId="41B582D9" w14:textId="62C02468" w:rsidR="002501F9" w:rsidRPr="00485F66" w:rsidRDefault="002501F9" w:rsidP="00EF0F08">
      <w:pPr>
        <w:pStyle w:val="ListParagraph"/>
        <w:numPr>
          <w:ilvl w:val="0"/>
          <w:numId w:val="37"/>
        </w:numPr>
        <w:shd w:val="clear" w:color="auto" w:fill="FFFFFF" w:themeFill="background1"/>
        <w:spacing w:after="120" w:line="240" w:lineRule="auto"/>
        <w:jc w:val="both"/>
        <w:rPr>
          <w:rFonts w:eastAsia="Times New Roman" w:cs="Times New Roman"/>
          <w:b/>
          <w:bCs/>
          <w:color w:val="4A4A4A"/>
          <w:lang w:val="en-US" w:eastAsia="en-GB"/>
        </w:rPr>
      </w:pPr>
      <w:r w:rsidRPr="00485F66">
        <w:rPr>
          <w:rFonts w:eastAsia="Times New Roman" w:cs="Times New Roman"/>
          <w:lang w:val="en-US" w:eastAsia="en-GB"/>
        </w:rPr>
        <w:t xml:space="preserve">World Health Organization, </w:t>
      </w:r>
      <w:r w:rsidRPr="00485F66">
        <w:rPr>
          <w:rFonts w:eastAsia="Times New Roman" w:cs="Times New Roman"/>
          <w:i/>
          <w:lang w:val="en-US" w:eastAsia="en-GB"/>
        </w:rPr>
        <w:t>The Global Burden of Disease: 2004 Update</w:t>
      </w:r>
      <w:r w:rsidRPr="00485F66">
        <w:rPr>
          <w:rFonts w:eastAsia="Times New Roman" w:cs="Times New Roman"/>
          <w:lang w:val="en-US" w:eastAsia="en-GB"/>
        </w:rPr>
        <w:t xml:space="preserve"> (Switzerland, 2008), available from</w:t>
      </w:r>
      <w:r w:rsidRPr="00485F66">
        <w:rPr>
          <w:rFonts w:eastAsia="Times New Roman" w:cs="Times New Roman"/>
          <w:b/>
          <w:bCs/>
          <w:lang w:val="en-US" w:eastAsia="en-GB"/>
        </w:rPr>
        <w:t xml:space="preserve"> </w:t>
      </w:r>
      <w:hyperlink r:id="rId17" w:history="1">
        <w:r w:rsidRPr="00485F66">
          <w:rPr>
            <w:rStyle w:val="Hyperlink"/>
            <w:rFonts w:eastAsia="Times New Roman" w:cs="Times New Roman"/>
            <w:lang w:eastAsia="en-GB"/>
          </w:rPr>
          <w:t>http://www.who.int/healthinfo/global_burden_disease/2004_report_update/en/</w:t>
        </w:r>
      </w:hyperlink>
    </w:p>
    <w:p w14:paraId="4B10474E" w14:textId="77777777" w:rsidR="002501F9" w:rsidRPr="00485F66" w:rsidRDefault="002501F9" w:rsidP="00EF0F08">
      <w:pPr>
        <w:pStyle w:val="ListParagraph"/>
        <w:numPr>
          <w:ilvl w:val="0"/>
          <w:numId w:val="37"/>
        </w:numPr>
        <w:shd w:val="clear" w:color="auto" w:fill="FFFFFF" w:themeFill="background1"/>
        <w:spacing w:after="120" w:line="240" w:lineRule="auto"/>
        <w:jc w:val="both"/>
        <w:rPr>
          <w:rFonts w:eastAsia="Times New Roman" w:cs="Times New Roman"/>
          <w:b/>
          <w:bCs/>
          <w:color w:val="4A4A4A"/>
          <w:lang w:val="en-US" w:eastAsia="en-GB"/>
        </w:rPr>
      </w:pPr>
      <w:r w:rsidRPr="00485F66">
        <w:rPr>
          <w:rFonts w:eastAsia="Times New Roman" w:cs="Times New Roman"/>
          <w:lang w:val="en-US" w:eastAsia="en-GB"/>
        </w:rPr>
        <w:t>“WHO Global Benchmarking Tool (GBT) for evaluation of national regulatory systems” (WHO Essential medicines and health products, 2018), available from</w:t>
      </w:r>
      <w:r w:rsidRPr="00485F66">
        <w:rPr>
          <w:rFonts w:eastAsia="Times New Roman" w:cs="Times New Roman"/>
          <w:b/>
          <w:bCs/>
          <w:lang w:val="en-US" w:eastAsia="en-GB"/>
        </w:rPr>
        <w:t xml:space="preserve"> </w:t>
      </w:r>
      <w:hyperlink r:id="rId18" w:history="1">
        <w:r w:rsidRPr="00485F66">
          <w:rPr>
            <w:rStyle w:val="Hyperlink"/>
            <w:rFonts w:eastAsia="Times New Roman" w:cs="Times New Roman"/>
            <w:lang w:eastAsia="en-GB"/>
          </w:rPr>
          <w:t>http://www.who.int/medicines/regulation/benchmarking_tool/en/</w:t>
        </w:r>
      </w:hyperlink>
      <w:r w:rsidRPr="00485F66">
        <w:rPr>
          <w:rFonts w:eastAsia="Times New Roman" w:cs="Times New Roman"/>
          <w:color w:val="4A4A4A"/>
          <w:lang w:val="en-US" w:eastAsia="en-GB"/>
        </w:rPr>
        <w:t>.</w:t>
      </w:r>
    </w:p>
    <w:p w14:paraId="05EE628A" w14:textId="77777777" w:rsidR="002501F9" w:rsidRPr="00485F66" w:rsidRDefault="002501F9" w:rsidP="00EF0F08">
      <w:pPr>
        <w:pStyle w:val="ListParagraph"/>
        <w:numPr>
          <w:ilvl w:val="0"/>
          <w:numId w:val="37"/>
        </w:numPr>
        <w:shd w:val="clear" w:color="auto" w:fill="FFFFFF" w:themeFill="background1"/>
        <w:spacing w:after="120" w:line="240" w:lineRule="auto"/>
        <w:jc w:val="both"/>
        <w:rPr>
          <w:rFonts w:eastAsia="Times New Roman" w:cs="Times New Roman"/>
          <w:b/>
          <w:bCs/>
          <w:color w:val="4A4A4A"/>
          <w:lang w:val="en-US" w:eastAsia="en-GB"/>
        </w:rPr>
      </w:pPr>
      <w:r w:rsidRPr="00485F66">
        <w:rPr>
          <w:rFonts w:eastAsia="Times New Roman" w:cs="Times New Roman"/>
          <w:lang w:val="en-US" w:eastAsia="en-GB"/>
        </w:rPr>
        <w:t>“Disease burden and mortality estimates” (WHO Health statistics and information systems, 2018), available from</w:t>
      </w:r>
      <w:r w:rsidRPr="00485F66">
        <w:rPr>
          <w:rFonts w:eastAsia="Times New Roman" w:cs="Times New Roman"/>
          <w:b/>
          <w:bCs/>
          <w:lang w:val="en-US" w:eastAsia="en-GB"/>
        </w:rPr>
        <w:t xml:space="preserve"> </w:t>
      </w:r>
      <w:hyperlink r:id="rId19" w:history="1">
        <w:r w:rsidRPr="00485F66">
          <w:rPr>
            <w:rStyle w:val="Hyperlink"/>
            <w:rFonts w:eastAsia="Times New Roman" w:cs="Times New Roman"/>
            <w:lang w:eastAsia="en-GB"/>
          </w:rPr>
          <w:t>http://www.who.int/healthinfo/global_burden_disease/estimates/en/index1.html</w:t>
        </w:r>
      </w:hyperlink>
      <w:r w:rsidRPr="00485F66">
        <w:rPr>
          <w:rFonts w:eastAsia="Times New Roman" w:cs="Times New Roman"/>
          <w:color w:val="4A4A4A"/>
          <w:lang w:eastAsia="en-GB"/>
        </w:rPr>
        <w:t>.</w:t>
      </w:r>
    </w:p>
    <w:p w14:paraId="2EF02431" w14:textId="77777777" w:rsidR="002501F9" w:rsidRPr="00485F66" w:rsidRDefault="002501F9" w:rsidP="00EF0F08">
      <w:pPr>
        <w:pStyle w:val="ListParagraph"/>
        <w:numPr>
          <w:ilvl w:val="0"/>
          <w:numId w:val="37"/>
        </w:numPr>
        <w:shd w:val="clear" w:color="auto" w:fill="FFFFFF" w:themeFill="background1"/>
        <w:spacing w:after="120" w:line="240" w:lineRule="auto"/>
        <w:jc w:val="both"/>
        <w:rPr>
          <w:rFonts w:eastAsia="Times New Roman" w:cs="Times New Roman"/>
          <w:lang w:val="en-US" w:eastAsia="en-GB"/>
        </w:rPr>
      </w:pPr>
      <w:r w:rsidRPr="00485F66">
        <w:rPr>
          <w:rFonts w:eastAsia="Times New Roman" w:cs="Times New Roman"/>
          <w:lang w:val="en-US" w:eastAsia="en-GB"/>
        </w:rPr>
        <w:t>Alkire, S. and Robles, G. (2016). “Measuring multidimensional poverty: Dashboards, Union identification, and the Multidimensional Poverty Index (MPI).” OPHI Research in Progress 46a, University of Oxford.</w:t>
      </w:r>
    </w:p>
    <w:p w14:paraId="3499BA69" w14:textId="2F935B22" w:rsidR="00803CF1" w:rsidRPr="00485F66" w:rsidRDefault="002501F9" w:rsidP="00EF0F08">
      <w:pPr>
        <w:pStyle w:val="ListParagraph"/>
        <w:numPr>
          <w:ilvl w:val="0"/>
          <w:numId w:val="37"/>
        </w:numPr>
        <w:shd w:val="clear" w:color="auto" w:fill="FFFFFF" w:themeFill="background1"/>
        <w:spacing w:after="120" w:line="240" w:lineRule="auto"/>
        <w:jc w:val="both"/>
        <w:rPr>
          <w:rFonts w:eastAsia="Times New Roman" w:cs="Times New Roman"/>
          <w:b/>
          <w:bCs/>
          <w:color w:val="4A4A4A"/>
          <w:lang w:eastAsia="en-GB"/>
        </w:rPr>
      </w:pPr>
      <w:r w:rsidRPr="00485F66">
        <w:rPr>
          <w:rFonts w:eastAsia="Times New Roman" w:cs="Times New Roman"/>
          <w:lang w:val="en-US" w:eastAsia="en-GB"/>
        </w:rPr>
        <w:t>“Essential Medicines” (WHO Global Health Observatory data repository, 2016), available from</w:t>
      </w:r>
      <w:r w:rsidRPr="00485F66">
        <w:rPr>
          <w:rFonts w:eastAsia="Times New Roman" w:cs="Times New Roman"/>
          <w:b/>
          <w:bCs/>
          <w:lang w:val="en-US" w:eastAsia="en-GB"/>
        </w:rPr>
        <w:t xml:space="preserve"> </w:t>
      </w:r>
      <w:hyperlink r:id="rId20" w:history="1">
        <w:r w:rsidRPr="00485F66">
          <w:rPr>
            <w:rStyle w:val="Hyperlink"/>
            <w:rFonts w:eastAsia="Times New Roman" w:cs="Times New Roman"/>
            <w:lang w:val="en-US" w:eastAsia="en-GB"/>
          </w:rPr>
          <w:t>http://apps.who.int/gho/data/node.main.487</w:t>
        </w:r>
      </w:hyperlink>
      <w:r w:rsidRPr="00485F66">
        <w:rPr>
          <w:rFonts w:eastAsia="Times New Roman" w:cs="Times New Roman"/>
          <w:color w:val="4A4A4A"/>
          <w:lang w:val="en-US" w:eastAsia="en-GB"/>
        </w:rPr>
        <w:t>.</w:t>
      </w:r>
    </w:p>
    <w:p w14:paraId="062E46C5" w14:textId="1219991A" w:rsidR="00974AFE" w:rsidRPr="00485F66" w:rsidRDefault="00974AFE" w:rsidP="00974AFE">
      <w:pPr>
        <w:pStyle w:val="ListParagraph"/>
        <w:numPr>
          <w:ilvl w:val="0"/>
          <w:numId w:val="37"/>
        </w:numPr>
        <w:jc w:val="both"/>
      </w:pPr>
      <w:r w:rsidRPr="00485F66">
        <w:rPr>
          <w:rFonts w:eastAsia="Times New Roman" w:cs="Times New Roman"/>
          <w:lang w:val="en-US" w:eastAsia="en-GB"/>
        </w:rPr>
        <w:t xml:space="preserve">Health at a Glance 2017: OECD Indicators, OECD (2017). OECD Publishing, Paris </w:t>
      </w:r>
      <w:hyperlink r:id="rId21" w:history="1">
        <w:r w:rsidRPr="00485F66">
          <w:rPr>
            <w:rStyle w:val="Hyperlink"/>
            <w:rFonts w:eastAsia="Times New Roman" w:cs="Times New Roman"/>
            <w:lang w:val="en-US" w:eastAsia="en-GB"/>
          </w:rPr>
          <w:t>https://doi.org/10.1787/health_glance-2017-en</w:t>
        </w:r>
      </w:hyperlink>
      <w:r w:rsidRPr="00485F66">
        <w:rPr>
          <w:rStyle w:val="Hyperlink"/>
          <w:rFonts w:eastAsia="Times New Roman" w:cs="Times New Roman"/>
          <w:lang w:val="en-US" w:eastAsia="en-GB"/>
        </w:rPr>
        <w:t>.</w:t>
      </w:r>
      <w:r w:rsidRPr="00485F66">
        <w:t xml:space="preserve"> </w:t>
      </w:r>
    </w:p>
    <w:p w14:paraId="431BEA43" w14:textId="77777777" w:rsidR="00974AFE" w:rsidRPr="00485F66" w:rsidRDefault="00974AFE" w:rsidP="00974AFE">
      <w:pPr>
        <w:pStyle w:val="ListParagraph"/>
        <w:shd w:val="clear" w:color="auto" w:fill="FFFFFF" w:themeFill="background1"/>
        <w:spacing w:after="120" w:line="240" w:lineRule="auto"/>
        <w:jc w:val="both"/>
        <w:rPr>
          <w:rFonts w:eastAsia="Times New Roman" w:cs="Times New Roman"/>
          <w:b/>
          <w:bCs/>
          <w:color w:val="4A4A4A"/>
          <w:lang w:eastAsia="en-GB"/>
        </w:rPr>
      </w:pPr>
    </w:p>
    <w:p w14:paraId="773592D8" w14:textId="50E14341" w:rsidR="00C313F7" w:rsidRPr="00485F66" w:rsidRDefault="77395C2D" w:rsidP="00A353E5">
      <w:pPr>
        <w:pBdr>
          <w:bottom w:val="single" w:sz="12" w:space="4" w:color="DDDDDD"/>
        </w:pBdr>
        <w:shd w:val="clear" w:color="auto" w:fill="FFFFFF" w:themeFill="background1"/>
        <w:spacing w:after="0"/>
        <w:jc w:val="both"/>
        <w:outlineLvl w:val="2"/>
        <w:rPr>
          <w:rFonts w:eastAsia="Times New Roman" w:cs="Times New Roman"/>
          <w:lang w:eastAsia="en-GB"/>
        </w:rPr>
      </w:pPr>
      <w:r w:rsidRPr="00485F66">
        <w:rPr>
          <w:rFonts w:eastAsia="Times New Roman" w:cs="Times New Roman"/>
          <w:color w:val="1C75BC"/>
          <w:sz w:val="36"/>
          <w:szCs w:val="36"/>
          <w:lang w:eastAsia="en-GB"/>
        </w:rPr>
        <w:t>Related indicators as of February 2020</w:t>
      </w:r>
      <w:r w:rsidR="009E0CF6" w:rsidRPr="00485F66">
        <w:rPr>
          <w:rFonts w:eastAsia="Times New Roman" w:cs="Times New Roman"/>
          <w:color w:val="1C75BC"/>
          <w:sz w:val="36"/>
          <w:szCs w:val="36"/>
          <w:lang w:eastAsia="en-GB"/>
        </w:rPr>
      </w:r>
      <w:r w:rsidRPr="00485F66">
        <w:rPr>
          <w:rFonts w:eastAsia="Times New Roman" w:cs="Times New Roman"/>
          <w:color w:val="1C75BC"/>
          <w:sz w:val="36"/>
          <w:szCs w:val="36"/>
          <w:lang w:eastAsia="en-GB"/>
        </w:rPr>
      </w:r>
    </w:p>
    <w:p w14:paraId="46506F9E" w14:textId="48546E2F" w:rsidR="00C313F7" w:rsidRPr="00485F66" w:rsidRDefault="77395C2D"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b/>
          <w:lang w:eastAsia="en-GB"/>
        </w:rPr>
        <w:t>3.b.1</w:t>
      </w:r>
      <w:r w:rsidR="00C313F7" w:rsidRPr="00485F66">
        <w:rPr>
          <w:rFonts w:eastAsia="Times New Roman" w:cs="Times New Roman"/>
          <w:lang w:eastAsia="en-GB"/>
        </w:rPr>
        <w:t>- Proportion of the target population covered by all vaccines included in their national programme</w:t>
      </w:r>
    </w:p>
    <w:p w14:paraId="4DDDAC8B" w14:textId="6CDDF186" w:rsidR="00C313F7" w:rsidRPr="00485F66" w:rsidRDefault="77395C2D" w:rsidP="00F96E11">
      <w:pPr>
        <w:shd w:val="clear" w:color="auto" w:fill="FFFFFF" w:themeFill="background1"/>
        <w:spacing w:after="120" w:line="240" w:lineRule="auto"/>
        <w:jc w:val="both"/>
        <w:rPr>
          <w:rFonts w:eastAsia="Times New Roman" w:cs="Times New Roman"/>
          <w:lang w:eastAsia="en-GB"/>
        </w:rPr>
      </w:pPr>
      <w:r w:rsidRPr="00485F66">
        <w:rPr>
          <w:rFonts w:eastAsia="Times New Roman" w:cs="Times New Roman"/>
          <w:b/>
          <w:lang w:eastAsia="en-GB"/>
        </w:rPr>
        <w:t>3.b.2</w:t>
      </w:r>
      <w:r w:rsidR="00C313F7" w:rsidRPr="00485F66">
        <w:rPr>
          <w:rFonts w:eastAsia="Times New Roman" w:cs="Times New Roman"/>
          <w:lang w:eastAsia="en-GB"/>
        </w:rPr>
        <w:t>- Total net official development assistance to medical research and basic health sectors</w:t>
      </w:r>
    </w:p>
    <w:p w14:paraId="4C3C885B" w14:textId="19879B84" w:rsidR="00C313F7" w:rsidRPr="00485F66" w:rsidRDefault="77395C2D" w:rsidP="00F96E11">
      <w:pPr>
        <w:shd w:val="clear" w:color="auto" w:fill="FFFFFF" w:themeFill="background1"/>
        <w:spacing w:after="120" w:line="240" w:lineRule="auto"/>
        <w:jc w:val="both"/>
        <w:rPr>
          <w:rFonts w:eastAsia="Times New Roman" w:cs="Times New Roman"/>
          <w:lang w:val="en-US" w:eastAsia="en-GB"/>
        </w:rPr>
      </w:pPr>
      <w:r w:rsidRPr="00485F66">
        <w:rPr>
          <w:rFonts w:eastAsia="Times New Roman" w:cs="Times New Roman"/>
          <w:b/>
          <w:lang w:eastAsia="en-GB"/>
        </w:rPr>
        <w:t>3.8.1</w:t>
      </w:r>
      <w:r w:rsidR="00C313F7" w:rsidRPr="00485F66">
        <w:rPr>
          <w:rFonts w:eastAsia="Times New Roman" w:cs="Times New Roman"/>
          <w:lang w:eastAsia="en-GB"/>
        </w:rPr>
        <w:t>-</w:t>
      </w:r>
      <w:r w:rsidR="00C313F7" w:rsidRPr="00485F66">
        <w:rPr>
          <w:rFonts w:ascii="Times New Roman" w:eastAsia="Times New Roman" w:hAnsi="Times New Roman" w:cs="Times New Roman"/>
          <w:lang w:val="en-US" w:eastAsia="en-US"/>
        </w:rPr>
        <w:t xml:space="preserve"> </w:t>
      </w:r>
      <w:r w:rsidR="00C313F7" w:rsidRPr="00485F66">
        <w:rPr>
          <w:rFonts w:eastAsia="Times New Roman" w:cs="Times New Roman"/>
          <w:lang w:val="en-US" w:eastAsia="en-GB"/>
        </w:rPr>
        <w:t xml:space="preserve">Coverage of essential health services (defined as the average coverage of essential services based on tracer interventions that include reproductive, maternal, newborn and child health, </w:t>
      </w:r>
      <w:r w:rsidR="00C313F7" w:rsidRPr="00485F66">
        <w:rPr>
          <w:rFonts w:eastAsia="Times New Roman" w:cs="Times New Roman"/>
          <w:lang w:val="en-US" w:eastAsia="en-GB"/>
        </w:rPr>
        <w:lastRenderedPageBreak/>
        <w:t>infectious diseases, non-communicable diseases and service capacity and access, among the general and the most disadvantaged population)</w:t>
      </w:r>
    </w:p>
    <w:p w14:paraId="60A3AF9D" w14:textId="0265D7C5" w:rsidR="0058556D" w:rsidRPr="00485F66" w:rsidRDefault="77395C2D" w:rsidP="00F96E11">
      <w:pPr>
        <w:shd w:val="clear" w:color="auto" w:fill="FFFFFF" w:themeFill="background1"/>
        <w:spacing w:after="120" w:line="240" w:lineRule="auto"/>
        <w:jc w:val="both"/>
        <w:rPr>
          <w:rFonts w:eastAsia="Times New Roman" w:cs="Times New Roman"/>
          <w:lang w:val="en-US" w:eastAsia="en-GB"/>
        </w:rPr>
      </w:pPr>
      <w:r w:rsidRPr="00485F66">
        <w:rPr>
          <w:rFonts w:eastAsia="Times New Roman" w:cs="Times New Roman"/>
          <w:b/>
          <w:lang w:eastAsia="en-GB"/>
        </w:rPr>
        <w:t>3.8.2</w:t>
      </w:r>
      <w:r w:rsidR="00C313F7" w:rsidRPr="00485F66">
        <w:rPr>
          <w:rFonts w:eastAsia="Times New Roman" w:cs="Times New Roman"/>
          <w:lang w:eastAsia="en-GB"/>
        </w:rPr>
        <w:t>-</w:t>
      </w:r>
      <w:r w:rsidRPr="00485F66">
        <w:rPr>
          <w:rFonts w:eastAsia="Times New Roman" w:cs="Times New Roman"/>
          <w:lang w:eastAsia="en-GB"/>
        </w:rPr>
        <w:t xml:space="preserve"> </w:t>
      </w:r>
      <w:r w:rsidR="00C313F7" w:rsidRPr="00485F66">
        <w:rPr>
          <w:rFonts w:eastAsia="Times New Roman" w:cs="Times New Roman"/>
          <w:lang w:val="en-US" w:eastAsia="en-GB"/>
        </w:rPr>
        <w:t>Proportion of population with large household expenditures on health as a share of total household expenditure or income</w:t>
      </w:r>
    </w:p>
    <w:p w14:paraId="19170654" w14:textId="77777777" w:rsidR="00A23FA7" w:rsidRPr="00485F66" w:rsidRDefault="00A23FA7" w:rsidP="00F96E11">
      <w:pPr>
        <w:shd w:val="clear" w:color="auto" w:fill="FFFFFF" w:themeFill="background1"/>
        <w:spacing w:after="120" w:line="240" w:lineRule="auto"/>
        <w:rPr>
          <w:rFonts w:eastAsia="Times New Roman" w:cs="Times New Roman"/>
          <w:lang w:val="en-US" w:eastAsia="en-GB"/>
        </w:rPr>
      </w:pPr>
    </w:p>
    <w:p w14:paraId="3048F79D" w14:textId="77777777" w:rsidR="00677FB0" w:rsidRPr="00485F66" w:rsidRDefault="00677FB0" w:rsidP="77395C2D">
      <w:pPr>
        <w:shd w:val="clear" w:color="auto" w:fill="FFFFFF" w:themeFill="background1"/>
        <w:spacing w:after="0"/>
        <w:rPr>
          <w:rFonts w:eastAsia="Times New Roman" w:cs="Times New Roman"/>
          <w:lang w:val="en-US" w:eastAsia="en-GB"/>
        </w:rPr>
        <w:sectPr w:rsidR="00677FB0" w:rsidRPr="00485F66" w:rsidSect="00677FB0">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cols w:space="720"/>
          <w:docGrid w:linePitch="360"/>
        </w:sectPr>
      </w:pPr>
    </w:p>
    <w:p w14:paraId="28202141" w14:textId="6466C2D7" w:rsidR="00A63F66" w:rsidRPr="00485F66" w:rsidRDefault="77395C2D" w:rsidP="00BE360F">
      <w:pPr>
        <w:jc w:val="center"/>
        <w:rPr>
          <w:rFonts w:eastAsia="Times New Roman" w:cs="Times New Roman"/>
          <w:color w:val="1C75BC"/>
          <w:sz w:val="36"/>
          <w:szCs w:val="36"/>
          <w:lang w:eastAsia="en-GB"/>
        </w:rPr>
      </w:pPr>
      <w:r w:rsidRPr="00485F66">
        <w:rPr>
          <w:rFonts w:eastAsia="Times New Roman" w:cs="Times New Roman"/>
          <w:color w:val="1C75BC"/>
          <w:sz w:val="36"/>
          <w:szCs w:val="36"/>
          <w:lang w:eastAsia="en-GB"/>
        </w:rPr>
        <w:lastRenderedPageBreak/>
        <w:t xml:space="preserve">Annex 1:  </w:t>
      </w:r>
      <w:bookmarkStart w:id="3" w:name="_Hlk526159568"/>
      <w:r w:rsidRPr="00485F66">
        <w:rPr>
          <w:rFonts w:eastAsia="Times New Roman" w:cs="Times New Roman"/>
          <w:color w:val="1C75BC"/>
          <w:sz w:val="36"/>
          <w:szCs w:val="36"/>
          <w:lang w:eastAsia="en-GB"/>
        </w:rPr>
        <w:t>Basket of core set of relevant essential medicines for primary health care</w:t>
      </w:r>
      <w:bookmarkEnd w:id="3"/>
      <w:r w:rsidR="0074570F" w:rsidRPr="00485F66">
        <w:rPr>
          <w:rFonts w:eastAsia="Times New Roman" w:cs="Times New Roman"/>
          <w:color w:val="1C75BC"/>
          <w:sz w:val="36"/>
          <w:szCs w:val="36"/>
          <w:lang w:eastAsia="en-GB"/>
        </w:rPr>
        <w:t xml:space="preserve"> and related disease category </w:t>
      </w:r>
    </w:p>
    <w:p w14:paraId="2D803B44" w14:textId="77777777" w:rsidR="0074570F" w:rsidRPr="00485F66" w:rsidRDefault="0074570F" w:rsidP="00EA3987">
      <w:pPr>
        <w:rPr>
          <w:b/>
        </w:rPr>
      </w:pPr>
    </w:p>
    <w:p w14:paraId="5C3A3609" w14:textId="6CD4D58A" w:rsidR="00A63F66" w:rsidRPr="00485F66" w:rsidRDefault="0074570F" w:rsidP="00EA3987">
      <w:pPr>
        <w:rPr>
          <w:b/>
        </w:rPr>
      </w:pPr>
      <w:r w:rsidRPr="00485F66">
        <w:rPr>
          <w:b/>
        </w:rPr>
        <w:t>Table 1</w:t>
      </w:r>
      <w:r w:rsidR="0024416D" w:rsidRPr="00485F66">
        <w:rPr>
          <w:b/>
        </w:rPr>
        <w:t>.</w:t>
      </w:r>
      <w:r w:rsidRPr="00485F66">
        <w:rPr>
          <w:b/>
        </w:rPr>
        <w:t xml:space="preserve"> Basket of core set of relevant essential medicines for primary health care</w:t>
      </w:r>
    </w:p>
    <w:tbl>
      <w:tblPr>
        <w:tblStyle w:val="TableGrid"/>
        <w:tblW w:w="10330" w:type="dxa"/>
        <w:tblInd w:w="-176" w:type="dxa"/>
        <w:tblLook w:val="04A0" w:firstRow="1" w:lastRow="0" w:firstColumn="1" w:lastColumn="0" w:noHBand="0" w:noVBand="1"/>
      </w:tblPr>
      <w:tblGrid>
        <w:gridCol w:w="3970"/>
        <w:gridCol w:w="1540"/>
        <w:gridCol w:w="4820"/>
      </w:tblGrid>
      <w:tr w:rsidR="008B2E0A" w:rsidRPr="00485F66" w14:paraId="003120C2" w14:textId="77777777" w:rsidTr="00496A98">
        <w:trPr>
          <w:trHeight w:val="300"/>
        </w:trPr>
        <w:tc>
          <w:tcPr>
            <w:tcW w:w="3970" w:type="dxa"/>
            <w:noWrap/>
            <w:hideMark/>
          </w:tcPr>
          <w:p w14:paraId="70718FD9" w14:textId="77777777" w:rsidR="008B2E0A" w:rsidRPr="00485F66" w:rsidRDefault="008B2E0A" w:rsidP="008B2E0A">
            <w:pPr>
              <w:jc w:val="center"/>
              <w:rPr>
                <w:b/>
                <w:bCs/>
                <w:u w:val="single"/>
              </w:rPr>
            </w:pPr>
            <w:r w:rsidRPr="00485F66">
              <w:rPr>
                <w:b/>
                <w:bCs/>
                <w:u w:val="single"/>
              </w:rPr>
              <w:t>Medicine</w:t>
            </w:r>
          </w:p>
        </w:tc>
        <w:tc>
          <w:tcPr>
            <w:tcW w:w="1540" w:type="dxa"/>
            <w:noWrap/>
            <w:hideMark/>
          </w:tcPr>
          <w:p w14:paraId="4FA858A4" w14:textId="77777777" w:rsidR="008B2E0A" w:rsidRPr="00485F66" w:rsidRDefault="008B2E0A" w:rsidP="008B2E0A">
            <w:pPr>
              <w:jc w:val="center"/>
              <w:rPr>
                <w:b/>
                <w:bCs/>
                <w:u w:val="single"/>
              </w:rPr>
            </w:pPr>
            <w:r w:rsidRPr="00485F66">
              <w:rPr>
                <w:b/>
                <w:bCs/>
                <w:u w:val="single"/>
              </w:rPr>
              <w:t>Category (Therapeutic group)</w:t>
            </w:r>
          </w:p>
        </w:tc>
        <w:tc>
          <w:tcPr>
            <w:tcW w:w="4820" w:type="dxa"/>
            <w:noWrap/>
            <w:hideMark/>
          </w:tcPr>
          <w:p w14:paraId="085D5922" w14:textId="77777777" w:rsidR="008B2E0A" w:rsidRPr="00485F66" w:rsidRDefault="008B2E0A" w:rsidP="008B2E0A">
            <w:pPr>
              <w:rPr>
                <w:b/>
                <w:bCs/>
                <w:u w:val="single"/>
              </w:rPr>
            </w:pPr>
            <w:r w:rsidRPr="00485F66">
              <w:rPr>
                <w:b/>
                <w:bCs/>
                <w:u w:val="single"/>
              </w:rPr>
              <w:t>Justification</w:t>
            </w:r>
          </w:p>
        </w:tc>
      </w:tr>
      <w:tr w:rsidR="008B2E0A" w:rsidRPr="00485F66" w14:paraId="05DD4D9F" w14:textId="77777777" w:rsidTr="00496A98">
        <w:trPr>
          <w:trHeight w:val="900"/>
        </w:trPr>
        <w:tc>
          <w:tcPr>
            <w:tcW w:w="3970" w:type="dxa"/>
            <w:noWrap/>
            <w:hideMark/>
          </w:tcPr>
          <w:p w14:paraId="77C256D0" w14:textId="77777777" w:rsidR="008B2E0A" w:rsidRPr="00485F66" w:rsidRDefault="008B2E0A" w:rsidP="008B2E0A">
            <w:pPr>
              <w:rPr>
                <w:sz w:val="20"/>
                <w:szCs w:val="20"/>
              </w:rPr>
            </w:pPr>
            <w:r w:rsidRPr="00485F66">
              <w:rPr>
                <w:sz w:val="20"/>
                <w:szCs w:val="20"/>
              </w:rPr>
              <w:t>Salbutamol (100 mcg/dose inhaler)</w:t>
            </w:r>
          </w:p>
        </w:tc>
        <w:tc>
          <w:tcPr>
            <w:tcW w:w="1540" w:type="dxa"/>
            <w:noWrap/>
            <w:hideMark/>
          </w:tcPr>
          <w:p w14:paraId="75896D6F" w14:textId="77777777" w:rsidR="008B2E0A" w:rsidRPr="00485F66" w:rsidRDefault="008B2E0A" w:rsidP="008B2E0A">
            <w:pPr>
              <w:rPr>
                <w:sz w:val="20"/>
                <w:szCs w:val="20"/>
              </w:rPr>
            </w:pPr>
            <w:r w:rsidRPr="00485F66">
              <w:rPr>
                <w:sz w:val="20"/>
                <w:szCs w:val="20"/>
              </w:rPr>
              <w:t>NCD - Respiratory</w:t>
            </w:r>
          </w:p>
        </w:tc>
        <w:tc>
          <w:tcPr>
            <w:tcW w:w="4820" w:type="dxa"/>
            <w:hideMark/>
          </w:tcPr>
          <w:p w14:paraId="34383DED" w14:textId="77777777" w:rsidR="008B2E0A" w:rsidRPr="00485F66" w:rsidRDefault="008B2E0A" w:rsidP="008B2E0A">
            <w:pPr>
              <w:rPr>
                <w:sz w:val="20"/>
                <w:szCs w:val="20"/>
              </w:rPr>
            </w:pPr>
            <w:r w:rsidRPr="00485F66">
              <w:rPr>
                <w:b/>
                <w:sz w:val="20"/>
                <w:szCs w:val="20"/>
              </w:rPr>
              <w:t>Rationale:</w:t>
            </w:r>
            <w:r w:rsidRPr="00485F66">
              <w:rPr>
                <w:sz w:val="20"/>
                <w:szCs w:val="20"/>
              </w:rPr>
              <w:t xml:space="preserve"> Salbutamol, a short acting beta-2 agonist, is recommended for prophylaxis and the first-line treatment of bronchospasm in asthma and COPD. It is recommended for all patients with acute severe asthma. </w:t>
            </w:r>
          </w:p>
          <w:p w14:paraId="6CAC77A6" w14:textId="77777777" w:rsidR="008B2E0A" w:rsidRPr="00485F66" w:rsidRDefault="008B2E0A" w:rsidP="008B2E0A">
            <w:pPr>
              <w:rPr>
                <w:b/>
                <w:sz w:val="20"/>
                <w:szCs w:val="20"/>
              </w:rPr>
            </w:pPr>
            <w:r w:rsidRPr="00485F66">
              <w:rPr>
                <w:b/>
                <w:sz w:val="20"/>
                <w:szCs w:val="20"/>
              </w:rPr>
              <w:t xml:space="preserve">Treatment References: </w:t>
            </w:r>
            <w:hyperlink r:id="rId28" w:history="1">
              <w:r w:rsidRPr="00485F66">
                <w:rPr>
                  <w:rStyle w:val="Hyperlink"/>
                  <w:sz w:val="20"/>
                  <w:szCs w:val="20"/>
                </w:rPr>
                <w:t>WHO PEN 5.b</w:t>
              </w:r>
            </w:hyperlink>
            <w:r w:rsidRPr="00485F66">
              <w:rPr>
                <w:b/>
                <w:sz w:val="20"/>
                <w:szCs w:val="20"/>
              </w:rPr>
              <w:t xml:space="preserve">, </w:t>
            </w:r>
            <w:r w:rsidRPr="00485F66">
              <w:rPr>
                <w:rStyle w:val="Hyperlink"/>
                <w:sz w:val="20"/>
                <w:szCs w:val="20"/>
              </w:rPr>
              <w:t xml:space="preserve">WHO </w:t>
            </w:r>
            <w:hyperlink r:id="rId29" w:history="1">
              <w:r w:rsidRPr="00485F66">
                <w:rPr>
                  <w:rStyle w:val="Hyperlink"/>
                  <w:sz w:val="20"/>
                  <w:szCs w:val="20"/>
                </w:rPr>
                <w:t>Guidelines for primary health care in low-resource settings</w:t>
              </w:r>
            </w:hyperlink>
            <w:r w:rsidRPr="00485F66">
              <w:rPr>
                <w:b/>
                <w:sz w:val="20"/>
                <w:szCs w:val="20"/>
              </w:rPr>
              <w:t xml:space="preserve"> </w:t>
            </w:r>
          </w:p>
          <w:p w14:paraId="2F77113E" w14:textId="77777777" w:rsidR="008B2E0A" w:rsidRPr="00485F66" w:rsidRDefault="008B2E0A" w:rsidP="008B2E0A">
            <w:pPr>
              <w:rPr>
                <w:b/>
                <w:sz w:val="20"/>
                <w:szCs w:val="20"/>
              </w:rPr>
            </w:pPr>
            <w:r w:rsidRPr="00485F66">
              <w:rPr>
                <w:b/>
                <w:sz w:val="20"/>
                <w:szCs w:val="20"/>
              </w:rPr>
              <w:t xml:space="preserve">More information in WHO EML 2017 Section Reference: </w:t>
            </w:r>
            <w:r w:rsidRPr="00485F66">
              <w:rPr>
                <w:sz w:val="20"/>
                <w:szCs w:val="20"/>
              </w:rPr>
              <w:t>25.1</w:t>
            </w:r>
          </w:p>
        </w:tc>
      </w:tr>
      <w:tr w:rsidR="008B2E0A" w:rsidRPr="00485F66" w14:paraId="7AD58EAC" w14:textId="77777777" w:rsidTr="00496A98">
        <w:trPr>
          <w:trHeight w:val="900"/>
        </w:trPr>
        <w:tc>
          <w:tcPr>
            <w:tcW w:w="3970" w:type="dxa"/>
            <w:noWrap/>
            <w:hideMark/>
          </w:tcPr>
          <w:p w14:paraId="15F774ED" w14:textId="77777777" w:rsidR="008B2E0A" w:rsidRPr="00485F66" w:rsidRDefault="008B2E0A" w:rsidP="008B2E0A">
            <w:pPr>
              <w:rPr>
                <w:sz w:val="20"/>
                <w:szCs w:val="20"/>
              </w:rPr>
            </w:pPr>
            <w:r w:rsidRPr="00485F66">
              <w:rPr>
                <w:sz w:val="20"/>
                <w:szCs w:val="20"/>
              </w:rPr>
              <w:t>Beclometasone (100 mcg/dose inhaler) or other corticosteroid inhaler</w:t>
            </w:r>
          </w:p>
          <w:p w14:paraId="514D695C" w14:textId="77777777" w:rsidR="008B2E0A" w:rsidRPr="00485F66" w:rsidRDefault="008B2E0A" w:rsidP="008B2E0A">
            <w:pPr>
              <w:rPr>
                <w:sz w:val="20"/>
                <w:szCs w:val="20"/>
              </w:rPr>
            </w:pPr>
          </w:p>
          <w:p w14:paraId="21CFD048" w14:textId="77777777" w:rsidR="008B2E0A" w:rsidRPr="00485F66" w:rsidRDefault="008B2E0A" w:rsidP="008B2E0A">
            <w:pPr>
              <w:rPr>
                <w:sz w:val="20"/>
                <w:szCs w:val="20"/>
              </w:rPr>
            </w:pPr>
          </w:p>
          <w:p w14:paraId="3C76162D" w14:textId="393B53C8" w:rsidR="008B2E0A" w:rsidRPr="00485F66" w:rsidRDefault="008B2E0A" w:rsidP="008B2E0A">
            <w:pPr>
              <w:pStyle w:val="CommentText"/>
            </w:pPr>
            <w:r w:rsidRPr="00485F66">
              <w:t xml:space="preserve">Alternatives would include, but not be limited to, budesonide, fluticasone, ciclesonide.  Refer to ATC group R03BA - </w:t>
            </w:r>
          </w:p>
          <w:p w14:paraId="193D82C8" w14:textId="77777777" w:rsidR="008B2E0A" w:rsidRPr="00485F66" w:rsidRDefault="008B2E0A" w:rsidP="008B2E0A">
            <w:pPr>
              <w:rPr>
                <w:sz w:val="20"/>
                <w:szCs w:val="20"/>
              </w:rPr>
            </w:pPr>
          </w:p>
        </w:tc>
        <w:tc>
          <w:tcPr>
            <w:tcW w:w="1540" w:type="dxa"/>
            <w:noWrap/>
            <w:hideMark/>
          </w:tcPr>
          <w:p w14:paraId="67CF029A" w14:textId="77777777" w:rsidR="008B2E0A" w:rsidRPr="00485F66" w:rsidRDefault="008B2E0A" w:rsidP="008B2E0A">
            <w:pPr>
              <w:rPr>
                <w:sz w:val="20"/>
                <w:szCs w:val="20"/>
              </w:rPr>
            </w:pPr>
            <w:r w:rsidRPr="00485F66">
              <w:rPr>
                <w:sz w:val="20"/>
                <w:szCs w:val="20"/>
              </w:rPr>
              <w:t>NCD - Respiratory</w:t>
            </w:r>
          </w:p>
        </w:tc>
        <w:tc>
          <w:tcPr>
            <w:tcW w:w="4820" w:type="dxa"/>
            <w:hideMark/>
          </w:tcPr>
          <w:p w14:paraId="0BA3C6E2" w14:textId="77777777" w:rsidR="008B2E0A" w:rsidRPr="00485F66" w:rsidRDefault="008B2E0A" w:rsidP="008B2E0A">
            <w:pPr>
              <w:rPr>
                <w:sz w:val="20"/>
                <w:szCs w:val="20"/>
              </w:rPr>
            </w:pPr>
            <w:r w:rsidRPr="00485F66">
              <w:rPr>
                <w:b/>
                <w:sz w:val="20"/>
                <w:szCs w:val="20"/>
              </w:rPr>
              <w:t>Rationale:</w:t>
            </w:r>
            <w:r w:rsidRPr="00485F66">
              <w:rPr>
                <w:sz w:val="20"/>
                <w:szCs w:val="20"/>
              </w:rPr>
              <w:t xml:space="preserve"> Inhaled corticosteroids are indicated for maintenance treatment of asthma symptoms by reducing inflammation and reducing airways hyper-responsiveness.  These do not provide symptomatic relief in acute asthma.  Beclometasone is a representative antiasthmatic in the WHO EML. </w:t>
            </w:r>
          </w:p>
          <w:p w14:paraId="25118606" w14:textId="77777777" w:rsidR="008B2E0A" w:rsidRPr="00485F66" w:rsidRDefault="008B2E0A" w:rsidP="008B2E0A">
            <w:pPr>
              <w:rPr>
                <w:b/>
                <w:sz w:val="20"/>
                <w:szCs w:val="20"/>
              </w:rPr>
            </w:pPr>
            <w:r w:rsidRPr="00485F66">
              <w:rPr>
                <w:b/>
                <w:sz w:val="20"/>
                <w:szCs w:val="20"/>
              </w:rPr>
              <w:t xml:space="preserve">Treatment References: </w:t>
            </w:r>
            <w:hyperlink r:id="rId30" w:history="1">
              <w:r w:rsidRPr="00485F66">
                <w:rPr>
                  <w:rStyle w:val="Hyperlink"/>
                  <w:sz w:val="20"/>
                  <w:szCs w:val="20"/>
                </w:rPr>
                <w:t>WHO PEN 5.b</w:t>
              </w:r>
            </w:hyperlink>
            <w:r w:rsidRPr="00485F66">
              <w:rPr>
                <w:b/>
                <w:sz w:val="20"/>
                <w:szCs w:val="20"/>
              </w:rPr>
              <w:t xml:space="preserve">, </w:t>
            </w:r>
            <w:r w:rsidRPr="00485F66">
              <w:rPr>
                <w:rStyle w:val="Hyperlink"/>
                <w:sz w:val="20"/>
                <w:szCs w:val="20"/>
              </w:rPr>
              <w:t xml:space="preserve">WHO </w:t>
            </w:r>
            <w:hyperlink r:id="rId31" w:history="1">
              <w:r w:rsidRPr="00485F66">
                <w:rPr>
                  <w:rStyle w:val="Hyperlink"/>
                  <w:sz w:val="20"/>
                  <w:szCs w:val="20"/>
                </w:rPr>
                <w:t>Guidelines for primary health care in low-resource settings</w:t>
              </w:r>
            </w:hyperlink>
            <w:r w:rsidRPr="00485F66">
              <w:rPr>
                <w:b/>
                <w:sz w:val="20"/>
                <w:szCs w:val="20"/>
              </w:rPr>
              <w:t xml:space="preserve"> </w:t>
            </w:r>
          </w:p>
          <w:p w14:paraId="2C4F5751" w14:textId="77777777" w:rsidR="008B2E0A" w:rsidRPr="00485F66" w:rsidRDefault="008B2E0A" w:rsidP="008B2E0A">
            <w:pPr>
              <w:rPr>
                <w:b/>
                <w:sz w:val="20"/>
                <w:szCs w:val="20"/>
              </w:rPr>
            </w:pPr>
            <w:r w:rsidRPr="00485F66">
              <w:rPr>
                <w:b/>
                <w:sz w:val="20"/>
                <w:szCs w:val="20"/>
              </w:rPr>
              <w:t xml:space="preserve">More information in WHO EML 2017 Section Reference: </w:t>
            </w:r>
            <w:r w:rsidRPr="00485F66">
              <w:rPr>
                <w:sz w:val="20"/>
                <w:szCs w:val="20"/>
              </w:rPr>
              <w:t>25.1</w:t>
            </w:r>
          </w:p>
        </w:tc>
      </w:tr>
      <w:tr w:rsidR="008B2E0A" w:rsidRPr="00485F66" w14:paraId="2C70440D" w14:textId="77777777" w:rsidTr="00496A98">
        <w:trPr>
          <w:trHeight w:val="2259"/>
        </w:trPr>
        <w:tc>
          <w:tcPr>
            <w:tcW w:w="3970" w:type="dxa"/>
            <w:noWrap/>
            <w:hideMark/>
          </w:tcPr>
          <w:p w14:paraId="6DCF4AED" w14:textId="77777777" w:rsidR="008B2E0A" w:rsidRPr="00485F66" w:rsidRDefault="008B2E0A" w:rsidP="008B2E0A">
            <w:pPr>
              <w:rPr>
                <w:sz w:val="20"/>
                <w:szCs w:val="20"/>
              </w:rPr>
            </w:pPr>
            <w:r w:rsidRPr="00485F66">
              <w:rPr>
                <w:sz w:val="20"/>
                <w:szCs w:val="20"/>
              </w:rPr>
              <w:t>Gliclazide (80 mg cap/tab) or other sulfonylurea</w:t>
            </w:r>
          </w:p>
          <w:p w14:paraId="447A5C42" w14:textId="77777777" w:rsidR="008B2E0A" w:rsidRPr="00485F66" w:rsidRDefault="008B2E0A" w:rsidP="008B2E0A">
            <w:pPr>
              <w:rPr>
                <w:sz w:val="20"/>
                <w:szCs w:val="20"/>
              </w:rPr>
            </w:pPr>
          </w:p>
          <w:p w14:paraId="25323B0D" w14:textId="77777777" w:rsidR="008B2E0A" w:rsidRPr="00485F66" w:rsidRDefault="008B2E0A" w:rsidP="008B2E0A">
            <w:pPr>
              <w:rPr>
                <w:sz w:val="20"/>
                <w:szCs w:val="20"/>
              </w:rPr>
            </w:pPr>
            <w:r w:rsidRPr="00485F66">
              <w:rPr>
                <w:sz w:val="20"/>
                <w:szCs w:val="20"/>
              </w:rPr>
              <w:t xml:space="preserve">Alternatives would include but not be limited to glibenclamide, glimepiride.  Refer to ATC group A10BB </w:t>
            </w:r>
          </w:p>
        </w:tc>
        <w:tc>
          <w:tcPr>
            <w:tcW w:w="1540" w:type="dxa"/>
            <w:noWrap/>
            <w:hideMark/>
          </w:tcPr>
          <w:p w14:paraId="13102ADB" w14:textId="77777777" w:rsidR="008B2E0A" w:rsidRPr="00485F66" w:rsidRDefault="008B2E0A" w:rsidP="008B2E0A">
            <w:pPr>
              <w:rPr>
                <w:sz w:val="20"/>
                <w:szCs w:val="20"/>
              </w:rPr>
            </w:pPr>
            <w:r w:rsidRPr="00485F66">
              <w:rPr>
                <w:sz w:val="20"/>
                <w:szCs w:val="20"/>
              </w:rPr>
              <w:t>NCD - Diabetes</w:t>
            </w:r>
          </w:p>
        </w:tc>
        <w:tc>
          <w:tcPr>
            <w:tcW w:w="4820" w:type="dxa"/>
            <w:hideMark/>
          </w:tcPr>
          <w:p w14:paraId="6E48D1D2" w14:textId="77777777" w:rsidR="008B2E0A" w:rsidRPr="00485F66" w:rsidRDefault="008B2E0A" w:rsidP="008B2E0A">
            <w:pPr>
              <w:rPr>
                <w:sz w:val="20"/>
                <w:szCs w:val="20"/>
              </w:rPr>
            </w:pPr>
            <w:r w:rsidRPr="00485F66">
              <w:rPr>
                <w:b/>
                <w:sz w:val="20"/>
                <w:szCs w:val="20"/>
              </w:rPr>
              <w:t>Rationale:</w:t>
            </w:r>
            <w:r w:rsidRPr="00485F66">
              <w:rPr>
                <w:sz w:val="20"/>
                <w:szCs w:val="20"/>
              </w:rPr>
              <w:t xml:space="preserve"> Second generation sulfonylureas (SFUs) increase the release of insulin from the pancreas to relieve the hyperglycaemia associated with diabetes. SFUs are useful in patients unable to tolerate metformin, or not adequately controlled on metformin.  These are among the main therapies for most patients with type 2 diabetes, but contraindicated for patients with type 1 diabetes. However, it should be noted that glibenclamide has associated with higher levels of hypoglycaemia compared with gliclazide.  Gliclazide is the representative sulfonylurea in the WHO EML.</w:t>
            </w:r>
          </w:p>
          <w:p w14:paraId="7AA66351" w14:textId="77777777" w:rsidR="008B2E0A" w:rsidRPr="00485F66" w:rsidRDefault="008B2E0A" w:rsidP="008B2E0A">
            <w:pPr>
              <w:rPr>
                <w:b/>
                <w:sz w:val="20"/>
                <w:szCs w:val="20"/>
              </w:rPr>
            </w:pPr>
            <w:r w:rsidRPr="00485F66">
              <w:rPr>
                <w:b/>
                <w:sz w:val="20"/>
                <w:szCs w:val="20"/>
              </w:rPr>
              <w:t xml:space="preserve">Treatment References: </w:t>
            </w:r>
            <w:hyperlink r:id="rId32" w:history="1">
              <w:r w:rsidRPr="00485F66">
                <w:rPr>
                  <w:rStyle w:val="Hyperlink"/>
                  <w:sz w:val="20"/>
                  <w:szCs w:val="20"/>
                </w:rPr>
                <w:t>WHO PEN 5.b</w:t>
              </w:r>
            </w:hyperlink>
            <w:r w:rsidRPr="00485F66">
              <w:rPr>
                <w:b/>
                <w:sz w:val="20"/>
                <w:szCs w:val="20"/>
              </w:rPr>
              <w:t xml:space="preserve">, </w:t>
            </w:r>
            <w:r w:rsidRPr="00485F66">
              <w:rPr>
                <w:rStyle w:val="Hyperlink"/>
                <w:sz w:val="20"/>
                <w:szCs w:val="20"/>
              </w:rPr>
              <w:t xml:space="preserve">WHO </w:t>
            </w:r>
            <w:hyperlink r:id="rId33" w:history="1">
              <w:r w:rsidRPr="00485F66">
                <w:rPr>
                  <w:rStyle w:val="Hyperlink"/>
                  <w:sz w:val="20"/>
                  <w:szCs w:val="20"/>
                </w:rPr>
                <w:t>Guidelines for primary health care in low-resource settings</w:t>
              </w:r>
            </w:hyperlink>
          </w:p>
          <w:p w14:paraId="5C3D0832" w14:textId="77777777" w:rsidR="008B2E0A" w:rsidRPr="00485F66" w:rsidRDefault="008B2E0A" w:rsidP="008B2E0A">
            <w:pPr>
              <w:rPr>
                <w:sz w:val="20"/>
                <w:szCs w:val="20"/>
              </w:rPr>
            </w:pPr>
            <w:r w:rsidRPr="00485F66">
              <w:rPr>
                <w:b/>
                <w:sz w:val="20"/>
                <w:szCs w:val="20"/>
              </w:rPr>
              <w:t xml:space="preserve">More information in WHO EML 2017 Section Reference: </w:t>
            </w:r>
            <w:r w:rsidRPr="00485F66">
              <w:rPr>
                <w:sz w:val="20"/>
                <w:szCs w:val="20"/>
              </w:rPr>
              <w:t>18.5</w:t>
            </w:r>
          </w:p>
        </w:tc>
      </w:tr>
      <w:tr w:rsidR="008B2E0A" w:rsidRPr="00485F66" w14:paraId="39AFA0AF" w14:textId="77777777" w:rsidTr="00496A98">
        <w:trPr>
          <w:trHeight w:val="1200"/>
        </w:trPr>
        <w:tc>
          <w:tcPr>
            <w:tcW w:w="3970" w:type="dxa"/>
            <w:noWrap/>
            <w:hideMark/>
          </w:tcPr>
          <w:p w14:paraId="69EF710D" w14:textId="77777777" w:rsidR="008B2E0A" w:rsidRPr="00485F66" w:rsidRDefault="008B2E0A" w:rsidP="008B2E0A">
            <w:pPr>
              <w:rPr>
                <w:sz w:val="20"/>
                <w:szCs w:val="20"/>
              </w:rPr>
            </w:pPr>
            <w:r w:rsidRPr="00485F66">
              <w:rPr>
                <w:sz w:val="20"/>
                <w:szCs w:val="20"/>
              </w:rPr>
              <w:t xml:space="preserve">Metformin (500 mg cap/tab, 850 mg cap/tab  or 1 g cap/tab) </w:t>
            </w:r>
          </w:p>
        </w:tc>
        <w:tc>
          <w:tcPr>
            <w:tcW w:w="1540" w:type="dxa"/>
            <w:noWrap/>
            <w:hideMark/>
          </w:tcPr>
          <w:p w14:paraId="21D0E0C2" w14:textId="77777777" w:rsidR="008B2E0A" w:rsidRPr="00485F66" w:rsidRDefault="008B2E0A" w:rsidP="008B2E0A">
            <w:pPr>
              <w:rPr>
                <w:sz w:val="20"/>
                <w:szCs w:val="20"/>
              </w:rPr>
            </w:pPr>
            <w:r w:rsidRPr="00485F66">
              <w:rPr>
                <w:sz w:val="20"/>
                <w:szCs w:val="20"/>
              </w:rPr>
              <w:t>NCD - Diabetes</w:t>
            </w:r>
          </w:p>
        </w:tc>
        <w:tc>
          <w:tcPr>
            <w:tcW w:w="4820" w:type="dxa"/>
            <w:hideMark/>
          </w:tcPr>
          <w:p w14:paraId="654B2E91" w14:textId="77777777" w:rsidR="008B2E0A" w:rsidRPr="00485F66" w:rsidRDefault="008B2E0A" w:rsidP="008B2E0A">
            <w:pPr>
              <w:rPr>
                <w:sz w:val="20"/>
                <w:szCs w:val="20"/>
              </w:rPr>
            </w:pPr>
            <w:r w:rsidRPr="00485F66">
              <w:rPr>
                <w:b/>
                <w:sz w:val="20"/>
                <w:szCs w:val="20"/>
              </w:rPr>
              <w:t>Rationale:</w:t>
            </w:r>
            <w:r w:rsidRPr="00485F66">
              <w:rPr>
                <w:sz w:val="20"/>
                <w:szCs w:val="20"/>
              </w:rPr>
              <w:t xml:space="preserve"> Metformin, an oral anti-diabetic medicine, can be used in patients with type 2 diabetes as a monotherapy or in combination with sulfonylureas.</w:t>
            </w:r>
          </w:p>
          <w:p w14:paraId="10466471" w14:textId="77777777" w:rsidR="008B2E0A" w:rsidRPr="00485F66" w:rsidRDefault="008B2E0A" w:rsidP="008B2E0A">
            <w:pPr>
              <w:tabs>
                <w:tab w:val="right" w:pos="4554"/>
              </w:tabs>
              <w:rPr>
                <w:b/>
                <w:sz w:val="20"/>
                <w:szCs w:val="20"/>
              </w:rPr>
            </w:pPr>
            <w:r w:rsidRPr="00485F66">
              <w:rPr>
                <w:b/>
                <w:sz w:val="20"/>
                <w:szCs w:val="20"/>
              </w:rPr>
              <w:t xml:space="preserve">Treatment References: </w:t>
            </w:r>
            <w:hyperlink r:id="rId34" w:history="1">
              <w:r w:rsidRPr="00485F66">
                <w:rPr>
                  <w:rStyle w:val="Hyperlink"/>
                  <w:sz w:val="20"/>
                  <w:szCs w:val="20"/>
                </w:rPr>
                <w:t>WHO PEN 5.b</w:t>
              </w:r>
            </w:hyperlink>
            <w:r w:rsidRPr="00485F66">
              <w:rPr>
                <w:b/>
                <w:sz w:val="20"/>
                <w:szCs w:val="20"/>
              </w:rPr>
              <w:t xml:space="preserve">, </w:t>
            </w:r>
            <w:r w:rsidRPr="00485F66">
              <w:rPr>
                <w:rStyle w:val="Hyperlink"/>
                <w:sz w:val="20"/>
                <w:szCs w:val="20"/>
              </w:rPr>
              <w:t xml:space="preserve">WHO </w:t>
            </w:r>
            <w:hyperlink r:id="rId35" w:history="1">
              <w:r w:rsidRPr="00485F66">
                <w:rPr>
                  <w:rStyle w:val="Hyperlink"/>
                  <w:sz w:val="20"/>
                  <w:szCs w:val="20"/>
                </w:rPr>
                <w:t>Guidelines for primary health care in low-resource settings</w:t>
              </w:r>
            </w:hyperlink>
            <w:r w:rsidRPr="00485F66">
              <w:rPr>
                <w:b/>
                <w:sz w:val="20"/>
                <w:szCs w:val="20"/>
              </w:rPr>
              <w:tab/>
            </w:r>
          </w:p>
          <w:p w14:paraId="77880EE0" w14:textId="77777777" w:rsidR="008B2E0A" w:rsidRPr="00485F66" w:rsidRDefault="008B2E0A" w:rsidP="008B2E0A">
            <w:pPr>
              <w:rPr>
                <w:sz w:val="20"/>
                <w:szCs w:val="20"/>
              </w:rPr>
            </w:pPr>
            <w:r w:rsidRPr="00485F66">
              <w:rPr>
                <w:b/>
                <w:sz w:val="20"/>
                <w:szCs w:val="20"/>
              </w:rPr>
              <w:t xml:space="preserve">More information in WHO EML 2017 Section Reference: </w:t>
            </w:r>
            <w:r w:rsidRPr="00485F66">
              <w:rPr>
                <w:sz w:val="20"/>
                <w:szCs w:val="20"/>
              </w:rPr>
              <w:t>18.5</w:t>
            </w:r>
          </w:p>
        </w:tc>
      </w:tr>
      <w:tr w:rsidR="008B2E0A" w:rsidRPr="00485F66" w14:paraId="12F7DA66" w14:textId="77777777" w:rsidTr="00496A98">
        <w:trPr>
          <w:trHeight w:val="900"/>
        </w:trPr>
        <w:tc>
          <w:tcPr>
            <w:tcW w:w="3970" w:type="dxa"/>
            <w:noWrap/>
            <w:hideMark/>
          </w:tcPr>
          <w:p w14:paraId="21B4366A" w14:textId="77777777" w:rsidR="008B2E0A" w:rsidRPr="00485F66" w:rsidRDefault="008B2E0A" w:rsidP="008B2E0A">
            <w:pPr>
              <w:rPr>
                <w:sz w:val="20"/>
                <w:szCs w:val="20"/>
              </w:rPr>
            </w:pPr>
            <w:r w:rsidRPr="00485F66">
              <w:rPr>
                <w:sz w:val="20"/>
                <w:szCs w:val="20"/>
              </w:rPr>
              <w:t>Insulin regular, soluble (100 IU/ml injection)</w:t>
            </w:r>
          </w:p>
        </w:tc>
        <w:tc>
          <w:tcPr>
            <w:tcW w:w="1540" w:type="dxa"/>
            <w:noWrap/>
            <w:hideMark/>
          </w:tcPr>
          <w:p w14:paraId="19983602" w14:textId="77777777" w:rsidR="008B2E0A" w:rsidRPr="00485F66" w:rsidRDefault="008B2E0A" w:rsidP="008B2E0A">
            <w:pPr>
              <w:rPr>
                <w:sz w:val="20"/>
                <w:szCs w:val="20"/>
              </w:rPr>
            </w:pPr>
            <w:r w:rsidRPr="00485F66">
              <w:rPr>
                <w:sz w:val="20"/>
                <w:szCs w:val="20"/>
              </w:rPr>
              <w:t>NCD - Diabetes</w:t>
            </w:r>
          </w:p>
        </w:tc>
        <w:tc>
          <w:tcPr>
            <w:tcW w:w="4820" w:type="dxa"/>
            <w:hideMark/>
          </w:tcPr>
          <w:p w14:paraId="7F5CB8B9" w14:textId="77777777" w:rsidR="008B2E0A" w:rsidRPr="00485F66" w:rsidRDefault="008B2E0A" w:rsidP="008B2E0A">
            <w:pPr>
              <w:rPr>
                <w:sz w:val="20"/>
                <w:szCs w:val="20"/>
              </w:rPr>
            </w:pPr>
            <w:r w:rsidRPr="00485F66">
              <w:rPr>
                <w:b/>
                <w:sz w:val="20"/>
                <w:szCs w:val="20"/>
              </w:rPr>
              <w:t xml:space="preserve">Rationale: </w:t>
            </w:r>
            <w:r w:rsidRPr="00485F66">
              <w:rPr>
                <w:sz w:val="20"/>
                <w:szCs w:val="20"/>
              </w:rPr>
              <w:t>Regular human insulin, a rapid acting insulin, is necessary for all patients with type 1 and more than 10% of patients with type 2 diabetes. It is currently more affordable to health systems than other long-</w:t>
            </w:r>
            <w:r w:rsidRPr="00485F66">
              <w:rPr>
                <w:sz w:val="20"/>
                <w:szCs w:val="20"/>
              </w:rPr>
              <w:lastRenderedPageBreak/>
              <w:t>acting or analogue insulins.</w:t>
            </w:r>
          </w:p>
          <w:p w14:paraId="232794C8" w14:textId="77777777" w:rsidR="008B2E0A" w:rsidRPr="00485F66" w:rsidRDefault="008B2E0A" w:rsidP="008B2E0A">
            <w:pPr>
              <w:rPr>
                <w:b/>
                <w:sz w:val="20"/>
                <w:szCs w:val="20"/>
              </w:rPr>
            </w:pPr>
            <w:r w:rsidRPr="00485F66">
              <w:rPr>
                <w:b/>
                <w:sz w:val="20"/>
                <w:szCs w:val="20"/>
              </w:rPr>
              <w:t xml:space="preserve">Treatment References: </w:t>
            </w:r>
            <w:hyperlink r:id="rId36" w:history="1">
              <w:r w:rsidRPr="00485F66">
                <w:rPr>
                  <w:rStyle w:val="Hyperlink"/>
                  <w:sz w:val="20"/>
                  <w:szCs w:val="20"/>
                </w:rPr>
                <w:t>WHO PEN 5.b</w:t>
              </w:r>
            </w:hyperlink>
          </w:p>
          <w:p w14:paraId="408394FF" w14:textId="77777777" w:rsidR="008B2E0A" w:rsidRPr="00485F66" w:rsidRDefault="008B2E0A" w:rsidP="008B2E0A">
            <w:pPr>
              <w:rPr>
                <w:sz w:val="20"/>
                <w:szCs w:val="20"/>
              </w:rPr>
            </w:pPr>
            <w:r w:rsidRPr="00485F66">
              <w:rPr>
                <w:b/>
                <w:sz w:val="20"/>
                <w:szCs w:val="20"/>
              </w:rPr>
              <w:t xml:space="preserve">More information in WHO EML 2017 Section Reference: </w:t>
            </w:r>
            <w:r w:rsidRPr="00485F66">
              <w:rPr>
                <w:sz w:val="20"/>
                <w:szCs w:val="20"/>
              </w:rPr>
              <w:t>18.5</w:t>
            </w:r>
          </w:p>
        </w:tc>
      </w:tr>
      <w:tr w:rsidR="008B2E0A" w:rsidRPr="00485F66" w14:paraId="5DCB8437" w14:textId="77777777" w:rsidTr="00496A98">
        <w:trPr>
          <w:trHeight w:val="600"/>
        </w:trPr>
        <w:tc>
          <w:tcPr>
            <w:tcW w:w="3970" w:type="dxa"/>
            <w:noWrap/>
            <w:hideMark/>
          </w:tcPr>
          <w:p w14:paraId="498233C6" w14:textId="77777777" w:rsidR="008B2E0A" w:rsidRPr="00485F66" w:rsidRDefault="008B2E0A" w:rsidP="008B2E0A">
            <w:pPr>
              <w:rPr>
                <w:sz w:val="20"/>
                <w:szCs w:val="20"/>
              </w:rPr>
            </w:pPr>
            <w:r w:rsidRPr="00485F66">
              <w:rPr>
                <w:sz w:val="20"/>
                <w:szCs w:val="20"/>
              </w:rPr>
              <w:lastRenderedPageBreak/>
              <w:t>Two of the following antihypertensive:</w:t>
            </w:r>
          </w:p>
          <w:p w14:paraId="23092007" w14:textId="77777777" w:rsidR="008B2E0A" w:rsidRPr="00485F66" w:rsidRDefault="008B2E0A" w:rsidP="005016AF">
            <w:pPr>
              <w:pStyle w:val="ListParagraph"/>
              <w:numPr>
                <w:ilvl w:val="0"/>
                <w:numId w:val="4"/>
              </w:numPr>
              <w:ind w:left="720"/>
              <w:rPr>
                <w:sz w:val="20"/>
                <w:szCs w:val="20"/>
              </w:rPr>
            </w:pPr>
            <w:r w:rsidRPr="00485F66">
              <w:rPr>
                <w:sz w:val="20"/>
                <w:szCs w:val="20"/>
              </w:rPr>
              <w:t>Amlodipine (5 mg cap/tab)</w:t>
            </w:r>
          </w:p>
          <w:p w14:paraId="301E7201" w14:textId="77777777" w:rsidR="008B2E0A" w:rsidRPr="00485F66" w:rsidRDefault="008B2E0A" w:rsidP="005016AF">
            <w:pPr>
              <w:pStyle w:val="ListParagraph"/>
              <w:numPr>
                <w:ilvl w:val="0"/>
                <w:numId w:val="4"/>
              </w:numPr>
              <w:ind w:left="720"/>
              <w:rPr>
                <w:sz w:val="20"/>
                <w:szCs w:val="20"/>
              </w:rPr>
            </w:pPr>
            <w:r w:rsidRPr="00485F66">
              <w:rPr>
                <w:sz w:val="20"/>
                <w:szCs w:val="20"/>
              </w:rPr>
              <w:t>Enalapril (5 mg cap/tab) or other angiotensin converting enzyme inhibitor (ACEI).  Refer to ATC group C09AA.</w:t>
            </w:r>
          </w:p>
          <w:p w14:paraId="1B085274" w14:textId="77777777" w:rsidR="008B2E0A" w:rsidRPr="00485F66" w:rsidRDefault="008B2E0A" w:rsidP="005016AF">
            <w:pPr>
              <w:pStyle w:val="ListParagraph"/>
              <w:numPr>
                <w:ilvl w:val="0"/>
                <w:numId w:val="4"/>
              </w:numPr>
              <w:ind w:left="720"/>
              <w:rPr>
                <w:sz w:val="20"/>
                <w:szCs w:val="20"/>
              </w:rPr>
            </w:pPr>
            <w:r w:rsidRPr="00485F66">
              <w:rPr>
                <w:sz w:val="20"/>
                <w:szCs w:val="20"/>
              </w:rPr>
              <w:t xml:space="preserve">Hydrochlorothiazide (25 mg cap/tab) or Chlorthalidone (25 mg cap/tab) </w:t>
            </w:r>
          </w:p>
          <w:p w14:paraId="294FE78F" w14:textId="77777777" w:rsidR="008B2E0A" w:rsidRPr="00485F66" w:rsidRDefault="008B2E0A" w:rsidP="005016AF">
            <w:pPr>
              <w:pStyle w:val="ListParagraph"/>
              <w:numPr>
                <w:ilvl w:val="0"/>
                <w:numId w:val="4"/>
              </w:numPr>
              <w:ind w:left="720"/>
              <w:rPr>
                <w:sz w:val="20"/>
                <w:szCs w:val="20"/>
              </w:rPr>
            </w:pPr>
            <w:r w:rsidRPr="00485F66">
              <w:rPr>
                <w:sz w:val="20"/>
                <w:szCs w:val="20"/>
              </w:rPr>
              <w:t xml:space="preserve">Bisoprolol (5 mg cap/tab) or alternative betablocker (atenolol or carvedilol or metoprolol only) </w:t>
            </w:r>
          </w:p>
          <w:p w14:paraId="7973345C" w14:textId="77777777" w:rsidR="008B2E0A" w:rsidRPr="00485F66" w:rsidRDefault="008B2E0A" w:rsidP="008B2E0A">
            <w:pPr>
              <w:ind w:left="360"/>
              <w:rPr>
                <w:sz w:val="20"/>
                <w:szCs w:val="20"/>
              </w:rPr>
            </w:pPr>
          </w:p>
        </w:tc>
        <w:tc>
          <w:tcPr>
            <w:tcW w:w="1540" w:type="dxa"/>
            <w:noWrap/>
            <w:hideMark/>
          </w:tcPr>
          <w:p w14:paraId="53AC9E57" w14:textId="77777777" w:rsidR="008B2E0A" w:rsidRPr="00485F66" w:rsidRDefault="008B2E0A" w:rsidP="008B2E0A">
            <w:pPr>
              <w:rPr>
                <w:sz w:val="20"/>
                <w:szCs w:val="20"/>
              </w:rPr>
            </w:pPr>
            <w:r w:rsidRPr="00485F66">
              <w:rPr>
                <w:sz w:val="20"/>
                <w:szCs w:val="20"/>
              </w:rPr>
              <w:t>NCD - Cardiovascular</w:t>
            </w:r>
          </w:p>
        </w:tc>
        <w:tc>
          <w:tcPr>
            <w:tcW w:w="4820" w:type="dxa"/>
            <w:hideMark/>
          </w:tcPr>
          <w:p w14:paraId="20433F42" w14:textId="77777777" w:rsidR="008B2E0A" w:rsidRPr="00485F66" w:rsidRDefault="008B2E0A" w:rsidP="008B2E0A">
            <w:pPr>
              <w:rPr>
                <w:b/>
                <w:sz w:val="20"/>
                <w:szCs w:val="20"/>
              </w:rPr>
            </w:pPr>
            <w:r w:rsidRPr="00485F66">
              <w:rPr>
                <w:b/>
                <w:sz w:val="20"/>
                <w:szCs w:val="20"/>
              </w:rPr>
              <w:t xml:space="preserve">Rationale: </w:t>
            </w:r>
          </w:p>
          <w:p w14:paraId="4EDE7DAC" w14:textId="77777777" w:rsidR="008B2E0A" w:rsidRPr="00485F66" w:rsidRDefault="008B2E0A" w:rsidP="008B2E0A">
            <w:pPr>
              <w:rPr>
                <w:sz w:val="20"/>
                <w:szCs w:val="20"/>
              </w:rPr>
            </w:pPr>
            <w:r w:rsidRPr="00485F66">
              <w:rPr>
                <w:sz w:val="20"/>
                <w:szCs w:val="20"/>
              </w:rPr>
              <w:t xml:space="preserve">Calcium channel blockers (CBB) are among the first-line treatment options for patients with hypertension.  Amlodipine is the representative CCB in the WHO EML. </w:t>
            </w:r>
          </w:p>
          <w:p w14:paraId="48882040" w14:textId="77777777" w:rsidR="008B2E0A" w:rsidRPr="00485F66" w:rsidRDefault="008B2E0A" w:rsidP="008B2E0A">
            <w:pPr>
              <w:rPr>
                <w:sz w:val="20"/>
                <w:szCs w:val="20"/>
              </w:rPr>
            </w:pPr>
            <w:r w:rsidRPr="00485F66">
              <w:rPr>
                <w:sz w:val="20"/>
                <w:szCs w:val="20"/>
              </w:rPr>
              <w:t>ACEIs are among first-line treatment options for patients with hypertension.  ACEIs are also used in the management of heart failure.  Enalapril is the representative ACEI in the WHO EML.</w:t>
            </w:r>
          </w:p>
          <w:p w14:paraId="294A1F41" w14:textId="77777777" w:rsidR="008B2E0A" w:rsidRPr="00485F66" w:rsidRDefault="008B2E0A" w:rsidP="008B2E0A">
            <w:pPr>
              <w:rPr>
                <w:sz w:val="20"/>
                <w:szCs w:val="20"/>
              </w:rPr>
            </w:pPr>
            <w:r w:rsidRPr="00485F66">
              <w:rPr>
                <w:sz w:val="20"/>
                <w:szCs w:val="20"/>
              </w:rPr>
              <w:t>Thiazide diuretics are among the first-line treatment options for patients with hypertension. Thiazides are also used as the management of heart failure.  Hydrochlorothiazide is the representative thiazide diuretic in the WHO EML.</w:t>
            </w:r>
          </w:p>
          <w:p w14:paraId="1B9DB896" w14:textId="77777777" w:rsidR="008B2E0A" w:rsidRPr="00485F66" w:rsidRDefault="008B2E0A" w:rsidP="008B2E0A">
            <w:pPr>
              <w:rPr>
                <w:sz w:val="20"/>
                <w:szCs w:val="20"/>
              </w:rPr>
            </w:pPr>
            <w:r w:rsidRPr="00485F66">
              <w:rPr>
                <w:sz w:val="20"/>
                <w:szCs w:val="20"/>
              </w:rPr>
              <w:t xml:space="preserve">Beta-blockers are among the recommended treatment options for patients with hypertension, angina, cardiac arrhythmias or heart failure.  Bisoprolol is the representative beta-blocker in the WHO EML. </w:t>
            </w:r>
          </w:p>
          <w:p w14:paraId="0CBF2045" w14:textId="77777777" w:rsidR="008B2E0A" w:rsidRPr="00485F66" w:rsidRDefault="008B2E0A" w:rsidP="008B2E0A">
            <w:pPr>
              <w:rPr>
                <w:b/>
                <w:sz w:val="20"/>
                <w:szCs w:val="20"/>
              </w:rPr>
            </w:pPr>
            <w:r w:rsidRPr="00485F66">
              <w:rPr>
                <w:b/>
                <w:sz w:val="20"/>
                <w:szCs w:val="20"/>
              </w:rPr>
              <w:t xml:space="preserve">Treatment References: </w:t>
            </w:r>
            <w:hyperlink r:id="rId37" w:history="1">
              <w:r w:rsidRPr="00485F66">
                <w:rPr>
                  <w:rStyle w:val="Hyperlink"/>
                  <w:sz w:val="20"/>
                  <w:szCs w:val="20"/>
                </w:rPr>
                <w:t>WHO PEN 5.b</w:t>
              </w:r>
            </w:hyperlink>
            <w:r w:rsidRPr="00485F66">
              <w:rPr>
                <w:rStyle w:val="Hyperlink"/>
                <w:sz w:val="20"/>
                <w:szCs w:val="20"/>
              </w:rPr>
              <w:t xml:space="preserve">, WHO </w:t>
            </w:r>
            <w:hyperlink r:id="rId38" w:history="1">
              <w:r w:rsidRPr="00485F66">
                <w:rPr>
                  <w:rStyle w:val="Hyperlink"/>
                  <w:sz w:val="20"/>
                  <w:szCs w:val="20"/>
                </w:rPr>
                <w:t>Guidelines for primary health care in low-resource settings</w:t>
              </w:r>
            </w:hyperlink>
          </w:p>
          <w:p w14:paraId="1B45BF60" w14:textId="77777777" w:rsidR="008B2E0A" w:rsidRPr="00485F66" w:rsidRDefault="008B2E0A" w:rsidP="008B2E0A">
            <w:pPr>
              <w:rPr>
                <w:sz w:val="20"/>
                <w:szCs w:val="20"/>
              </w:rPr>
            </w:pPr>
            <w:r w:rsidRPr="00485F66">
              <w:rPr>
                <w:b/>
                <w:sz w:val="20"/>
                <w:szCs w:val="20"/>
              </w:rPr>
              <w:t xml:space="preserve">More information in WHO EML 2017 Section Reference: </w:t>
            </w:r>
            <w:r w:rsidRPr="00485F66">
              <w:rPr>
                <w:sz w:val="20"/>
                <w:szCs w:val="20"/>
              </w:rPr>
              <w:t>12.3, 12.4</w:t>
            </w:r>
          </w:p>
        </w:tc>
      </w:tr>
      <w:tr w:rsidR="008B2E0A" w:rsidRPr="00485F66" w14:paraId="10144253" w14:textId="77777777" w:rsidTr="00496A98">
        <w:trPr>
          <w:trHeight w:val="600"/>
        </w:trPr>
        <w:tc>
          <w:tcPr>
            <w:tcW w:w="3970" w:type="dxa"/>
            <w:noWrap/>
          </w:tcPr>
          <w:p w14:paraId="639C109D" w14:textId="77777777" w:rsidR="008B2E0A" w:rsidRPr="00485F66" w:rsidRDefault="008B2E0A" w:rsidP="008B2E0A">
            <w:pPr>
              <w:rPr>
                <w:sz w:val="20"/>
                <w:szCs w:val="20"/>
              </w:rPr>
            </w:pPr>
            <w:r w:rsidRPr="00485F66">
              <w:rPr>
                <w:sz w:val="20"/>
                <w:szCs w:val="20"/>
              </w:rPr>
              <w:t>Simvastatin (20 mg cap/tab) or other statin.  Refer to ATC group C10AA.</w:t>
            </w:r>
          </w:p>
        </w:tc>
        <w:tc>
          <w:tcPr>
            <w:tcW w:w="1540" w:type="dxa"/>
            <w:noWrap/>
          </w:tcPr>
          <w:p w14:paraId="753640AE" w14:textId="77777777" w:rsidR="008B2E0A" w:rsidRPr="00485F66" w:rsidRDefault="008B2E0A" w:rsidP="008B2E0A">
            <w:pPr>
              <w:rPr>
                <w:sz w:val="20"/>
                <w:szCs w:val="20"/>
              </w:rPr>
            </w:pPr>
            <w:r w:rsidRPr="00485F66">
              <w:rPr>
                <w:sz w:val="20"/>
                <w:szCs w:val="20"/>
              </w:rPr>
              <w:t>NCD - Cardiovascular</w:t>
            </w:r>
          </w:p>
        </w:tc>
        <w:tc>
          <w:tcPr>
            <w:tcW w:w="4820" w:type="dxa"/>
          </w:tcPr>
          <w:p w14:paraId="3D5C57C2" w14:textId="77777777" w:rsidR="008B2E0A" w:rsidRPr="00485F66" w:rsidRDefault="008B2E0A" w:rsidP="008B2E0A">
            <w:pPr>
              <w:rPr>
                <w:sz w:val="20"/>
                <w:szCs w:val="20"/>
              </w:rPr>
            </w:pPr>
            <w:r w:rsidRPr="00485F66">
              <w:rPr>
                <w:b/>
                <w:sz w:val="20"/>
                <w:szCs w:val="20"/>
              </w:rPr>
              <w:t>Rationale:</w:t>
            </w:r>
            <w:r w:rsidRPr="00485F66">
              <w:rPr>
                <w:sz w:val="20"/>
                <w:szCs w:val="20"/>
              </w:rPr>
              <w:t xml:space="preserve"> Statins, lipid-lowering medicines, are used to reduce the risk of coronary heart disease, including fatal and non-fatal myocardial infarction and stroke.  Simvastatin is the representative statin in the WHO EML.</w:t>
            </w:r>
          </w:p>
          <w:p w14:paraId="1A9F93C2" w14:textId="77777777" w:rsidR="008B2E0A" w:rsidRPr="00485F66" w:rsidRDefault="008B2E0A" w:rsidP="008B2E0A">
            <w:pPr>
              <w:rPr>
                <w:b/>
                <w:sz w:val="20"/>
                <w:szCs w:val="20"/>
              </w:rPr>
            </w:pPr>
            <w:r w:rsidRPr="00485F66">
              <w:rPr>
                <w:b/>
                <w:sz w:val="20"/>
                <w:szCs w:val="20"/>
              </w:rPr>
              <w:t xml:space="preserve">Treatment References: </w:t>
            </w:r>
            <w:hyperlink r:id="rId39" w:history="1">
              <w:r w:rsidRPr="00485F66">
                <w:rPr>
                  <w:rStyle w:val="Hyperlink"/>
                  <w:sz w:val="20"/>
                  <w:szCs w:val="20"/>
                </w:rPr>
                <w:t>WHO PEN 5.b</w:t>
              </w:r>
            </w:hyperlink>
            <w:r w:rsidRPr="00485F66">
              <w:rPr>
                <w:b/>
                <w:sz w:val="20"/>
                <w:szCs w:val="20"/>
              </w:rPr>
              <w:t xml:space="preserve">, </w:t>
            </w:r>
            <w:r w:rsidRPr="00485F66">
              <w:rPr>
                <w:rStyle w:val="Hyperlink"/>
                <w:sz w:val="20"/>
                <w:szCs w:val="20"/>
              </w:rPr>
              <w:t xml:space="preserve">WHO </w:t>
            </w:r>
            <w:hyperlink r:id="rId40" w:history="1">
              <w:r w:rsidRPr="00485F66">
                <w:rPr>
                  <w:rStyle w:val="Hyperlink"/>
                  <w:sz w:val="20"/>
                  <w:szCs w:val="20"/>
                </w:rPr>
                <w:t>Guidelines for primary health care in low-resource settings</w:t>
              </w:r>
            </w:hyperlink>
          </w:p>
          <w:p w14:paraId="76F42AA0" w14:textId="77777777" w:rsidR="008B2E0A" w:rsidRPr="00485F66" w:rsidRDefault="008B2E0A" w:rsidP="008B2E0A">
            <w:pPr>
              <w:rPr>
                <w:b/>
                <w:sz w:val="20"/>
                <w:szCs w:val="20"/>
              </w:rPr>
            </w:pPr>
            <w:r w:rsidRPr="00485F66">
              <w:rPr>
                <w:b/>
                <w:sz w:val="20"/>
                <w:szCs w:val="20"/>
              </w:rPr>
              <w:t xml:space="preserve">More information in WHO EML 2017 Section Reference: </w:t>
            </w:r>
            <w:r w:rsidRPr="00485F66">
              <w:rPr>
                <w:bCs/>
                <w:sz w:val="20"/>
                <w:szCs w:val="20"/>
              </w:rPr>
              <w:t>12.6</w:t>
            </w:r>
          </w:p>
        </w:tc>
      </w:tr>
      <w:tr w:rsidR="008B2E0A" w:rsidRPr="00485F66" w14:paraId="36A2D2BC" w14:textId="77777777" w:rsidTr="00496A98">
        <w:trPr>
          <w:trHeight w:val="600"/>
        </w:trPr>
        <w:tc>
          <w:tcPr>
            <w:tcW w:w="3970" w:type="dxa"/>
            <w:noWrap/>
          </w:tcPr>
          <w:p w14:paraId="744129EA" w14:textId="77777777" w:rsidR="008B2E0A" w:rsidRPr="00485F66" w:rsidRDefault="008B2E0A" w:rsidP="008B2E0A">
            <w:pPr>
              <w:rPr>
                <w:sz w:val="20"/>
                <w:szCs w:val="20"/>
              </w:rPr>
            </w:pPr>
            <w:r w:rsidRPr="00485F66">
              <w:rPr>
                <w:sz w:val="20"/>
                <w:szCs w:val="20"/>
              </w:rPr>
              <w:t>Acetylsalicylic acid (aspirin) (100 mg cap/tab)</w:t>
            </w:r>
          </w:p>
        </w:tc>
        <w:tc>
          <w:tcPr>
            <w:tcW w:w="1540" w:type="dxa"/>
            <w:noWrap/>
          </w:tcPr>
          <w:p w14:paraId="150F835B" w14:textId="7090A69E" w:rsidR="008B2E0A" w:rsidRPr="00485F66" w:rsidRDefault="008B2E0A">
            <w:pPr>
              <w:rPr>
                <w:sz w:val="20"/>
                <w:szCs w:val="20"/>
              </w:rPr>
            </w:pPr>
            <w:r w:rsidRPr="00485F66">
              <w:rPr>
                <w:sz w:val="20"/>
                <w:szCs w:val="20"/>
              </w:rPr>
              <w:t xml:space="preserve">NCD – Cardiovascular </w:t>
            </w:r>
          </w:p>
        </w:tc>
        <w:tc>
          <w:tcPr>
            <w:tcW w:w="4820" w:type="dxa"/>
          </w:tcPr>
          <w:p w14:paraId="0F2EF901" w14:textId="77777777" w:rsidR="008B2E0A" w:rsidRPr="00485F66" w:rsidRDefault="008B2E0A" w:rsidP="008B2E0A">
            <w:pPr>
              <w:rPr>
                <w:sz w:val="20"/>
                <w:szCs w:val="20"/>
              </w:rPr>
            </w:pPr>
            <w:r w:rsidRPr="00485F66">
              <w:rPr>
                <w:b/>
                <w:sz w:val="20"/>
                <w:szCs w:val="20"/>
              </w:rPr>
              <w:t>Rationale:</w:t>
            </w:r>
            <w:r w:rsidRPr="00485F66">
              <w:rPr>
                <w:sz w:val="20"/>
                <w:szCs w:val="20"/>
              </w:rPr>
              <w:t xml:space="preserve"> Aspirin, an anti-platelet medication, is recommended for preventing a first stroke, has an important role in preventing recurrent strokes, and can reduce the severity of an ischemic stroke. Low-dose aspirin has numerous therapeutic indications including anti-platelet therapy and can be used to reduce the risk of cardiovascular disease. </w:t>
            </w:r>
          </w:p>
          <w:p w14:paraId="181355A9" w14:textId="77777777" w:rsidR="008B2E0A" w:rsidRPr="00485F66" w:rsidRDefault="008B2E0A" w:rsidP="008B2E0A">
            <w:pPr>
              <w:rPr>
                <w:b/>
                <w:sz w:val="20"/>
                <w:szCs w:val="20"/>
              </w:rPr>
            </w:pPr>
            <w:r w:rsidRPr="00485F66">
              <w:rPr>
                <w:b/>
                <w:sz w:val="20"/>
                <w:szCs w:val="20"/>
              </w:rPr>
              <w:t xml:space="preserve">Treatment References: </w:t>
            </w:r>
            <w:hyperlink r:id="rId41" w:history="1">
              <w:r w:rsidRPr="00485F66">
                <w:rPr>
                  <w:rStyle w:val="Hyperlink"/>
                  <w:sz w:val="20"/>
                  <w:szCs w:val="20"/>
                </w:rPr>
                <w:t>WHO PEN 5.b</w:t>
              </w:r>
            </w:hyperlink>
          </w:p>
          <w:p w14:paraId="3707075E" w14:textId="77777777" w:rsidR="008B2E0A" w:rsidRPr="00485F66" w:rsidRDefault="008B2E0A" w:rsidP="008B2E0A">
            <w:pPr>
              <w:rPr>
                <w:sz w:val="20"/>
                <w:szCs w:val="20"/>
              </w:rPr>
            </w:pPr>
            <w:r w:rsidRPr="00485F66">
              <w:rPr>
                <w:b/>
                <w:sz w:val="20"/>
                <w:szCs w:val="20"/>
              </w:rPr>
              <w:t xml:space="preserve">More information in WHO EML 2017 Section Reference: </w:t>
            </w:r>
            <w:r w:rsidRPr="00485F66">
              <w:rPr>
                <w:sz w:val="20"/>
                <w:szCs w:val="20"/>
              </w:rPr>
              <w:t>12.5</w:t>
            </w:r>
          </w:p>
          <w:p w14:paraId="38C9F402" w14:textId="7854F6CD" w:rsidR="00BE360F" w:rsidRPr="00485F66" w:rsidRDefault="00BE360F" w:rsidP="008B2E0A">
            <w:pPr>
              <w:rPr>
                <w:b/>
                <w:sz w:val="20"/>
                <w:szCs w:val="20"/>
              </w:rPr>
            </w:pPr>
          </w:p>
        </w:tc>
      </w:tr>
      <w:tr w:rsidR="00BE360F" w:rsidRPr="00485F66" w14:paraId="48BDE9C9" w14:textId="77777777" w:rsidTr="00496A98">
        <w:trPr>
          <w:trHeight w:val="600"/>
        </w:trPr>
        <w:tc>
          <w:tcPr>
            <w:tcW w:w="3970" w:type="dxa"/>
            <w:noWrap/>
          </w:tcPr>
          <w:p w14:paraId="4B4DA064" w14:textId="10E0BAE7" w:rsidR="00BE360F" w:rsidRPr="00485F66" w:rsidRDefault="00BE360F" w:rsidP="008B2E0A">
            <w:pPr>
              <w:rPr>
                <w:sz w:val="20"/>
                <w:szCs w:val="20"/>
              </w:rPr>
            </w:pPr>
            <w:r w:rsidRPr="00485F66">
              <w:rPr>
                <w:sz w:val="20"/>
                <w:szCs w:val="20"/>
              </w:rPr>
              <w:t>Furosemide  40 mg tablet</w:t>
            </w:r>
          </w:p>
        </w:tc>
        <w:tc>
          <w:tcPr>
            <w:tcW w:w="1540" w:type="dxa"/>
            <w:noWrap/>
          </w:tcPr>
          <w:p w14:paraId="7C0EE9BA" w14:textId="186EE2A6" w:rsidR="00BE360F" w:rsidRPr="00485F66" w:rsidRDefault="00BE360F">
            <w:pPr>
              <w:rPr>
                <w:sz w:val="20"/>
                <w:szCs w:val="20"/>
              </w:rPr>
            </w:pPr>
            <w:r w:rsidRPr="00485F66">
              <w:rPr>
                <w:sz w:val="20"/>
                <w:szCs w:val="20"/>
              </w:rPr>
              <w:t>NCD - Cardiovascular</w:t>
            </w:r>
          </w:p>
        </w:tc>
        <w:tc>
          <w:tcPr>
            <w:tcW w:w="4820" w:type="dxa"/>
          </w:tcPr>
          <w:p w14:paraId="70F9ACA7" w14:textId="77777777" w:rsidR="00BE360F" w:rsidRPr="00485F66" w:rsidRDefault="00BE360F" w:rsidP="00F96E11">
            <w:pPr>
              <w:rPr>
                <w:sz w:val="20"/>
                <w:szCs w:val="20"/>
              </w:rPr>
            </w:pPr>
            <w:r w:rsidRPr="00485F66">
              <w:rPr>
                <w:b/>
                <w:sz w:val="20"/>
                <w:szCs w:val="20"/>
              </w:rPr>
              <w:t>Rationale:</w:t>
            </w:r>
            <w:r w:rsidRPr="00485F66">
              <w:rPr>
                <w:sz w:val="20"/>
                <w:szCs w:val="20"/>
              </w:rPr>
              <w:t xml:space="preserve"> Furosemide is a loop diuretic used in the treatment of oedema, congestive heart failure, and kidney disease.  </w:t>
            </w:r>
          </w:p>
          <w:p w14:paraId="35618545" w14:textId="77777777" w:rsidR="00BE360F" w:rsidRPr="00485F66" w:rsidRDefault="00BE360F" w:rsidP="00F96E11">
            <w:pPr>
              <w:rPr>
                <w:sz w:val="20"/>
                <w:szCs w:val="20"/>
              </w:rPr>
            </w:pPr>
            <w:r w:rsidRPr="00485F66">
              <w:rPr>
                <w:b/>
                <w:sz w:val="20"/>
                <w:szCs w:val="20"/>
              </w:rPr>
              <w:t xml:space="preserve">Treatment References: WHO PEN 5.b </w:t>
            </w:r>
          </w:p>
          <w:p w14:paraId="632976C2" w14:textId="7942729E" w:rsidR="00BE360F" w:rsidRPr="00485F66" w:rsidRDefault="00BE360F" w:rsidP="008B2E0A">
            <w:pPr>
              <w:rPr>
                <w:b/>
                <w:sz w:val="20"/>
                <w:szCs w:val="20"/>
              </w:rPr>
            </w:pPr>
            <w:r w:rsidRPr="00485F66">
              <w:rPr>
                <w:b/>
                <w:sz w:val="20"/>
                <w:szCs w:val="20"/>
              </w:rPr>
              <w:t>More information in WHO EML 2017 Section Reference:</w:t>
            </w:r>
            <w:r w:rsidRPr="00485F66">
              <w:rPr>
                <w:sz w:val="20"/>
                <w:szCs w:val="20"/>
              </w:rPr>
              <w:t xml:space="preserve"> 12.4</w:t>
            </w:r>
          </w:p>
        </w:tc>
      </w:tr>
      <w:tr w:rsidR="00BE360F" w:rsidRPr="00485F66" w14:paraId="08FA2AEC" w14:textId="77777777" w:rsidTr="00496A98">
        <w:trPr>
          <w:trHeight w:val="600"/>
        </w:trPr>
        <w:tc>
          <w:tcPr>
            <w:tcW w:w="3970" w:type="dxa"/>
            <w:noWrap/>
          </w:tcPr>
          <w:p w14:paraId="1F7B4041" w14:textId="77777777" w:rsidR="00BE360F" w:rsidRPr="00485F66" w:rsidRDefault="00BE360F" w:rsidP="008B2E0A">
            <w:pPr>
              <w:rPr>
                <w:sz w:val="20"/>
                <w:szCs w:val="20"/>
              </w:rPr>
            </w:pPr>
            <w:r w:rsidRPr="00485F66">
              <w:rPr>
                <w:sz w:val="20"/>
                <w:szCs w:val="20"/>
              </w:rPr>
              <w:t>Morphine (10mg tablet)</w:t>
            </w:r>
          </w:p>
        </w:tc>
        <w:tc>
          <w:tcPr>
            <w:tcW w:w="1540" w:type="dxa"/>
            <w:noWrap/>
          </w:tcPr>
          <w:p w14:paraId="565CBBCD" w14:textId="77777777" w:rsidR="00BE360F" w:rsidRPr="00485F66" w:rsidRDefault="00BE360F" w:rsidP="008B2E0A">
            <w:pPr>
              <w:rPr>
                <w:sz w:val="20"/>
                <w:szCs w:val="20"/>
              </w:rPr>
            </w:pPr>
            <w:r w:rsidRPr="00485F66">
              <w:rPr>
                <w:sz w:val="20"/>
                <w:szCs w:val="20"/>
              </w:rPr>
              <w:t>Palliative care</w:t>
            </w:r>
          </w:p>
        </w:tc>
        <w:tc>
          <w:tcPr>
            <w:tcW w:w="4820" w:type="dxa"/>
          </w:tcPr>
          <w:p w14:paraId="3E9D9E89"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Morphine, an opioid analgesic, is the first-choice opioid for treatment of strong pain, including cancer pain. It is also recommended as a preoperative medication and sedation for short-term procedures. </w:t>
            </w:r>
          </w:p>
          <w:p w14:paraId="3FD7B94C" w14:textId="77777777" w:rsidR="00BE360F" w:rsidRPr="00485F66" w:rsidRDefault="00BE360F" w:rsidP="008B2E0A">
            <w:pPr>
              <w:rPr>
                <w:b/>
                <w:sz w:val="20"/>
                <w:szCs w:val="20"/>
              </w:rPr>
            </w:pPr>
            <w:r w:rsidRPr="00485F66">
              <w:rPr>
                <w:b/>
                <w:sz w:val="20"/>
                <w:szCs w:val="20"/>
              </w:rPr>
              <w:t xml:space="preserve">Treatment References: </w:t>
            </w:r>
          </w:p>
          <w:p w14:paraId="51EC760B" w14:textId="77777777" w:rsidR="00BE360F" w:rsidRPr="00485F66" w:rsidRDefault="008459A4" w:rsidP="008B2E0A">
            <w:pPr>
              <w:rPr>
                <w:sz w:val="20"/>
                <w:szCs w:val="20"/>
              </w:rPr>
            </w:pPr>
            <w:hyperlink r:id="rId42" w:history="1">
              <w:r w:rsidR="00BE360F" w:rsidRPr="00485F66">
                <w:rPr>
                  <w:rStyle w:val="Hyperlink"/>
                  <w:sz w:val="20"/>
                  <w:szCs w:val="20"/>
                </w:rPr>
                <w:t>WHO Model Prescribing Information: Drugs Used in Anaesthesia</w:t>
              </w:r>
            </w:hyperlink>
          </w:p>
          <w:p w14:paraId="7779713D" w14:textId="77777777" w:rsidR="00BE360F" w:rsidRPr="00485F66" w:rsidRDefault="00BE360F" w:rsidP="008B2E0A">
            <w:pPr>
              <w:rPr>
                <w:b/>
                <w:sz w:val="20"/>
                <w:szCs w:val="20"/>
              </w:rPr>
            </w:pPr>
            <w:r w:rsidRPr="00485F66">
              <w:rPr>
                <w:b/>
                <w:sz w:val="20"/>
                <w:szCs w:val="20"/>
              </w:rPr>
              <w:t>More information in WHO EML 2017 Section Reference:</w:t>
            </w:r>
            <w:r w:rsidRPr="00485F66">
              <w:rPr>
                <w:sz w:val="20"/>
                <w:szCs w:val="20"/>
              </w:rPr>
              <w:t xml:space="preserve"> 2.2,1.3</w:t>
            </w:r>
          </w:p>
        </w:tc>
      </w:tr>
      <w:tr w:rsidR="00BE360F" w:rsidRPr="00485F66" w14:paraId="39EB8B09" w14:textId="77777777" w:rsidTr="00496A98">
        <w:trPr>
          <w:trHeight w:val="2793"/>
        </w:trPr>
        <w:tc>
          <w:tcPr>
            <w:tcW w:w="3970" w:type="dxa"/>
            <w:noWrap/>
          </w:tcPr>
          <w:p w14:paraId="004D59A8" w14:textId="77777777" w:rsidR="00BE360F" w:rsidRPr="00485F66" w:rsidRDefault="00BE360F" w:rsidP="008B2E0A">
            <w:pPr>
              <w:rPr>
                <w:sz w:val="20"/>
                <w:szCs w:val="20"/>
              </w:rPr>
            </w:pPr>
            <w:r w:rsidRPr="00485F66">
              <w:rPr>
                <w:sz w:val="20"/>
                <w:szCs w:val="20"/>
              </w:rPr>
              <w:lastRenderedPageBreak/>
              <w:t>Paracetamol (any strength)</w:t>
            </w:r>
          </w:p>
        </w:tc>
        <w:tc>
          <w:tcPr>
            <w:tcW w:w="1540" w:type="dxa"/>
            <w:noWrap/>
          </w:tcPr>
          <w:p w14:paraId="3275452B" w14:textId="77777777" w:rsidR="00BE360F" w:rsidRPr="00485F66" w:rsidRDefault="00BE360F" w:rsidP="008B2E0A">
            <w:pPr>
              <w:rPr>
                <w:sz w:val="20"/>
                <w:szCs w:val="20"/>
              </w:rPr>
            </w:pPr>
            <w:r w:rsidRPr="00485F66">
              <w:rPr>
                <w:sz w:val="20"/>
                <w:szCs w:val="20"/>
              </w:rPr>
              <w:t>Pain and Palliative Care</w:t>
            </w:r>
          </w:p>
        </w:tc>
        <w:tc>
          <w:tcPr>
            <w:tcW w:w="4820" w:type="dxa"/>
          </w:tcPr>
          <w:p w14:paraId="57EB52DF" w14:textId="77777777" w:rsidR="00BE360F" w:rsidRPr="00485F66" w:rsidRDefault="00BE360F" w:rsidP="008B2E0A">
            <w:pPr>
              <w:rPr>
                <w:b/>
                <w:sz w:val="20"/>
                <w:szCs w:val="20"/>
              </w:rPr>
            </w:pPr>
            <w:r w:rsidRPr="00485F66">
              <w:rPr>
                <w:b/>
                <w:sz w:val="20"/>
                <w:szCs w:val="20"/>
              </w:rPr>
              <w:t xml:space="preserve">Rationale: </w:t>
            </w:r>
            <w:r w:rsidRPr="00485F66">
              <w:rPr>
                <w:bCs/>
                <w:sz w:val="20"/>
                <w:szCs w:val="20"/>
              </w:rPr>
              <w:t>Paracetamol, also referred to as acetaminophen or APAP, is an analgesic and antipyretic that is used widely as a first-line treatment for mild to moderate pain and fever. It is also often found in combinations with other medications to treat a cold or for severe pain. In particular, it is the preferred analgesic for pregnant women.</w:t>
            </w:r>
          </w:p>
          <w:p w14:paraId="79D70B7A" w14:textId="77777777" w:rsidR="00BE360F" w:rsidRPr="00485F66" w:rsidRDefault="00BE360F" w:rsidP="008B2E0A">
            <w:pPr>
              <w:rPr>
                <w:sz w:val="20"/>
                <w:szCs w:val="20"/>
              </w:rPr>
            </w:pPr>
            <w:r w:rsidRPr="00485F66">
              <w:rPr>
                <w:b/>
                <w:sz w:val="20"/>
                <w:szCs w:val="20"/>
              </w:rPr>
              <w:t>Treatment References:</w:t>
            </w:r>
            <w:r w:rsidRPr="00485F66">
              <w:rPr>
                <w:sz w:val="20"/>
                <w:szCs w:val="20"/>
              </w:rPr>
              <w:t xml:space="preserve"> </w:t>
            </w:r>
            <w:hyperlink r:id="rId43" w:history="1">
              <w:r w:rsidRPr="00485F66">
                <w:rPr>
                  <w:rStyle w:val="Hyperlink"/>
                  <w:sz w:val="20"/>
                  <w:szCs w:val="20"/>
                </w:rPr>
                <w:t>WHO Model Prescribing Information: Drugs Used in Anaesthesia</w:t>
              </w:r>
            </w:hyperlink>
          </w:p>
          <w:p w14:paraId="49E038B0" w14:textId="77777777" w:rsidR="00BE360F" w:rsidRPr="00485F66" w:rsidRDefault="00BE360F" w:rsidP="008B2E0A">
            <w:pPr>
              <w:rPr>
                <w:b/>
                <w:sz w:val="20"/>
                <w:szCs w:val="20"/>
              </w:rPr>
            </w:pPr>
            <w:r w:rsidRPr="00485F66">
              <w:rPr>
                <w:b/>
                <w:sz w:val="20"/>
                <w:szCs w:val="20"/>
              </w:rPr>
              <w:t xml:space="preserve">More information in WHO EML 2017 Section Reference: </w:t>
            </w:r>
            <w:r w:rsidRPr="00485F66">
              <w:rPr>
                <w:sz w:val="20"/>
                <w:szCs w:val="20"/>
              </w:rPr>
              <w:t>2.1, 7.1</w:t>
            </w:r>
          </w:p>
        </w:tc>
      </w:tr>
      <w:tr w:rsidR="00BE360F" w:rsidRPr="00485F66" w14:paraId="54B790C5" w14:textId="77777777" w:rsidTr="00496A98">
        <w:trPr>
          <w:trHeight w:val="600"/>
        </w:trPr>
        <w:tc>
          <w:tcPr>
            <w:tcW w:w="3970" w:type="dxa"/>
            <w:noWrap/>
          </w:tcPr>
          <w:p w14:paraId="1C419C9B" w14:textId="77777777" w:rsidR="00BE360F" w:rsidRPr="00485F66" w:rsidRDefault="00BE360F" w:rsidP="008B2E0A">
            <w:pPr>
              <w:rPr>
                <w:sz w:val="20"/>
                <w:szCs w:val="20"/>
              </w:rPr>
            </w:pPr>
            <w:r w:rsidRPr="00485F66">
              <w:rPr>
                <w:sz w:val="20"/>
                <w:szCs w:val="20"/>
              </w:rPr>
              <w:t>Fluoxetine (20 mg cap/tab) or other selective serotonin reuptake inhibitor (SSRI)</w:t>
            </w:r>
          </w:p>
        </w:tc>
        <w:tc>
          <w:tcPr>
            <w:tcW w:w="1540" w:type="dxa"/>
            <w:noWrap/>
          </w:tcPr>
          <w:p w14:paraId="1C21B2F6" w14:textId="77777777" w:rsidR="00BE360F" w:rsidRPr="00485F66" w:rsidRDefault="00BE360F" w:rsidP="008B2E0A">
            <w:pPr>
              <w:rPr>
                <w:sz w:val="20"/>
                <w:szCs w:val="20"/>
              </w:rPr>
            </w:pPr>
            <w:r w:rsidRPr="00485F66">
              <w:rPr>
                <w:sz w:val="20"/>
                <w:szCs w:val="20"/>
              </w:rPr>
              <w:t>CNS</w:t>
            </w:r>
          </w:p>
        </w:tc>
        <w:tc>
          <w:tcPr>
            <w:tcW w:w="4820" w:type="dxa"/>
          </w:tcPr>
          <w:p w14:paraId="53DB5A3D" w14:textId="77777777" w:rsidR="00BE360F" w:rsidRPr="00485F66" w:rsidRDefault="00BE360F" w:rsidP="008B2E0A">
            <w:pPr>
              <w:rPr>
                <w:sz w:val="20"/>
                <w:szCs w:val="20"/>
              </w:rPr>
            </w:pPr>
            <w:r w:rsidRPr="00485F66">
              <w:rPr>
                <w:b/>
                <w:sz w:val="20"/>
                <w:szCs w:val="20"/>
              </w:rPr>
              <w:t xml:space="preserve">Rationale: </w:t>
            </w:r>
            <w:r w:rsidRPr="00485F66">
              <w:rPr>
                <w:sz w:val="20"/>
                <w:szCs w:val="20"/>
              </w:rPr>
              <w:t>SSRIs are among the most widely used drugs in the treatment of depressive disorders. Fluoxetine is recommended for use in depressive disorders and can be used to treat patients over 8 years old.</w:t>
            </w:r>
          </w:p>
          <w:p w14:paraId="2121ABF5" w14:textId="77777777" w:rsidR="00BE360F" w:rsidRPr="00485F66" w:rsidRDefault="00BE360F" w:rsidP="008B2E0A">
            <w:pPr>
              <w:rPr>
                <w:sz w:val="20"/>
                <w:szCs w:val="20"/>
              </w:rPr>
            </w:pPr>
            <w:r w:rsidRPr="00485F66">
              <w:rPr>
                <w:sz w:val="20"/>
                <w:szCs w:val="20"/>
              </w:rPr>
              <w:t xml:space="preserve">SSRIs should be used as part of a comprehensive management plan. </w:t>
            </w:r>
          </w:p>
          <w:p w14:paraId="23CE88A8" w14:textId="77777777" w:rsidR="00BE360F" w:rsidRPr="00485F66" w:rsidRDefault="00BE360F" w:rsidP="008B2E0A">
            <w:pPr>
              <w:rPr>
                <w:b/>
                <w:sz w:val="20"/>
                <w:szCs w:val="20"/>
              </w:rPr>
            </w:pPr>
            <w:r w:rsidRPr="00485F66">
              <w:rPr>
                <w:b/>
                <w:sz w:val="20"/>
                <w:szCs w:val="20"/>
              </w:rPr>
              <w:t>Treatment References:</w:t>
            </w:r>
          </w:p>
          <w:p w14:paraId="455D66C7" w14:textId="77777777" w:rsidR="00BE360F" w:rsidRPr="00485F66" w:rsidRDefault="008459A4" w:rsidP="008B2E0A">
            <w:pPr>
              <w:rPr>
                <w:bCs/>
                <w:sz w:val="20"/>
                <w:szCs w:val="20"/>
                <w:u w:val="single"/>
              </w:rPr>
            </w:pPr>
            <w:hyperlink r:id="rId44" w:history="1">
              <w:r w:rsidR="00BE360F" w:rsidRPr="00485F66">
                <w:rPr>
                  <w:rStyle w:val="Hyperlink"/>
                  <w:bCs/>
                  <w:sz w:val="20"/>
                  <w:szCs w:val="20"/>
                </w:rPr>
                <w:t>Evidence-based recommendations for management of depression in non-specialized health settings</w:t>
              </w:r>
            </w:hyperlink>
          </w:p>
          <w:p w14:paraId="2B3CC0A7" w14:textId="77777777" w:rsidR="00BE360F" w:rsidRPr="00485F66" w:rsidRDefault="00BE360F" w:rsidP="008B2E0A">
            <w:pPr>
              <w:rPr>
                <w:sz w:val="20"/>
                <w:szCs w:val="20"/>
              </w:rPr>
            </w:pPr>
            <w:r w:rsidRPr="00485F66">
              <w:rPr>
                <w:b/>
                <w:sz w:val="20"/>
                <w:szCs w:val="20"/>
              </w:rPr>
              <w:t xml:space="preserve">More information in WHO EML 2017 Section Reference: </w:t>
            </w:r>
            <w:r w:rsidRPr="00485F66">
              <w:rPr>
                <w:sz w:val="20"/>
                <w:szCs w:val="20"/>
              </w:rPr>
              <w:t>24.2</w:t>
            </w:r>
          </w:p>
        </w:tc>
      </w:tr>
      <w:tr w:rsidR="00BE360F" w:rsidRPr="00485F66" w14:paraId="77AC9C37" w14:textId="77777777" w:rsidTr="00496A98">
        <w:trPr>
          <w:trHeight w:val="900"/>
        </w:trPr>
        <w:tc>
          <w:tcPr>
            <w:tcW w:w="3970" w:type="dxa"/>
            <w:noWrap/>
          </w:tcPr>
          <w:p w14:paraId="2139C80F" w14:textId="77777777" w:rsidR="00BE360F" w:rsidRPr="00485F66" w:rsidRDefault="00BE360F" w:rsidP="008B2E0A">
            <w:pPr>
              <w:rPr>
                <w:sz w:val="20"/>
                <w:szCs w:val="20"/>
              </w:rPr>
            </w:pPr>
            <w:r w:rsidRPr="00485F66">
              <w:rPr>
                <w:sz w:val="20"/>
                <w:szCs w:val="20"/>
              </w:rPr>
              <w:t>Phenytoin (100mg Tablet) or Carbamazepine (200 mg cap/tab)</w:t>
            </w:r>
          </w:p>
        </w:tc>
        <w:tc>
          <w:tcPr>
            <w:tcW w:w="1540" w:type="dxa"/>
            <w:noWrap/>
          </w:tcPr>
          <w:p w14:paraId="40BCAFE8" w14:textId="77777777" w:rsidR="00BE360F" w:rsidRPr="00485F66" w:rsidRDefault="00BE360F" w:rsidP="008B2E0A">
            <w:pPr>
              <w:rPr>
                <w:sz w:val="20"/>
                <w:szCs w:val="20"/>
              </w:rPr>
            </w:pPr>
            <w:r w:rsidRPr="00485F66">
              <w:rPr>
                <w:sz w:val="20"/>
                <w:szCs w:val="20"/>
              </w:rPr>
              <w:t>CNS</w:t>
            </w:r>
          </w:p>
        </w:tc>
        <w:tc>
          <w:tcPr>
            <w:tcW w:w="4820" w:type="dxa"/>
          </w:tcPr>
          <w:p w14:paraId="21B5238F"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Carbamazepine and phenytoin are anticonvulsant/antiepileptic medicines used in the management of generalized and partial seizures and neuropathic pain.</w:t>
            </w:r>
          </w:p>
          <w:p w14:paraId="3D21FB58" w14:textId="77777777" w:rsidR="00BE360F" w:rsidRPr="00485F66" w:rsidRDefault="00BE360F" w:rsidP="008B2E0A">
            <w:pPr>
              <w:rPr>
                <w:b/>
                <w:sz w:val="20"/>
                <w:szCs w:val="20"/>
              </w:rPr>
            </w:pPr>
            <w:r w:rsidRPr="00485F66">
              <w:rPr>
                <w:b/>
                <w:sz w:val="20"/>
                <w:szCs w:val="20"/>
              </w:rPr>
              <w:t xml:space="preserve">Treatment References: </w:t>
            </w:r>
          </w:p>
          <w:p w14:paraId="5BB42301" w14:textId="77777777" w:rsidR="00BE360F" w:rsidRPr="00485F66" w:rsidRDefault="008459A4" w:rsidP="008B2E0A">
            <w:pPr>
              <w:rPr>
                <w:bCs/>
                <w:sz w:val="20"/>
                <w:szCs w:val="20"/>
              </w:rPr>
            </w:pPr>
            <w:hyperlink r:id="rId45" w:history="1">
              <w:r w:rsidR="00BE360F" w:rsidRPr="00485F66">
                <w:rPr>
                  <w:rStyle w:val="Hyperlink"/>
                  <w:bCs/>
                  <w:sz w:val="20"/>
                  <w:szCs w:val="20"/>
                </w:rPr>
                <w:t>Evidence-based recommendations for management of epilepsy and seizures in non-specialized health settings</w:t>
              </w:r>
            </w:hyperlink>
          </w:p>
          <w:p w14:paraId="28AFB482"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5</w:t>
            </w:r>
          </w:p>
        </w:tc>
      </w:tr>
      <w:tr w:rsidR="00BE360F" w:rsidRPr="00485F66" w14:paraId="0DD13835" w14:textId="77777777" w:rsidTr="00496A98">
        <w:trPr>
          <w:trHeight w:val="900"/>
        </w:trPr>
        <w:tc>
          <w:tcPr>
            <w:tcW w:w="3970" w:type="dxa"/>
            <w:noWrap/>
            <w:hideMark/>
          </w:tcPr>
          <w:p w14:paraId="33F1E4A4" w14:textId="77777777" w:rsidR="00BE360F" w:rsidRPr="00485F66" w:rsidRDefault="00BE360F" w:rsidP="008B2E0A">
            <w:pPr>
              <w:rPr>
                <w:sz w:val="20"/>
                <w:szCs w:val="20"/>
                <w:lang w:val="it-IT"/>
              </w:rPr>
            </w:pPr>
            <w:r w:rsidRPr="00485F66">
              <w:rPr>
                <w:sz w:val="20"/>
                <w:szCs w:val="20"/>
                <w:lang w:val="it-IT"/>
              </w:rPr>
              <w:t>Gentamicin (40 mg/mL in 2mL vial)</w:t>
            </w:r>
          </w:p>
        </w:tc>
        <w:tc>
          <w:tcPr>
            <w:tcW w:w="1540" w:type="dxa"/>
            <w:noWrap/>
            <w:hideMark/>
          </w:tcPr>
          <w:p w14:paraId="61DD2864" w14:textId="77777777" w:rsidR="00BE360F" w:rsidRPr="00485F66" w:rsidRDefault="00BE360F" w:rsidP="008B2E0A">
            <w:pPr>
              <w:rPr>
                <w:sz w:val="20"/>
                <w:szCs w:val="20"/>
              </w:rPr>
            </w:pPr>
            <w:r w:rsidRPr="00485F66">
              <w:rPr>
                <w:sz w:val="20"/>
                <w:szCs w:val="20"/>
              </w:rPr>
              <w:t>Anti-infective</w:t>
            </w:r>
          </w:p>
        </w:tc>
        <w:tc>
          <w:tcPr>
            <w:tcW w:w="4820" w:type="dxa"/>
            <w:hideMark/>
          </w:tcPr>
          <w:p w14:paraId="7C6362BC"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Gentamicin, an aminoglycoside antibiotic, is used for the systemic treatment of susceptible infections. It is classified as an ACCESS antibiotic in the WHO EML, signifying that it should widely available, affordable, and quality assured. It is the first-line treatment for community acquired pneumonia, complicated severe malnutrition, and neonatal sepsis, and second-line treatment for gonorrhoeae.</w:t>
            </w:r>
          </w:p>
          <w:p w14:paraId="0BCFC168" w14:textId="77777777" w:rsidR="00BE360F" w:rsidRPr="00485F66" w:rsidRDefault="00BE360F" w:rsidP="008B2E0A">
            <w:pPr>
              <w:rPr>
                <w:b/>
                <w:sz w:val="20"/>
                <w:szCs w:val="20"/>
              </w:rPr>
            </w:pPr>
            <w:r w:rsidRPr="00485F66">
              <w:rPr>
                <w:b/>
                <w:sz w:val="20"/>
                <w:szCs w:val="20"/>
              </w:rPr>
              <w:t xml:space="preserve">Treatment References: </w:t>
            </w:r>
          </w:p>
          <w:p w14:paraId="3C3B770B" w14:textId="77777777" w:rsidR="00BE360F" w:rsidRPr="00485F66" w:rsidRDefault="008459A4" w:rsidP="008B2E0A">
            <w:pPr>
              <w:rPr>
                <w:rStyle w:val="Hyperlink"/>
                <w:bCs/>
                <w:sz w:val="20"/>
                <w:szCs w:val="20"/>
              </w:rPr>
            </w:pPr>
            <w:hyperlink r:id="rId46" w:history="1">
              <w:r w:rsidR="00BE360F" w:rsidRPr="00485F66">
                <w:rPr>
                  <w:rStyle w:val="Hyperlink"/>
                  <w:bCs/>
                  <w:sz w:val="20"/>
                  <w:szCs w:val="20"/>
                </w:rPr>
                <w:t>WHO Model Prescribing Information: Drugs used in Bacterial Infections</w:t>
              </w:r>
            </w:hyperlink>
            <w:r w:rsidR="00BE360F" w:rsidRPr="00485F66">
              <w:rPr>
                <w:rStyle w:val="Hyperlink"/>
                <w:bCs/>
                <w:sz w:val="20"/>
                <w:szCs w:val="20"/>
              </w:rPr>
              <w:t xml:space="preserve"> </w:t>
            </w:r>
          </w:p>
          <w:p w14:paraId="5052A6AE"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6.2.2</w:t>
            </w:r>
          </w:p>
        </w:tc>
      </w:tr>
      <w:tr w:rsidR="00BE360F" w:rsidRPr="00485F66" w14:paraId="69E06DB0" w14:textId="77777777" w:rsidTr="00496A98">
        <w:trPr>
          <w:trHeight w:val="900"/>
        </w:trPr>
        <w:tc>
          <w:tcPr>
            <w:tcW w:w="3970" w:type="dxa"/>
            <w:noWrap/>
            <w:hideMark/>
          </w:tcPr>
          <w:p w14:paraId="2E65F84F" w14:textId="6E8D1CF7" w:rsidR="00BE360F" w:rsidRPr="00485F66" w:rsidRDefault="00BE360F" w:rsidP="008B2E0A">
            <w:pPr>
              <w:rPr>
                <w:sz w:val="20"/>
                <w:szCs w:val="20"/>
              </w:rPr>
            </w:pPr>
            <w:r w:rsidRPr="00485F66">
              <w:rPr>
                <w:sz w:val="20"/>
                <w:szCs w:val="20"/>
              </w:rPr>
              <w:t>Amoxicillin (500mg cap/tab)</w:t>
            </w:r>
          </w:p>
          <w:p w14:paraId="18F3CB3D" w14:textId="77777777" w:rsidR="00BE360F" w:rsidRPr="00485F66" w:rsidRDefault="00BE360F" w:rsidP="008B2E0A">
            <w:pPr>
              <w:rPr>
                <w:sz w:val="20"/>
                <w:szCs w:val="20"/>
              </w:rPr>
            </w:pPr>
          </w:p>
          <w:p w14:paraId="5BC8A326" w14:textId="77777777" w:rsidR="00BE360F" w:rsidRPr="00485F66" w:rsidRDefault="00BE360F" w:rsidP="008B2E0A">
            <w:pPr>
              <w:rPr>
                <w:sz w:val="20"/>
                <w:szCs w:val="20"/>
              </w:rPr>
            </w:pPr>
          </w:p>
          <w:p w14:paraId="3B27C74A" w14:textId="77777777" w:rsidR="00BE360F" w:rsidRPr="00485F66" w:rsidRDefault="00BE360F" w:rsidP="008B2E0A">
            <w:pPr>
              <w:rPr>
                <w:sz w:val="20"/>
                <w:szCs w:val="20"/>
              </w:rPr>
            </w:pPr>
          </w:p>
          <w:p w14:paraId="00153D99" w14:textId="77777777" w:rsidR="00BE360F" w:rsidRPr="00485F66" w:rsidRDefault="00BE360F" w:rsidP="008B2E0A">
            <w:pPr>
              <w:rPr>
                <w:sz w:val="20"/>
                <w:szCs w:val="20"/>
              </w:rPr>
            </w:pPr>
          </w:p>
          <w:p w14:paraId="49E8D6A5" w14:textId="4789B278" w:rsidR="00BE360F" w:rsidRPr="00485F66" w:rsidRDefault="00BE360F" w:rsidP="008B2E0A">
            <w:pPr>
              <w:rPr>
                <w:sz w:val="20"/>
                <w:szCs w:val="20"/>
              </w:rPr>
            </w:pPr>
          </w:p>
        </w:tc>
        <w:tc>
          <w:tcPr>
            <w:tcW w:w="1540" w:type="dxa"/>
            <w:noWrap/>
            <w:hideMark/>
          </w:tcPr>
          <w:p w14:paraId="047F5D66" w14:textId="77777777" w:rsidR="00BE360F" w:rsidRPr="00485F66" w:rsidRDefault="00BE360F" w:rsidP="008B2E0A">
            <w:pPr>
              <w:rPr>
                <w:sz w:val="20"/>
                <w:szCs w:val="20"/>
              </w:rPr>
            </w:pPr>
            <w:r w:rsidRPr="00485F66">
              <w:rPr>
                <w:sz w:val="20"/>
                <w:szCs w:val="20"/>
              </w:rPr>
              <w:t>Anti-infective</w:t>
            </w:r>
          </w:p>
        </w:tc>
        <w:tc>
          <w:tcPr>
            <w:tcW w:w="4820" w:type="dxa"/>
            <w:hideMark/>
          </w:tcPr>
          <w:p w14:paraId="252ED0EC"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Amoxicillin, a beta-lactam antibiotic, is used to treat a wide range of susceptible infections. It is classified as an ACCESS antibiotic in the WHO EML, signifying that it should widely available, affordable, and quality assured. It is the first-line treatment for specific infectious syndromes, including community acquired pneumonia, neonatal sepsis, lower urinary tract infections, and the second-line treatment for acute </w:t>
            </w:r>
            <w:r w:rsidRPr="00485F66">
              <w:rPr>
                <w:sz w:val="20"/>
                <w:szCs w:val="20"/>
              </w:rPr>
              <w:lastRenderedPageBreak/>
              <w:t>bacterial meningitis.</w:t>
            </w:r>
          </w:p>
          <w:p w14:paraId="11A9EC0A" w14:textId="77777777" w:rsidR="00BE360F" w:rsidRPr="00485F66" w:rsidRDefault="00BE360F" w:rsidP="008B2E0A">
            <w:pPr>
              <w:rPr>
                <w:b/>
                <w:sz w:val="20"/>
                <w:szCs w:val="20"/>
              </w:rPr>
            </w:pPr>
            <w:r w:rsidRPr="00485F66">
              <w:rPr>
                <w:b/>
                <w:sz w:val="20"/>
                <w:szCs w:val="20"/>
              </w:rPr>
              <w:t xml:space="preserve">Treatment References: </w:t>
            </w:r>
          </w:p>
          <w:p w14:paraId="3ED0F614" w14:textId="77777777" w:rsidR="00BE360F" w:rsidRPr="00485F66" w:rsidRDefault="008459A4" w:rsidP="008B2E0A">
            <w:pPr>
              <w:rPr>
                <w:bCs/>
                <w:sz w:val="20"/>
                <w:szCs w:val="20"/>
              </w:rPr>
            </w:pPr>
            <w:hyperlink r:id="rId47" w:history="1">
              <w:r w:rsidR="00BE360F" w:rsidRPr="00485F66">
                <w:rPr>
                  <w:rStyle w:val="Hyperlink"/>
                  <w:bCs/>
                  <w:sz w:val="20"/>
                  <w:szCs w:val="20"/>
                </w:rPr>
                <w:t>WHO Model Prescribing Information: Drugs used in Bacterial Infections</w:t>
              </w:r>
            </w:hyperlink>
          </w:p>
          <w:p w14:paraId="717D2AD0"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6.2.1</w:t>
            </w:r>
          </w:p>
        </w:tc>
      </w:tr>
      <w:tr w:rsidR="00BE360F" w:rsidRPr="00485F66" w14:paraId="49754DC3" w14:textId="77777777" w:rsidTr="00496A98">
        <w:trPr>
          <w:trHeight w:val="900"/>
        </w:trPr>
        <w:tc>
          <w:tcPr>
            <w:tcW w:w="3970" w:type="dxa"/>
            <w:noWrap/>
            <w:hideMark/>
          </w:tcPr>
          <w:p w14:paraId="61DCEA01" w14:textId="77777777" w:rsidR="00BE360F" w:rsidRPr="00485F66" w:rsidRDefault="00BE360F" w:rsidP="008B2E0A">
            <w:pPr>
              <w:rPr>
                <w:sz w:val="20"/>
                <w:szCs w:val="20"/>
              </w:rPr>
            </w:pPr>
            <w:r w:rsidRPr="00485F66">
              <w:rPr>
                <w:sz w:val="20"/>
                <w:szCs w:val="20"/>
              </w:rPr>
              <w:lastRenderedPageBreak/>
              <w:t>Ceftriaxone (1g/vial Injection)</w:t>
            </w:r>
          </w:p>
        </w:tc>
        <w:tc>
          <w:tcPr>
            <w:tcW w:w="1540" w:type="dxa"/>
            <w:noWrap/>
            <w:hideMark/>
          </w:tcPr>
          <w:p w14:paraId="730A05DF" w14:textId="77777777" w:rsidR="00BE360F" w:rsidRPr="00485F66" w:rsidRDefault="00BE360F" w:rsidP="008B2E0A">
            <w:pPr>
              <w:rPr>
                <w:sz w:val="20"/>
                <w:szCs w:val="20"/>
              </w:rPr>
            </w:pPr>
            <w:r w:rsidRPr="00485F66">
              <w:rPr>
                <w:sz w:val="20"/>
                <w:szCs w:val="20"/>
              </w:rPr>
              <w:t>Anti-infective</w:t>
            </w:r>
          </w:p>
        </w:tc>
        <w:tc>
          <w:tcPr>
            <w:tcW w:w="4820" w:type="dxa"/>
            <w:hideMark/>
          </w:tcPr>
          <w:p w14:paraId="62903039"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Ceftriaxone, a third generation cephalosporin, is used for the systemic treatment of susceptible infections.  It is classified as a WATCH in the WHO EML, signifying it higher resistance potential and recommendation for only a specific, limited number of indications.  It is the first-line treatment for specific infectious syndromes including severe community acquired pneumonia, acute bacterial meningitis, and gonorrhoeae.</w:t>
            </w:r>
          </w:p>
          <w:p w14:paraId="5096F06B" w14:textId="77777777" w:rsidR="00BE360F" w:rsidRPr="00485F66" w:rsidRDefault="00BE360F" w:rsidP="008B2E0A">
            <w:pPr>
              <w:rPr>
                <w:b/>
                <w:sz w:val="20"/>
                <w:szCs w:val="20"/>
              </w:rPr>
            </w:pPr>
            <w:r w:rsidRPr="00485F66">
              <w:rPr>
                <w:b/>
                <w:sz w:val="20"/>
                <w:szCs w:val="20"/>
              </w:rPr>
              <w:t>Treatment References:</w:t>
            </w:r>
          </w:p>
          <w:p w14:paraId="4992206C" w14:textId="77777777" w:rsidR="00BE360F" w:rsidRPr="00485F66" w:rsidRDefault="008459A4" w:rsidP="008B2E0A">
            <w:pPr>
              <w:rPr>
                <w:bCs/>
                <w:sz w:val="20"/>
                <w:szCs w:val="20"/>
              </w:rPr>
            </w:pPr>
            <w:hyperlink r:id="rId48" w:history="1">
              <w:r w:rsidR="00BE360F" w:rsidRPr="00485F66">
                <w:rPr>
                  <w:rStyle w:val="Hyperlink"/>
                  <w:bCs/>
                  <w:sz w:val="20"/>
                  <w:szCs w:val="20"/>
                </w:rPr>
                <w:t>WHO Model Prescribing Information: Drugs used in Bacterial Infections</w:t>
              </w:r>
            </w:hyperlink>
          </w:p>
          <w:p w14:paraId="05F2AA20"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6.2.1</w:t>
            </w:r>
          </w:p>
        </w:tc>
      </w:tr>
      <w:tr w:rsidR="00BE360F" w:rsidRPr="00485F66" w14:paraId="45916CA3" w14:textId="77777777" w:rsidTr="00496A98">
        <w:trPr>
          <w:trHeight w:val="300"/>
        </w:trPr>
        <w:tc>
          <w:tcPr>
            <w:tcW w:w="3970" w:type="dxa"/>
            <w:noWrap/>
            <w:hideMark/>
          </w:tcPr>
          <w:p w14:paraId="34351E43" w14:textId="77777777" w:rsidR="00BE360F" w:rsidRPr="00485F66" w:rsidRDefault="00BE360F" w:rsidP="008B2E0A">
            <w:pPr>
              <w:rPr>
                <w:sz w:val="20"/>
                <w:szCs w:val="20"/>
              </w:rPr>
            </w:pPr>
            <w:r w:rsidRPr="00485F66">
              <w:rPr>
                <w:sz w:val="20"/>
                <w:szCs w:val="20"/>
              </w:rPr>
              <w:t>Procaine benzylpenicillin (1G = 1MU Injection) or Benzathine benzylpenicillin (900mg=1.2 MIU or 1.44g = 2.4MIU) injection</w:t>
            </w:r>
          </w:p>
        </w:tc>
        <w:tc>
          <w:tcPr>
            <w:tcW w:w="1540" w:type="dxa"/>
            <w:noWrap/>
            <w:hideMark/>
          </w:tcPr>
          <w:p w14:paraId="74D6C3CF" w14:textId="77777777" w:rsidR="00BE360F" w:rsidRPr="00485F66" w:rsidRDefault="00BE360F" w:rsidP="008B2E0A">
            <w:pPr>
              <w:rPr>
                <w:sz w:val="20"/>
                <w:szCs w:val="20"/>
              </w:rPr>
            </w:pPr>
            <w:r w:rsidRPr="00485F66">
              <w:rPr>
                <w:sz w:val="20"/>
                <w:szCs w:val="20"/>
              </w:rPr>
              <w:t>Anti-infective</w:t>
            </w:r>
          </w:p>
        </w:tc>
        <w:tc>
          <w:tcPr>
            <w:tcW w:w="4820" w:type="dxa"/>
            <w:noWrap/>
            <w:hideMark/>
          </w:tcPr>
          <w:p w14:paraId="6E22C35F"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Procaine benzylpenicillin, a beta-lactam antibiotic, is used to treat syphilis in adults and children. It is classified as an ACCESS antibiotic in the WHO EML, signifying that it should widely available, affordable, and quality assured.</w:t>
            </w:r>
          </w:p>
          <w:p w14:paraId="46AE185C" w14:textId="77777777" w:rsidR="00BE360F" w:rsidRPr="00485F66" w:rsidRDefault="00BE360F" w:rsidP="008B2E0A">
            <w:pPr>
              <w:rPr>
                <w:b/>
                <w:sz w:val="20"/>
                <w:szCs w:val="20"/>
              </w:rPr>
            </w:pPr>
            <w:r w:rsidRPr="00485F66">
              <w:rPr>
                <w:b/>
                <w:sz w:val="20"/>
                <w:szCs w:val="20"/>
              </w:rPr>
              <w:t xml:space="preserve">Treatment References: </w:t>
            </w:r>
          </w:p>
          <w:p w14:paraId="1FE95D36" w14:textId="77777777" w:rsidR="00BE360F" w:rsidRPr="00485F66" w:rsidRDefault="008459A4" w:rsidP="008B2E0A">
            <w:pPr>
              <w:rPr>
                <w:bCs/>
                <w:sz w:val="20"/>
                <w:szCs w:val="20"/>
              </w:rPr>
            </w:pPr>
            <w:hyperlink r:id="rId49" w:history="1">
              <w:r w:rsidR="00BE360F" w:rsidRPr="00485F66">
                <w:rPr>
                  <w:rStyle w:val="Hyperlink"/>
                  <w:bCs/>
                  <w:sz w:val="20"/>
                  <w:szCs w:val="20"/>
                </w:rPr>
                <w:t>WHO Model Prescribing Information: Drugs used in Bacterial Infections</w:t>
              </w:r>
            </w:hyperlink>
          </w:p>
          <w:p w14:paraId="56A9A7A6"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6.2.1</w:t>
            </w:r>
          </w:p>
        </w:tc>
      </w:tr>
      <w:tr w:rsidR="00BE360F" w:rsidRPr="00485F66" w14:paraId="4A27D4B6" w14:textId="77777777" w:rsidTr="00496A98">
        <w:trPr>
          <w:trHeight w:val="300"/>
        </w:trPr>
        <w:tc>
          <w:tcPr>
            <w:tcW w:w="3970" w:type="dxa"/>
            <w:noWrap/>
          </w:tcPr>
          <w:p w14:paraId="7701812D" w14:textId="77777777" w:rsidR="00BE360F" w:rsidRPr="00485F66" w:rsidRDefault="00BE360F" w:rsidP="008B2E0A">
            <w:pPr>
              <w:rPr>
                <w:sz w:val="20"/>
                <w:szCs w:val="20"/>
              </w:rPr>
            </w:pPr>
            <w:r w:rsidRPr="00485F66">
              <w:rPr>
                <w:sz w:val="20"/>
                <w:szCs w:val="20"/>
              </w:rPr>
              <w:t>One of the following contraceptives:</w:t>
            </w:r>
          </w:p>
          <w:p w14:paraId="0FC5A4FF" w14:textId="77777777" w:rsidR="00BE360F" w:rsidRPr="00485F66" w:rsidRDefault="00BE360F" w:rsidP="005016AF">
            <w:pPr>
              <w:pStyle w:val="CommentText"/>
              <w:numPr>
                <w:ilvl w:val="0"/>
                <w:numId w:val="7"/>
              </w:numPr>
              <w:ind w:left="720"/>
            </w:pPr>
            <w:r w:rsidRPr="00485F66">
              <w:t>Ethinylestradiol + levonorgestrel: tablet 30 mcg + 150 mcg (or alternative combined oral contraceptive)</w:t>
            </w:r>
          </w:p>
          <w:p w14:paraId="2C5771AD" w14:textId="77777777" w:rsidR="00BE360F" w:rsidRPr="00485F66" w:rsidRDefault="00BE360F" w:rsidP="005016AF">
            <w:pPr>
              <w:pStyle w:val="CommentText"/>
              <w:numPr>
                <w:ilvl w:val="0"/>
                <w:numId w:val="7"/>
              </w:numPr>
              <w:ind w:left="720"/>
            </w:pPr>
            <w:r w:rsidRPr="00485F66">
              <w:t xml:space="preserve">Levonorgestrel 30 microgram tablet. </w:t>
            </w:r>
          </w:p>
          <w:p w14:paraId="31B0C5AD" w14:textId="77777777" w:rsidR="00BE360F" w:rsidRPr="00485F66" w:rsidRDefault="00BE360F" w:rsidP="005016AF">
            <w:pPr>
              <w:pStyle w:val="CommentText"/>
              <w:numPr>
                <w:ilvl w:val="0"/>
                <w:numId w:val="7"/>
              </w:numPr>
              <w:ind w:left="720"/>
            </w:pPr>
            <w:r w:rsidRPr="00485F66">
              <w:t>Medroxyprogesterone acetate injection IM 150 mg/mL or SC 104 mg/0.65mL</w:t>
            </w:r>
          </w:p>
          <w:p w14:paraId="659C50CB" w14:textId="77777777" w:rsidR="00BE360F" w:rsidRPr="00485F66" w:rsidRDefault="00BE360F" w:rsidP="005016AF">
            <w:pPr>
              <w:pStyle w:val="CommentText"/>
              <w:numPr>
                <w:ilvl w:val="0"/>
                <w:numId w:val="7"/>
              </w:numPr>
              <w:ind w:left="720"/>
            </w:pPr>
            <w:r w:rsidRPr="00485F66">
              <w:t>Progesterone-releasing implant (etonogestrel 68 mg or levonorgestrel 150 mg)</w:t>
            </w:r>
          </w:p>
          <w:p w14:paraId="38D45882" w14:textId="77777777" w:rsidR="00BE360F" w:rsidRPr="00485F66" w:rsidRDefault="00BE360F" w:rsidP="005016AF">
            <w:pPr>
              <w:pStyle w:val="CommentText"/>
              <w:numPr>
                <w:ilvl w:val="0"/>
                <w:numId w:val="7"/>
              </w:numPr>
              <w:ind w:left="720"/>
            </w:pPr>
            <w:r w:rsidRPr="00485F66">
              <w:t>Levonorgestrel 750 mcg or 1.5 mg tablet</w:t>
            </w:r>
          </w:p>
          <w:p w14:paraId="4554481F" w14:textId="77777777" w:rsidR="00BE360F" w:rsidRPr="00485F66" w:rsidRDefault="00BE360F" w:rsidP="008B2E0A">
            <w:pPr>
              <w:rPr>
                <w:sz w:val="20"/>
                <w:szCs w:val="20"/>
              </w:rPr>
            </w:pPr>
          </w:p>
          <w:p w14:paraId="4D5F9F62" w14:textId="77777777" w:rsidR="00BE360F" w:rsidRPr="00485F66" w:rsidRDefault="00BE360F" w:rsidP="008B2E0A">
            <w:pPr>
              <w:rPr>
                <w:sz w:val="20"/>
                <w:szCs w:val="20"/>
              </w:rPr>
            </w:pPr>
          </w:p>
        </w:tc>
        <w:tc>
          <w:tcPr>
            <w:tcW w:w="1540" w:type="dxa"/>
            <w:noWrap/>
          </w:tcPr>
          <w:p w14:paraId="68724F70" w14:textId="77777777" w:rsidR="00BE360F" w:rsidRPr="00485F66" w:rsidRDefault="00BE360F" w:rsidP="008B2E0A">
            <w:pPr>
              <w:rPr>
                <w:sz w:val="20"/>
                <w:szCs w:val="20"/>
                <w:lang w:val="pt-BR"/>
              </w:rPr>
            </w:pPr>
            <w:r w:rsidRPr="00485F66">
              <w:rPr>
                <w:sz w:val="20"/>
                <w:szCs w:val="20"/>
                <w:lang w:val="pt-BR"/>
              </w:rPr>
              <w:t>MCH</w:t>
            </w:r>
          </w:p>
        </w:tc>
        <w:tc>
          <w:tcPr>
            <w:tcW w:w="4820" w:type="dxa"/>
            <w:noWrap/>
          </w:tcPr>
          <w:p w14:paraId="045E578E" w14:textId="77777777" w:rsidR="00BE360F" w:rsidRPr="00485F66" w:rsidRDefault="00BE360F" w:rsidP="008B2E0A">
            <w:pPr>
              <w:rPr>
                <w:b/>
                <w:sz w:val="20"/>
                <w:szCs w:val="20"/>
              </w:rPr>
            </w:pPr>
            <w:r w:rsidRPr="00485F66">
              <w:rPr>
                <w:b/>
                <w:sz w:val="20"/>
                <w:szCs w:val="20"/>
              </w:rPr>
              <w:t xml:space="preserve">Rationale: </w:t>
            </w:r>
            <w:r w:rsidRPr="00485F66">
              <w:rPr>
                <w:sz w:val="20"/>
                <w:szCs w:val="20"/>
              </w:rPr>
              <w:t xml:space="preserve">Promotion of family planning – and ensuring access to preferred contraceptive methods for women and couples – is essential to securing the well-being and autonomy of women, while supporting the health and development of communities. Access to contraceptives can reduce infant and maternal mortality rates associated with closely spaced and ill-timed pregnancies. Additionally, contraceptives have be included on the WHO EML since its inception and are also listed as life-saving commodities by the UN Commission on Life-Saving Commodities for Women and Children. </w:t>
            </w:r>
          </w:p>
          <w:p w14:paraId="32518A39" w14:textId="77777777" w:rsidR="00BE360F" w:rsidRPr="00485F66" w:rsidRDefault="00BE360F" w:rsidP="008B2E0A">
            <w:pPr>
              <w:rPr>
                <w:b/>
                <w:sz w:val="20"/>
                <w:szCs w:val="20"/>
              </w:rPr>
            </w:pPr>
            <w:r w:rsidRPr="00485F66">
              <w:rPr>
                <w:b/>
                <w:sz w:val="20"/>
                <w:szCs w:val="20"/>
              </w:rPr>
              <w:t xml:space="preserve">Treatment References: </w:t>
            </w:r>
            <w:hyperlink r:id="rId50" w:history="1">
              <w:r w:rsidRPr="00485F66">
                <w:rPr>
                  <w:rStyle w:val="Hyperlink"/>
                  <w:sz w:val="20"/>
                  <w:szCs w:val="20"/>
                </w:rPr>
                <w:t>Medical eligibility criteria for contraceptive use</w:t>
              </w:r>
            </w:hyperlink>
          </w:p>
          <w:p w14:paraId="7D3089EA" w14:textId="77777777" w:rsidR="00BE360F" w:rsidRPr="00485F66" w:rsidRDefault="00BE360F" w:rsidP="008B2E0A">
            <w:pPr>
              <w:rPr>
                <w:sz w:val="20"/>
                <w:szCs w:val="20"/>
              </w:rPr>
            </w:pPr>
            <w:r w:rsidRPr="00485F66">
              <w:rPr>
                <w:b/>
                <w:sz w:val="20"/>
                <w:szCs w:val="20"/>
              </w:rPr>
              <w:t xml:space="preserve">More information in WHO EML 2017 Section Reference: </w:t>
            </w:r>
            <w:r w:rsidRPr="00485F66">
              <w:rPr>
                <w:sz w:val="20"/>
                <w:szCs w:val="20"/>
              </w:rPr>
              <w:t>18.3</w:t>
            </w:r>
          </w:p>
        </w:tc>
      </w:tr>
      <w:tr w:rsidR="00BE360F" w:rsidRPr="00485F66" w14:paraId="192AA788" w14:textId="77777777" w:rsidTr="00496A98">
        <w:trPr>
          <w:trHeight w:val="1200"/>
        </w:trPr>
        <w:tc>
          <w:tcPr>
            <w:tcW w:w="3970" w:type="dxa"/>
            <w:noWrap/>
            <w:hideMark/>
          </w:tcPr>
          <w:p w14:paraId="751829F3" w14:textId="77777777" w:rsidR="00BE360F" w:rsidRPr="00485F66" w:rsidRDefault="00BE360F" w:rsidP="008B2E0A">
            <w:pPr>
              <w:rPr>
                <w:sz w:val="20"/>
                <w:szCs w:val="20"/>
              </w:rPr>
            </w:pPr>
            <w:r w:rsidRPr="00485F66">
              <w:rPr>
                <w:sz w:val="20"/>
                <w:szCs w:val="20"/>
              </w:rPr>
              <w:t>Oral rehydration (salts 1 litre)</w:t>
            </w:r>
          </w:p>
        </w:tc>
        <w:tc>
          <w:tcPr>
            <w:tcW w:w="1540" w:type="dxa"/>
            <w:noWrap/>
            <w:hideMark/>
          </w:tcPr>
          <w:p w14:paraId="3B0E3555" w14:textId="77777777" w:rsidR="00BE360F" w:rsidRPr="00485F66" w:rsidRDefault="00BE360F" w:rsidP="008B2E0A">
            <w:pPr>
              <w:rPr>
                <w:sz w:val="20"/>
                <w:szCs w:val="20"/>
              </w:rPr>
            </w:pPr>
            <w:r w:rsidRPr="00485F66">
              <w:rPr>
                <w:sz w:val="20"/>
                <w:szCs w:val="20"/>
              </w:rPr>
              <w:t xml:space="preserve">MCH </w:t>
            </w:r>
          </w:p>
        </w:tc>
        <w:tc>
          <w:tcPr>
            <w:tcW w:w="4820" w:type="dxa"/>
            <w:hideMark/>
          </w:tcPr>
          <w:p w14:paraId="2B20C07E"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Oral rehydration salts (ORS), solutions containing sodium, potassium, citrate, and glucose, are used to replace fluid and electrolytes orally. ORS is used to treat acute diarrhoea in children to prevent or treat dehydration. </w:t>
            </w:r>
          </w:p>
          <w:p w14:paraId="2285679C" w14:textId="77777777" w:rsidR="00BE360F" w:rsidRPr="00485F66" w:rsidRDefault="00BE360F" w:rsidP="008B2E0A">
            <w:pPr>
              <w:rPr>
                <w:b/>
                <w:sz w:val="20"/>
                <w:szCs w:val="20"/>
              </w:rPr>
            </w:pPr>
            <w:r w:rsidRPr="00485F66">
              <w:rPr>
                <w:b/>
                <w:sz w:val="20"/>
                <w:szCs w:val="20"/>
              </w:rPr>
              <w:t xml:space="preserve">Treatment References: </w:t>
            </w:r>
          </w:p>
          <w:p w14:paraId="72E48A3C" w14:textId="77777777" w:rsidR="00BE360F" w:rsidRPr="00485F66" w:rsidRDefault="008459A4" w:rsidP="008B2E0A">
            <w:pPr>
              <w:rPr>
                <w:bCs/>
                <w:sz w:val="20"/>
                <w:szCs w:val="20"/>
              </w:rPr>
            </w:pPr>
            <w:hyperlink r:id="rId51" w:history="1">
              <w:r w:rsidR="00BE360F" w:rsidRPr="00485F66">
                <w:rPr>
                  <w:rStyle w:val="Hyperlink"/>
                  <w:bCs/>
                  <w:sz w:val="20"/>
                  <w:szCs w:val="20"/>
                </w:rPr>
                <w:t>Diarrhoea treatment guidelines including new recommendations for the use of ORS and zinc supplementation for clinic-based healthcare workers</w:t>
              </w:r>
            </w:hyperlink>
          </w:p>
          <w:p w14:paraId="44981356" w14:textId="77777777" w:rsidR="00BE360F" w:rsidRPr="00485F66" w:rsidRDefault="00BE360F" w:rsidP="008B2E0A">
            <w:pPr>
              <w:rPr>
                <w:sz w:val="20"/>
                <w:szCs w:val="20"/>
              </w:rPr>
            </w:pPr>
            <w:r w:rsidRPr="00485F66">
              <w:rPr>
                <w:b/>
                <w:sz w:val="20"/>
                <w:szCs w:val="20"/>
              </w:rPr>
              <w:t xml:space="preserve">More information in WHO EML 2017 Section </w:t>
            </w:r>
            <w:r w:rsidRPr="00485F66">
              <w:rPr>
                <w:b/>
                <w:sz w:val="20"/>
                <w:szCs w:val="20"/>
              </w:rPr>
              <w:lastRenderedPageBreak/>
              <w:t>Reference:</w:t>
            </w:r>
            <w:r w:rsidRPr="00485F66">
              <w:rPr>
                <w:sz w:val="20"/>
                <w:szCs w:val="20"/>
              </w:rPr>
              <w:t xml:space="preserve"> 26.1</w:t>
            </w:r>
          </w:p>
        </w:tc>
      </w:tr>
      <w:tr w:rsidR="00BE360F" w:rsidRPr="00485F66" w14:paraId="65A99A7B" w14:textId="77777777" w:rsidTr="00496A98">
        <w:trPr>
          <w:trHeight w:val="900"/>
        </w:trPr>
        <w:tc>
          <w:tcPr>
            <w:tcW w:w="3970" w:type="dxa"/>
            <w:noWrap/>
            <w:hideMark/>
          </w:tcPr>
          <w:p w14:paraId="1469C55B" w14:textId="77777777" w:rsidR="00BE360F" w:rsidRPr="00485F66" w:rsidRDefault="00BE360F" w:rsidP="008B2E0A">
            <w:pPr>
              <w:rPr>
                <w:sz w:val="20"/>
                <w:szCs w:val="20"/>
              </w:rPr>
            </w:pPr>
            <w:r w:rsidRPr="00485F66">
              <w:rPr>
                <w:sz w:val="20"/>
                <w:szCs w:val="20"/>
              </w:rPr>
              <w:lastRenderedPageBreak/>
              <w:t>Zinc sulphate (20mg dispersible tablet)</w:t>
            </w:r>
          </w:p>
        </w:tc>
        <w:tc>
          <w:tcPr>
            <w:tcW w:w="1540" w:type="dxa"/>
            <w:noWrap/>
            <w:hideMark/>
          </w:tcPr>
          <w:p w14:paraId="38C4E955" w14:textId="77777777" w:rsidR="00BE360F" w:rsidRPr="00485F66" w:rsidRDefault="00BE360F" w:rsidP="008B2E0A">
            <w:pPr>
              <w:rPr>
                <w:sz w:val="20"/>
                <w:szCs w:val="20"/>
              </w:rPr>
            </w:pPr>
            <w:r w:rsidRPr="00485F66">
              <w:rPr>
                <w:sz w:val="20"/>
                <w:szCs w:val="20"/>
              </w:rPr>
              <w:t xml:space="preserve">MCH </w:t>
            </w:r>
          </w:p>
        </w:tc>
        <w:tc>
          <w:tcPr>
            <w:tcW w:w="4820" w:type="dxa"/>
            <w:hideMark/>
          </w:tcPr>
          <w:p w14:paraId="75384156"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Zinc supplements are recommended to reduce the severity and duration of acute diarrhoea. If given for 10 to 14 days, zinc also reduces the incidence of new episodes of diarrhoea in the 2 to 3 months following treatment.</w:t>
            </w:r>
          </w:p>
          <w:p w14:paraId="0A2F69D2" w14:textId="77777777" w:rsidR="00BE360F" w:rsidRPr="00485F66" w:rsidRDefault="00BE360F" w:rsidP="008B2E0A">
            <w:pPr>
              <w:rPr>
                <w:b/>
                <w:sz w:val="20"/>
                <w:szCs w:val="20"/>
              </w:rPr>
            </w:pPr>
            <w:r w:rsidRPr="00485F66">
              <w:rPr>
                <w:b/>
                <w:sz w:val="20"/>
                <w:szCs w:val="20"/>
              </w:rPr>
              <w:t xml:space="preserve">Treatment References: </w:t>
            </w:r>
          </w:p>
          <w:p w14:paraId="57FB4E37" w14:textId="77777777" w:rsidR="00BE360F" w:rsidRPr="00485F66" w:rsidRDefault="008459A4" w:rsidP="008B2E0A">
            <w:pPr>
              <w:rPr>
                <w:bCs/>
                <w:sz w:val="20"/>
                <w:szCs w:val="20"/>
              </w:rPr>
            </w:pPr>
            <w:hyperlink r:id="rId52" w:history="1">
              <w:r w:rsidR="00BE360F" w:rsidRPr="00485F66">
                <w:rPr>
                  <w:rStyle w:val="Hyperlink"/>
                  <w:bCs/>
                  <w:sz w:val="20"/>
                  <w:szCs w:val="20"/>
                </w:rPr>
                <w:t>Diarrhoea treatment guidelines including new recommendations for the use of ORS and zinc supplementation for clinic-based healthcare workers</w:t>
              </w:r>
            </w:hyperlink>
          </w:p>
          <w:p w14:paraId="5EF48545"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17.5.2</w:t>
            </w:r>
          </w:p>
        </w:tc>
      </w:tr>
      <w:tr w:rsidR="00BE360F" w:rsidRPr="00485F66" w14:paraId="630E4A6F" w14:textId="77777777" w:rsidTr="00496A98">
        <w:trPr>
          <w:trHeight w:val="900"/>
        </w:trPr>
        <w:tc>
          <w:tcPr>
            <w:tcW w:w="3970" w:type="dxa"/>
            <w:noWrap/>
            <w:hideMark/>
          </w:tcPr>
          <w:p w14:paraId="36984889" w14:textId="77777777" w:rsidR="00BE360F" w:rsidRPr="00485F66" w:rsidRDefault="00BE360F" w:rsidP="008B2E0A">
            <w:pPr>
              <w:rPr>
                <w:sz w:val="20"/>
                <w:szCs w:val="20"/>
              </w:rPr>
            </w:pPr>
            <w:r w:rsidRPr="00485F66">
              <w:rPr>
                <w:sz w:val="20"/>
                <w:szCs w:val="20"/>
              </w:rPr>
              <w:t>Oxytocin (5iu or 10iu injection)</w:t>
            </w:r>
          </w:p>
        </w:tc>
        <w:tc>
          <w:tcPr>
            <w:tcW w:w="1540" w:type="dxa"/>
            <w:noWrap/>
            <w:hideMark/>
          </w:tcPr>
          <w:p w14:paraId="0B23802C" w14:textId="77777777" w:rsidR="00BE360F" w:rsidRPr="00485F66" w:rsidRDefault="00BE360F" w:rsidP="008B2E0A">
            <w:pPr>
              <w:rPr>
                <w:sz w:val="20"/>
                <w:szCs w:val="20"/>
              </w:rPr>
            </w:pPr>
            <w:r w:rsidRPr="00485F66">
              <w:rPr>
                <w:sz w:val="20"/>
                <w:szCs w:val="20"/>
              </w:rPr>
              <w:t xml:space="preserve">MCH </w:t>
            </w:r>
          </w:p>
        </w:tc>
        <w:tc>
          <w:tcPr>
            <w:tcW w:w="4820" w:type="dxa"/>
            <w:hideMark/>
          </w:tcPr>
          <w:p w14:paraId="6BF8C7A3"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Oxytocin, a peptide hormone, is used for the prevention and treatment of postpartum and post-abortion haemorrhage in emergency situations. It is the recommended that all women giving birth should be offered uterotonic drugs, such as oxytocin, during the third stage of labour for the prevention of PPH.</w:t>
            </w:r>
          </w:p>
          <w:p w14:paraId="420FA623" w14:textId="77777777" w:rsidR="00BE360F" w:rsidRPr="00485F66" w:rsidRDefault="00BE360F" w:rsidP="008B2E0A">
            <w:pPr>
              <w:rPr>
                <w:sz w:val="20"/>
                <w:szCs w:val="20"/>
              </w:rPr>
            </w:pPr>
            <w:r w:rsidRPr="00485F66">
              <w:rPr>
                <w:b/>
                <w:sz w:val="20"/>
                <w:szCs w:val="20"/>
              </w:rPr>
              <w:t xml:space="preserve">Treatment References: </w:t>
            </w:r>
            <w:hyperlink r:id="rId53" w:history="1">
              <w:r w:rsidRPr="00485F66">
                <w:rPr>
                  <w:rStyle w:val="Hyperlink"/>
                  <w:sz w:val="20"/>
                  <w:szCs w:val="20"/>
                </w:rPr>
                <w:t>WHO Recommendations for the Prevention and Treatment of Postpartum Haemorrhage</w:t>
              </w:r>
            </w:hyperlink>
            <w:r w:rsidRPr="00485F66">
              <w:rPr>
                <w:rStyle w:val="Hyperlink"/>
                <w:sz w:val="20"/>
                <w:szCs w:val="20"/>
              </w:rPr>
              <w:t xml:space="preserve">, </w:t>
            </w:r>
            <w:hyperlink r:id="rId54" w:history="1">
              <w:r w:rsidRPr="00485F66">
                <w:rPr>
                  <w:rStyle w:val="Hyperlink"/>
                  <w:sz w:val="20"/>
                  <w:szCs w:val="20"/>
                </w:rPr>
                <w:t>UNFPA Medicines for Maternal Health</w:t>
              </w:r>
            </w:hyperlink>
          </w:p>
          <w:p w14:paraId="6D65522C"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22.1</w:t>
            </w:r>
          </w:p>
        </w:tc>
      </w:tr>
      <w:tr w:rsidR="00BE360F" w:rsidRPr="00485F66" w14:paraId="4004CA97" w14:textId="77777777" w:rsidTr="00496A98">
        <w:trPr>
          <w:trHeight w:val="300"/>
        </w:trPr>
        <w:tc>
          <w:tcPr>
            <w:tcW w:w="3970" w:type="dxa"/>
            <w:noWrap/>
            <w:hideMark/>
          </w:tcPr>
          <w:p w14:paraId="364A661B" w14:textId="77777777" w:rsidR="00BE360F" w:rsidRPr="00485F66" w:rsidRDefault="00BE360F" w:rsidP="008B2E0A">
            <w:pPr>
              <w:rPr>
                <w:sz w:val="20"/>
                <w:szCs w:val="20"/>
              </w:rPr>
            </w:pPr>
            <w:r w:rsidRPr="00485F66">
              <w:rPr>
                <w:sz w:val="20"/>
                <w:szCs w:val="20"/>
              </w:rPr>
              <w:t>Magnesium sulphate 50% 10ml Injection</w:t>
            </w:r>
          </w:p>
        </w:tc>
        <w:tc>
          <w:tcPr>
            <w:tcW w:w="1540" w:type="dxa"/>
            <w:noWrap/>
            <w:hideMark/>
          </w:tcPr>
          <w:p w14:paraId="5F3BF538" w14:textId="77777777" w:rsidR="00BE360F" w:rsidRPr="00485F66" w:rsidRDefault="00BE360F" w:rsidP="008B2E0A">
            <w:pPr>
              <w:rPr>
                <w:sz w:val="20"/>
                <w:szCs w:val="20"/>
              </w:rPr>
            </w:pPr>
            <w:r w:rsidRPr="00485F66">
              <w:rPr>
                <w:sz w:val="20"/>
                <w:szCs w:val="20"/>
              </w:rPr>
              <w:t xml:space="preserve">MCH </w:t>
            </w:r>
          </w:p>
        </w:tc>
        <w:tc>
          <w:tcPr>
            <w:tcW w:w="4820" w:type="dxa"/>
            <w:hideMark/>
          </w:tcPr>
          <w:p w14:paraId="1A3B5643"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Magnesium sulfate, an anticonvulsant, is used in the management and prevention of recurrent seizures in eclampsia and pre-eclampsia.</w:t>
            </w:r>
          </w:p>
          <w:p w14:paraId="716917E9" w14:textId="77777777" w:rsidR="00BE360F" w:rsidRPr="00485F66" w:rsidRDefault="00BE360F" w:rsidP="008B2E0A">
            <w:pPr>
              <w:rPr>
                <w:b/>
                <w:sz w:val="20"/>
                <w:szCs w:val="20"/>
              </w:rPr>
            </w:pPr>
            <w:r w:rsidRPr="00485F66">
              <w:rPr>
                <w:b/>
                <w:sz w:val="20"/>
                <w:szCs w:val="20"/>
              </w:rPr>
              <w:t xml:space="preserve">Treatment References: </w:t>
            </w:r>
          </w:p>
          <w:p w14:paraId="67C74219" w14:textId="77777777" w:rsidR="00BE360F" w:rsidRPr="00485F66" w:rsidRDefault="008459A4" w:rsidP="008B2E0A">
            <w:pPr>
              <w:rPr>
                <w:sz w:val="20"/>
                <w:szCs w:val="20"/>
              </w:rPr>
            </w:pPr>
            <w:hyperlink r:id="rId55" w:history="1">
              <w:r w:rsidR="00BE360F" w:rsidRPr="00485F66">
                <w:rPr>
                  <w:rStyle w:val="Hyperlink"/>
                  <w:sz w:val="20"/>
                  <w:szCs w:val="20"/>
                </w:rPr>
                <w:t>WHO recommendation on magnesium sulfate for the prevention of eclampsia in women with severe pre-eclampsia</w:t>
              </w:r>
            </w:hyperlink>
            <w:r w:rsidR="00BE360F" w:rsidRPr="00485F66">
              <w:rPr>
                <w:rStyle w:val="Hyperlink"/>
                <w:sz w:val="20"/>
                <w:szCs w:val="20"/>
              </w:rPr>
              <w:t xml:space="preserve">, </w:t>
            </w:r>
            <w:hyperlink r:id="rId56" w:history="1">
              <w:r w:rsidR="00BE360F" w:rsidRPr="00485F66">
                <w:rPr>
                  <w:rStyle w:val="Hyperlink"/>
                  <w:sz w:val="20"/>
                  <w:szCs w:val="20"/>
                </w:rPr>
                <w:t>UNFPA Medicines for Maternal Health</w:t>
              </w:r>
            </w:hyperlink>
          </w:p>
          <w:p w14:paraId="623FAE0B"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5</w:t>
            </w:r>
          </w:p>
        </w:tc>
      </w:tr>
      <w:tr w:rsidR="00BE360F" w:rsidRPr="00485F66" w14:paraId="6DA894ED" w14:textId="77777777" w:rsidTr="00496A98">
        <w:trPr>
          <w:trHeight w:val="300"/>
        </w:trPr>
        <w:tc>
          <w:tcPr>
            <w:tcW w:w="3970" w:type="dxa"/>
            <w:noWrap/>
          </w:tcPr>
          <w:p w14:paraId="12DCE098" w14:textId="77777777" w:rsidR="00BE360F" w:rsidRPr="00485F66" w:rsidRDefault="00BE360F" w:rsidP="008B2E0A">
            <w:pPr>
              <w:rPr>
                <w:sz w:val="20"/>
                <w:szCs w:val="20"/>
              </w:rPr>
            </w:pPr>
            <w:r w:rsidRPr="00485F66">
              <w:rPr>
                <w:sz w:val="20"/>
                <w:szCs w:val="20"/>
              </w:rPr>
              <w:t>Folic acid</w:t>
            </w:r>
          </w:p>
        </w:tc>
        <w:tc>
          <w:tcPr>
            <w:tcW w:w="1540" w:type="dxa"/>
            <w:noWrap/>
          </w:tcPr>
          <w:p w14:paraId="3EA0E39D" w14:textId="77777777" w:rsidR="00BE360F" w:rsidRPr="00485F66" w:rsidRDefault="00BE360F" w:rsidP="008B2E0A">
            <w:pPr>
              <w:rPr>
                <w:sz w:val="20"/>
                <w:szCs w:val="20"/>
              </w:rPr>
            </w:pPr>
            <w:r w:rsidRPr="00485F66">
              <w:rPr>
                <w:sz w:val="20"/>
                <w:szCs w:val="20"/>
              </w:rPr>
              <w:t xml:space="preserve">MCH </w:t>
            </w:r>
          </w:p>
        </w:tc>
        <w:tc>
          <w:tcPr>
            <w:tcW w:w="4820" w:type="dxa"/>
          </w:tcPr>
          <w:p w14:paraId="3D48C0F2"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Single-agent folic acid is important for the prevention of neural tube defects and should be taken periconceptionally and in first trimester of pregnancy. </w:t>
            </w:r>
          </w:p>
          <w:p w14:paraId="2B1EE59F" w14:textId="281CD207" w:rsidR="00BE360F" w:rsidRPr="00485F66" w:rsidRDefault="00BE360F" w:rsidP="008B2E0A">
            <w:pPr>
              <w:rPr>
                <w:bCs/>
                <w:sz w:val="20"/>
                <w:szCs w:val="20"/>
              </w:rPr>
            </w:pPr>
            <w:r w:rsidRPr="00485F66">
              <w:rPr>
                <w:b/>
                <w:sz w:val="20"/>
                <w:szCs w:val="20"/>
              </w:rPr>
              <w:t xml:space="preserve">Treatment References: </w:t>
            </w:r>
            <w:hyperlink r:id="rId57" w:history="1">
              <w:r w:rsidRPr="00485F66">
                <w:rPr>
                  <w:rStyle w:val="Hyperlink"/>
                  <w:bCs/>
                  <w:sz w:val="20"/>
                  <w:szCs w:val="20"/>
                </w:rPr>
                <w:t>WHO recommendation on periconceptional folic acid supplementation to prevent neural tube defects</w:t>
              </w:r>
            </w:hyperlink>
          </w:p>
          <w:p w14:paraId="5B5BD934" w14:textId="77777777" w:rsidR="00BE360F" w:rsidRPr="00485F66" w:rsidRDefault="00BE360F" w:rsidP="008B2E0A">
            <w:pPr>
              <w:rPr>
                <w:b/>
                <w:sz w:val="20"/>
                <w:szCs w:val="20"/>
              </w:rPr>
            </w:pPr>
            <w:r w:rsidRPr="00485F66">
              <w:rPr>
                <w:b/>
                <w:sz w:val="20"/>
                <w:szCs w:val="20"/>
              </w:rPr>
              <w:t>More information in WHO EML 2017 Section Reference:</w:t>
            </w:r>
            <w:r w:rsidRPr="00485F66">
              <w:rPr>
                <w:sz w:val="20"/>
                <w:szCs w:val="20"/>
              </w:rPr>
              <w:t xml:space="preserve"> 10.1</w:t>
            </w:r>
          </w:p>
        </w:tc>
      </w:tr>
      <w:tr w:rsidR="00BE360F" w:rsidRPr="00485F66" w14:paraId="2FCEB7E9" w14:textId="77777777" w:rsidTr="00496A98">
        <w:trPr>
          <w:trHeight w:val="300"/>
        </w:trPr>
        <w:tc>
          <w:tcPr>
            <w:tcW w:w="3970" w:type="dxa"/>
            <w:noWrap/>
            <w:hideMark/>
          </w:tcPr>
          <w:p w14:paraId="77663DA8" w14:textId="77777777" w:rsidR="00BE360F" w:rsidRPr="00485F66" w:rsidRDefault="00BE360F" w:rsidP="008B2E0A">
            <w:pPr>
              <w:rPr>
                <w:sz w:val="20"/>
                <w:szCs w:val="20"/>
              </w:rPr>
            </w:pPr>
            <w:r w:rsidRPr="00485F66">
              <w:rPr>
                <w:sz w:val="20"/>
                <w:szCs w:val="20"/>
              </w:rPr>
              <w:t xml:space="preserve">Artemisinin-based combination therapy (ACT) for treatment of uncomplicated </w:t>
            </w:r>
            <w:r w:rsidRPr="00485F66">
              <w:rPr>
                <w:i/>
                <w:iCs/>
                <w:sz w:val="20"/>
                <w:szCs w:val="20"/>
              </w:rPr>
              <w:t>P. falciparum</w:t>
            </w:r>
            <w:r w:rsidRPr="00485F66">
              <w:rPr>
                <w:sz w:val="20"/>
                <w:szCs w:val="20"/>
              </w:rPr>
              <w:t xml:space="preserve"> malaria.</w:t>
            </w:r>
          </w:p>
          <w:p w14:paraId="28585616" w14:textId="77777777" w:rsidR="00BE360F" w:rsidRPr="00485F66" w:rsidRDefault="00BE360F" w:rsidP="008B2E0A">
            <w:pPr>
              <w:rPr>
                <w:sz w:val="20"/>
                <w:szCs w:val="20"/>
              </w:rPr>
            </w:pPr>
            <w:r w:rsidRPr="00485F66">
              <w:rPr>
                <w:sz w:val="20"/>
                <w:szCs w:val="20"/>
              </w:rPr>
              <w:t>One of the following:</w:t>
            </w:r>
          </w:p>
          <w:p w14:paraId="5FEB4DCD" w14:textId="77777777" w:rsidR="00BE360F" w:rsidRPr="00485F66" w:rsidRDefault="00BE360F" w:rsidP="005016AF">
            <w:pPr>
              <w:pStyle w:val="ListParagraph"/>
              <w:numPr>
                <w:ilvl w:val="0"/>
                <w:numId w:val="8"/>
              </w:numPr>
              <w:ind w:left="720"/>
              <w:rPr>
                <w:sz w:val="20"/>
                <w:szCs w:val="20"/>
              </w:rPr>
            </w:pPr>
            <w:r w:rsidRPr="00485F66">
              <w:rPr>
                <w:sz w:val="20"/>
                <w:szCs w:val="20"/>
              </w:rPr>
              <w:t>Artemether+lumefantrine  (20/120 mg cap/tab)</w:t>
            </w:r>
          </w:p>
          <w:p w14:paraId="61149A12" w14:textId="77777777" w:rsidR="00BE360F" w:rsidRPr="00485F66" w:rsidRDefault="00BE360F" w:rsidP="005016AF">
            <w:pPr>
              <w:pStyle w:val="ListParagraph"/>
              <w:numPr>
                <w:ilvl w:val="0"/>
                <w:numId w:val="8"/>
              </w:numPr>
              <w:ind w:left="720"/>
              <w:rPr>
                <w:sz w:val="20"/>
                <w:szCs w:val="20"/>
              </w:rPr>
            </w:pPr>
            <w:r w:rsidRPr="00485F66">
              <w:rPr>
                <w:sz w:val="20"/>
                <w:szCs w:val="20"/>
              </w:rPr>
              <w:t>Artesunate+amodiaquine  (any strength)</w:t>
            </w:r>
          </w:p>
          <w:p w14:paraId="6E679441" w14:textId="77777777" w:rsidR="00BE360F" w:rsidRPr="00485F66" w:rsidRDefault="00BE360F" w:rsidP="005016AF">
            <w:pPr>
              <w:pStyle w:val="ListParagraph"/>
              <w:numPr>
                <w:ilvl w:val="0"/>
                <w:numId w:val="8"/>
              </w:numPr>
              <w:ind w:left="720"/>
              <w:rPr>
                <w:sz w:val="20"/>
                <w:szCs w:val="20"/>
              </w:rPr>
            </w:pPr>
            <w:r w:rsidRPr="00485F66">
              <w:rPr>
                <w:sz w:val="20"/>
                <w:szCs w:val="20"/>
              </w:rPr>
              <w:t>Artesunate+mefloquine (any strength)</w:t>
            </w:r>
          </w:p>
          <w:p w14:paraId="16AF7B26" w14:textId="77777777" w:rsidR="00BE360F" w:rsidRPr="00485F66" w:rsidRDefault="00BE360F" w:rsidP="005016AF">
            <w:pPr>
              <w:pStyle w:val="ListParagraph"/>
              <w:numPr>
                <w:ilvl w:val="0"/>
                <w:numId w:val="8"/>
              </w:numPr>
              <w:ind w:left="720"/>
              <w:rPr>
                <w:sz w:val="20"/>
                <w:szCs w:val="20"/>
              </w:rPr>
            </w:pPr>
            <w:r w:rsidRPr="00485F66">
              <w:rPr>
                <w:sz w:val="20"/>
                <w:szCs w:val="20"/>
              </w:rPr>
              <w:t>Dihydroartemisinin+piperaquine (any strength)</w:t>
            </w:r>
          </w:p>
          <w:p w14:paraId="65142C1B" w14:textId="77777777" w:rsidR="00BE360F" w:rsidRPr="00485F66" w:rsidRDefault="00BE360F" w:rsidP="005016AF">
            <w:pPr>
              <w:pStyle w:val="ListParagraph"/>
              <w:numPr>
                <w:ilvl w:val="0"/>
                <w:numId w:val="8"/>
              </w:numPr>
              <w:ind w:left="720"/>
              <w:rPr>
                <w:sz w:val="20"/>
                <w:szCs w:val="20"/>
              </w:rPr>
            </w:pPr>
            <w:r w:rsidRPr="00485F66">
              <w:rPr>
                <w:sz w:val="20"/>
                <w:szCs w:val="20"/>
              </w:rPr>
              <w:lastRenderedPageBreak/>
              <w:t>Artesunate+sulfadoxine-pyrimethamine (50 mg+500mg/25mg)</w:t>
            </w:r>
          </w:p>
        </w:tc>
        <w:tc>
          <w:tcPr>
            <w:tcW w:w="1540" w:type="dxa"/>
            <w:noWrap/>
            <w:hideMark/>
          </w:tcPr>
          <w:p w14:paraId="51ECF6B4" w14:textId="77777777" w:rsidR="00BE360F" w:rsidRPr="00485F66" w:rsidRDefault="00BE360F" w:rsidP="008B2E0A">
            <w:pPr>
              <w:rPr>
                <w:sz w:val="20"/>
                <w:szCs w:val="20"/>
              </w:rPr>
            </w:pPr>
            <w:r w:rsidRPr="00485F66">
              <w:rPr>
                <w:sz w:val="20"/>
                <w:szCs w:val="20"/>
              </w:rPr>
              <w:lastRenderedPageBreak/>
              <w:t>Anti-malarial</w:t>
            </w:r>
          </w:p>
        </w:tc>
        <w:tc>
          <w:tcPr>
            <w:tcW w:w="4820" w:type="dxa"/>
            <w:noWrap/>
            <w:hideMark/>
          </w:tcPr>
          <w:p w14:paraId="0AC12AA4"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WHO Guidelines recommend treating adults and children with uncomplicated </w:t>
            </w:r>
            <w:r w:rsidRPr="00485F66">
              <w:rPr>
                <w:i/>
                <w:iCs/>
                <w:sz w:val="20"/>
                <w:szCs w:val="20"/>
              </w:rPr>
              <w:t>P. falciparum</w:t>
            </w:r>
            <w:r w:rsidRPr="00485F66">
              <w:rPr>
                <w:sz w:val="20"/>
                <w:szCs w:val="20"/>
              </w:rPr>
              <w:t xml:space="preserve"> malaria with artemisinin-based combination therapy (strong recommendation, high-quality evidence). </w:t>
            </w:r>
          </w:p>
          <w:p w14:paraId="2F8D817D" w14:textId="77777777" w:rsidR="00BE360F" w:rsidRPr="00485F66" w:rsidRDefault="00BE360F" w:rsidP="008B2E0A">
            <w:pPr>
              <w:rPr>
                <w:sz w:val="20"/>
                <w:szCs w:val="20"/>
              </w:rPr>
            </w:pPr>
            <w:r w:rsidRPr="00485F66">
              <w:rPr>
                <w:b/>
                <w:sz w:val="20"/>
                <w:szCs w:val="20"/>
              </w:rPr>
              <w:t xml:space="preserve">Treatment References: </w:t>
            </w:r>
            <w:hyperlink r:id="rId58" w:history="1">
              <w:r w:rsidRPr="00485F66">
                <w:rPr>
                  <w:rStyle w:val="Hyperlink"/>
                  <w:sz w:val="20"/>
                  <w:szCs w:val="20"/>
                </w:rPr>
                <w:t>WHO Guidelines for the Treatment of Malaria</w:t>
              </w:r>
            </w:hyperlink>
          </w:p>
          <w:p w14:paraId="62AD5CD1"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6.5.3.1</w:t>
            </w:r>
          </w:p>
        </w:tc>
      </w:tr>
      <w:tr w:rsidR="00BE360F" w:rsidRPr="00485F66" w14:paraId="7CE91CA5" w14:textId="77777777" w:rsidTr="00496A98">
        <w:trPr>
          <w:trHeight w:val="300"/>
        </w:trPr>
        <w:tc>
          <w:tcPr>
            <w:tcW w:w="3970" w:type="dxa"/>
            <w:noWrap/>
          </w:tcPr>
          <w:p w14:paraId="28723465" w14:textId="77777777" w:rsidR="00BE360F" w:rsidRPr="00485F66" w:rsidRDefault="00BE360F" w:rsidP="008B2E0A">
            <w:pPr>
              <w:rPr>
                <w:sz w:val="20"/>
                <w:szCs w:val="20"/>
              </w:rPr>
            </w:pPr>
            <w:r w:rsidRPr="00485F66">
              <w:rPr>
                <w:sz w:val="20"/>
                <w:szCs w:val="20"/>
              </w:rPr>
              <w:t>Artesunate (60 mg injection or 100 mg rectal dose form)</w:t>
            </w:r>
          </w:p>
        </w:tc>
        <w:tc>
          <w:tcPr>
            <w:tcW w:w="1540" w:type="dxa"/>
            <w:noWrap/>
          </w:tcPr>
          <w:p w14:paraId="4050DCDC" w14:textId="77777777" w:rsidR="00BE360F" w:rsidRPr="00485F66" w:rsidRDefault="00BE360F" w:rsidP="008B2E0A">
            <w:pPr>
              <w:rPr>
                <w:sz w:val="20"/>
                <w:szCs w:val="20"/>
              </w:rPr>
            </w:pPr>
            <w:r w:rsidRPr="00485F66">
              <w:rPr>
                <w:sz w:val="20"/>
                <w:szCs w:val="20"/>
              </w:rPr>
              <w:t>Anti-malarial</w:t>
            </w:r>
          </w:p>
        </w:tc>
        <w:tc>
          <w:tcPr>
            <w:tcW w:w="4820" w:type="dxa"/>
            <w:noWrap/>
          </w:tcPr>
          <w:p w14:paraId="7935B969" w14:textId="74B21AE0" w:rsidR="00BE360F" w:rsidRPr="00485F66" w:rsidRDefault="00BE360F" w:rsidP="008B2E0A">
            <w:pPr>
              <w:rPr>
                <w:sz w:val="20"/>
                <w:szCs w:val="20"/>
              </w:rPr>
            </w:pPr>
            <w:r w:rsidRPr="00485F66">
              <w:rPr>
                <w:b/>
                <w:sz w:val="20"/>
                <w:szCs w:val="20"/>
              </w:rPr>
              <w:t>Rationale:</w:t>
            </w:r>
            <w:r w:rsidRPr="00485F66">
              <w:rPr>
                <w:sz w:val="20"/>
                <w:szCs w:val="20"/>
              </w:rPr>
              <w:t xml:space="preserve"> IM or rectal artesunate is recommended pre-referral treatment of suspected cases of severe malaria pending transfer to a higher level facility.</w:t>
            </w:r>
          </w:p>
          <w:p w14:paraId="1D16FB04" w14:textId="77777777" w:rsidR="00BE360F" w:rsidRPr="00485F66" w:rsidRDefault="00BE360F" w:rsidP="008B2E0A">
            <w:pPr>
              <w:rPr>
                <w:sz w:val="20"/>
                <w:szCs w:val="20"/>
              </w:rPr>
            </w:pPr>
            <w:r w:rsidRPr="00485F66">
              <w:rPr>
                <w:b/>
                <w:sz w:val="20"/>
                <w:szCs w:val="20"/>
              </w:rPr>
              <w:t xml:space="preserve">Treatment References: </w:t>
            </w:r>
            <w:hyperlink r:id="rId59" w:history="1">
              <w:r w:rsidRPr="00485F66">
                <w:rPr>
                  <w:rStyle w:val="Hyperlink"/>
                  <w:sz w:val="20"/>
                  <w:szCs w:val="20"/>
                </w:rPr>
                <w:t>WHO Guidelines for the Treatment of Malaria</w:t>
              </w:r>
            </w:hyperlink>
          </w:p>
          <w:p w14:paraId="15A88453" w14:textId="77777777" w:rsidR="00BE360F" w:rsidRPr="00485F66" w:rsidRDefault="00BE360F" w:rsidP="008B2E0A">
            <w:pPr>
              <w:rPr>
                <w:b/>
                <w:sz w:val="20"/>
                <w:szCs w:val="20"/>
              </w:rPr>
            </w:pPr>
            <w:r w:rsidRPr="00485F66">
              <w:rPr>
                <w:b/>
                <w:sz w:val="20"/>
                <w:szCs w:val="20"/>
              </w:rPr>
              <w:t>More information in WHO EML 2017 Section Reference:</w:t>
            </w:r>
            <w:r w:rsidRPr="00485F66">
              <w:rPr>
                <w:sz w:val="20"/>
                <w:szCs w:val="20"/>
              </w:rPr>
              <w:t xml:space="preserve"> 6.5.3.1</w:t>
            </w:r>
          </w:p>
        </w:tc>
      </w:tr>
      <w:tr w:rsidR="00BE360F" w:rsidRPr="00485F66" w14:paraId="4E3CF55A" w14:textId="77777777" w:rsidTr="00496A98">
        <w:trPr>
          <w:trHeight w:val="300"/>
        </w:trPr>
        <w:tc>
          <w:tcPr>
            <w:tcW w:w="3970" w:type="dxa"/>
            <w:noWrap/>
            <w:hideMark/>
          </w:tcPr>
          <w:p w14:paraId="15FCE480" w14:textId="77777777" w:rsidR="00BE360F" w:rsidRPr="00485F66" w:rsidRDefault="00BE360F" w:rsidP="008B2E0A">
            <w:pPr>
              <w:rPr>
                <w:sz w:val="20"/>
                <w:szCs w:val="20"/>
              </w:rPr>
            </w:pPr>
            <w:r w:rsidRPr="00485F66">
              <w:rPr>
                <w:sz w:val="20"/>
                <w:szCs w:val="20"/>
              </w:rPr>
              <w:t xml:space="preserve">Combination anti-retroviral therapy for first line treatment of HIV </w:t>
            </w:r>
          </w:p>
          <w:p w14:paraId="21D6AE09" w14:textId="77777777" w:rsidR="00BE360F" w:rsidRPr="00485F66" w:rsidRDefault="00BE360F" w:rsidP="008B2E0A">
            <w:pPr>
              <w:rPr>
                <w:sz w:val="20"/>
                <w:szCs w:val="20"/>
              </w:rPr>
            </w:pPr>
            <w:r w:rsidRPr="00485F66">
              <w:rPr>
                <w:sz w:val="20"/>
                <w:szCs w:val="20"/>
              </w:rPr>
              <w:t>One of the following combinations individually for concomitant use or in fixed-dose combination:</w:t>
            </w:r>
          </w:p>
          <w:p w14:paraId="43DF5733" w14:textId="77777777" w:rsidR="00BE360F" w:rsidRPr="00485F66" w:rsidRDefault="00BE360F" w:rsidP="008B2E0A">
            <w:pPr>
              <w:rPr>
                <w:sz w:val="20"/>
                <w:szCs w:val="20"/>
              </w:rPr>
            </w:pPr>
          </w:p>
          <w:p w14:paraId="6A2127C0" w14:textId="6FBDF663" w:rsidR="00BE360F" w:rsidRPr="00485F66" w:rsidRDefault="00BE360F" w:rsidP="008B2E0A">
            <w:pPr>
              <w:rPr>
                <w:sz w:val="20"/>
                <w:szCs w:val="20"/>
              </w:rPr>
            </w:pPr>
            <w:r w:rsidRPr="00485F66">
              <w:rPr>
                <w:sz w:val="20"/>
                <w:szCs w:val="20"/>
              </w:rPr>
              <w:t>1. Efavirenz (400 mg or 600 mg) + Emtricitabine (200 mg) + Tenofovir disoproxil fumarate (300 mg)</w:t>
            </w:r>
          </w:p>
          <w:p w14:paraId="14FEE3FE" w14:textId="77777777" w:rsidR="00BE360F" w:rsidRPr="00485F66" w:rsidRDefault="00BE360F" w:rsidP="008B2E0A">
            <w:pPr>
              <w:rPr>
                <w:sz w:val="20"/>
                <w:szCs w:val="20"/>
              </w:rPr>
            </w:pPr>
          </w:p>
          <w:p w14:paraId="117D48B0" w14:textId="77777777" w:rsidR="00BE360F" w:rsidRPr="00485F66" w:rsidRDefault="00BE360F" w:rsidP="008B2E0A">
            <w:pPr>
              <w:rPr>
                <w:sz w:val="20"/>
                <w:szCs w:val="20"/>
              </w:rPr>
            </w:pPr>
            <w:r w:rsidRPr="00485F66">
              <w:rPr>
                <w:sz w:val="20"/>
                <w:szCs w:val="20"/>
              </w:rPr>
              <w:t>2. Efavirenz (400 mg or 600 mg) + Lamivudine (300 mg) + Tenofovir disoproxil fumarate (300 mg)</w:t>
            </w:r>
          </w:p>
        </w:tc>
        <w:tc>
          <w:tcPr>
            <w:tcW w:w="1540" w:type="dxa"/>
            <w:noWrap/>
            <w:hideMark/>
          </w:tcPr>
          <w:p w14:paraId="0E5A515F" w14:textId="77777777" w:rsidR="00BE360F" w:rsidRPr="00485F66" w:rsidRDefault="00BE360F" w:rsidP="008B2E0A">
            <w:pPr>
              <w:rPr>
                <w:sz w:val="20"/>
                <w:szCs w:val="20"/>
              </w:rPr>
            </w:pPr>
            <w:r w:rsidRPr="00485F66">
              <w:rPr>
                <w:sz w:val="20"/>
                <w:szCs w:val="20"/>
              </w:rPr>
              <w:t>Antiretroviral</w:t>
            </w:r>
          </w:p>
        </w:tc>
        <w:tc>
          <w:tcPr>
            <w:tcW w:w="4820" w:type="dxa"/>
            <w:noWrap/>
            <w:hideMark/>
          </w:tcPr>
          <w:p w14:paraId="39F05D4A" w14:textId="77777777" w:rsidR="00BE360F" w:rsidRPr="00485F66" w:rsidRDefault="00BE360F" w:rsidP="008B2E0A">
            <w:pPr>
              <w:rPr>
                <w:sz w:val="20"/>
                <w:szCs w:val="20"/>
              </w:rPr>
            </w:pPr>
            <w:r w:rsidRPr="00485F66">
              <w:rPr>
                <w:b/>
                <w:sz w:val="20"/>
                <w:szCs w:val="20"/>
              </w:rPr>
              <w:t>Rationale:</w:t>
            </w:r>
            <w:r w:rsidRPr="00485F66">
              <w:rPr>
                <w:sz w:val="20"/>
                <w:szCs w:val="20"/>
              </w:rPr>
              <w:t xml:space="preserve"> Efavirenz/Emtricitabine/Tenofovir is the preferred fixed-dose combination antiretroviral therapies for treatment of HIV in adults, pregnant or breastfeeding women, and adolescents. </w:t>
            </w:r>
          </w:p>
          <w:p w14:paraId="5537A710" w14:textId="77777777" w:rsidR="00BE360F" w:rsidRPr="00485F66" w:rsidRDefault="00BE360F" w:rsidP="008B2E0A">
            <w:pPr>
              <w:rPr>
                <w:sz w:val="20"/>
                <w:szCs w:val="20"/>
              </w:rPr>
            </w:pPr>
            <w:r w:rsidRPr="00485F66">
              <w:rPr>
                <w:b/>
                <w:sz w:val="20"/>
                <w:szCs w:val="20"/>
              </w:rPr>
              <w:t xml:space="preserve">Treatment References: </w:t>
            </w:r>
            <w:hyperlink r:id="rId60" w:history="1">
              <w:r w:rsidRPr="00485F66">
                <w:rPr>
                  <w:rStyle w:val="Hyperlink"/>
                  <w:sz w:val="20"/>
                  <w:szCs w:val="20"/>
                </w:rPr>
                <w:t>WHO Consolidated Guidelines on the Use of Antiretroviral Drugs for Treating and Preventing HIV Infection</w:t>
              </w:r>
            </w:hyperlink>
          </w:p>
          <w:p w14:paraId="53110015" w14:textId="77777777" w:rsidR="00BE360F" w:rsidRPr="00485F66" w:rsidRDefault="00BE360F" w:rsidP="008B2E0A">
            <w:pPr>
              <w:rPr>
                <w:sz w:val="20"/>
                <w:szCs w:val="20"/>
              </w:rPr>
            </w:pPr>
            <w:r w:rsidRPr="00485F66">
              <w:rPr>
                <w:b/>
                <w:sz w:val="20"/>
                <w:szCs w:val="20"/>
              </w:rPr>
              <w:t>More information in WHO EML 2017 Section Reference:</w:t>
            </w:r>
            <w:r w:rsidRPr="00485F66">
              <w:rPr>
                <w:sz w:val="20"/>
                <w:szCs w:val="20"/>
              </w:rPr>
              <w:t xml:space="preserve"> 6.4.2.4</w:t>
            </w:r>
          </w:p>
        </w:tc>
      </w:tr>
      <w:tr w:rsidR="00BE360F" w:rsidRPr="00485F66" w14:paraId="07F5EA15" w14:textId="77777777" w:rsidTr="00496A98">
        <w:trPr>
          <w:trHeight w:val="300"/>
        </w:trPr>
        <w:tc>
          <w:tcPr>
            <w:tcW w:w="3970" w:type="dxa"/>
            <w:noWrap/>
          </w:tcPr>
          <w:p w14:paraId="779DAD91" w14:textId="4D646FAD" w:rsidR="00BE360F" w:rsidRPr="00485F66" w:rsidRDefault="00BE360F" w:rsidP="008B2E0A">
            <w:pPr>
              <w:rPr>
                <w:sz w:val="20"/>
                <w:szCs w:val="20"/>
              </w:rPr>
            </w:pPr>
            <w:r w:rsidRPr="00485F66">
              <w:rPr>
                <w:sz w:val="20"/>
                <w:szCs w:val="20"/>
              </w:rPr>
              <w:t>Ibuprofen (200mg tablet)</w:t>
            </w:r>
          </w:p>
        </w:tc>
        <w:tc>
          <w:tcPr>
            <w:tcW w:w="1540" w:type="dxa"/>
            <w:noWrap/>
          </w:tcPr>
          <w:p w14:paraId="771894D9" w14:textId="77777777" w:rsidR="00BE360F" w:rsidRPr="00485F66" w:rsidRDefault="00BE360F" w:rsidP="008B2E0A">
            <w:pPr>
              <w:rPr>
                <w:sz w:val="20"/>
                <w:szCs w:val="20"/>
              </w:rPr>
            </w:pPr>
            <w:r w:rsidRPr="00485F66">
              <w:rPr>
                <w:sz w:val="20"/>
                <w:szCs w:val="20"/>
              </w:rPr>
              <w:t>Pain and Palliative Care</w:t>
            </w:r>
          </w:p>
        </w:tc>
        <w:tc>
          <w:tcPr>
            <w:tcW w:w="4820" w:type="dxa"/>
            <w:noWrap/>
          </w:tcPr>
          <w:p w14:paraId="05134EBC" w14:textId="384A552A" w:rsidR="00BE360F" w:rsidRPr="00485F66" w:rsidRDefault="00BE360F" w:rsidP="008B2E0A">
            <w:pPr>
              <w:rPr>
                <w:sz w:val="20"/>
                <w:szCs w:val="20"/>
              </w:rPr>
            </w:pPr>
            <w:r w:rsidRPr="00485F66">
              <w:rPr>
                <w:b/>
                <w:sz w:val="20"/>
                <w:szCs w:val="20"/>
              </w:rPr>
              <w:t>Rationale:</w:t>
            </w:r>
            <w:r w:rsidRPr="00485F66">
              <w:rPr>
                <w:sz w:val="20"/>
                <w:szCs w:val="20"/>
              </w:rPr>
              <w:t xml:space="preserve"> Ibuprofen, a non-steroidal anti-inflammatory drug, is a first choice medicine in the treatment of mild pain. </w:t>
            </w:r>
          </w:p>
          <w:p w14:paraId="50C02630" w14:textId="77777777" w:rsidR="00BE360F" w:rsidRPr="00485F66" w:rsidRDefault="00BE360F" w:rsidP="008B2E0A">
            <w:pPr>
              <w:rPr>
                <w:sz w:val="20"/>
                <w:szCs w:val="20"/>
              </w:rPr>
            </w:pPr>
            <w:r w:rsidRPr="00485F66">
              <w:rPr>
                <w:b/>
                <w:sz w:val="20"/>
                <w:szCs w:val="20"/>
              </w:rPr>
              <w:t xml:space="preserve">Treatment References:  </w:t>
            </w:r>
            <w:hyperlink r:id="rId61" w:history="1">
              <w:r w:rsidRPr="00485F66">
                <w:rPr>
                  <w:rStyle w:val="Hyperlink"/>
                  <w:sz w:val="20"/>
                  <w:szCs w:val="20"/>
                </w:rPr>
                <w:t>WHO Guidelines on the pharmacological treatment of persisting pain in children with medical illnesses</w:t>
              </w:r>
            </w:hyperlink>
          </w:p>
          <w:p w14:paraId="7685D980" w14:textId="77777777" w:rsidR="00BE360F" w:rsidRPr="00485F66" w:rsidRDefault="00BE360F" w:rsidP="008B2E0A">
            <w:pPr>
              <w:rPr>
                <w:b/>
                <w:sz w:val="20"/>
                <w:szCs w:val="20"/>
              </w:rPr>
            </w:pPr>
            <w:r w:rsidRPr="00485F66">
              <w:rPr>
                <w:b/>
                <w:sz w:val="20"/>
                <w:szCs w:val="20"/>
              </w:rPr>
              <w:t>More information in WHO EML 2017 Section Reference:</w:t>
            </w:r>
            <w:r w:rsidRPr="00485F66">
              <w:rPr>
                <w:sz w:val="20"/>
                <w:szCs w:val="20"/>
              </w:rPr>
              <w:t xml:space="preserve"> 2.1</w:t>
            </w:r>
          </w:p>
        </w:tc>
      </w:tr>
      <w:tr w:rsidR="00496A98" w:rsidRPr="00485F66" w14:paraId="41DC9DFD" w14:textId="77777777" w:rsidTr="00496A98">
        <w:trPr>
          <w:trHeight w:val="300"/>
        </w:trPr>
        <w:tc>
          <w:tcPr>
            <w:tcW w:w="3970" w:type="dxa"/>
            <w:noWrap/>
          </w:tcPr>
          <w:p w14:paraId="3F136BEC" w14:textId="77777777" w:rsidR="00496A98" w:rsidRPr="00485F66" w:rsidRDefault="00496A98" w:rsidP="001D1126">
            <w:pPr>
              <w:rPr>
                <w:sz w:val="20"/>
                <w:szCs w:val="20"/>
              </w:rPr>
            </w:pPr>
            <w:r w:rsidRPr="00485F66">
              <w:rPr>
                <w:sz w:val="20"/>
                <w:szCs w:val="20"/>
              </w:rPr>
              <w:t xml:space="preserve">Chlorhexidine </w:t>
            </w:r>
          </w:p>
          <w:p w14:paraId="0021CE5F" w14:textId="672013CD" w:rsidR="00496A98" w:rsidRPr="00485F66" w:rsidRDefault="00496A98" w:rsidP="008B3C80">
            <w:pPr>
              <w:rPr>
                <w:sz w:val="20"/>
                <w:szCs w:val="20"/>
              </w:rPr>
            </w:pPr>
            <w:r w:rsidRPr="00485F66">
              <w:rPr>
                <w:sz w:val="20"/>
                <w:szCs w:val="20"/>
              </w:rPr>
              <w:t>Solution  or gel: 7.1% (digluconate) delivering 4% chlorhexidine</w:t>
            </w:r>
          </w:p>
        </w:tc>
        <w:tc>
          <w:tcPr>
            <w:tcW w:w="1540" w:type="dxa"/>
            <w:noWrap/>
          </w:tcPr>
          <w:p w14:paraId="2BF6C278" w14:textId="45307F56" w:rsidR="00496A98" w:rsidRPr="00485F66" w:rsidRDefault="00496A98" w:rsidP="008B2E0A">
            <w:pPr>
              <w:rPr>
                <w:sz w:val="20"/>
                <w:szCs w:val="20"/>
              </w:rPr>
            </w:pPr>
            <w:r w:rsidRPr="00485F66">
              <w:rPr>
                <w:sz w:val="20"/>
                <w:szCs w:val="20"/>
              </w:rPr>
              <w:t>Neonatal care</w:t>
            </w:r>
          </w:p>
        </w:tc>
        <w:tc>
          <w:tcPr>
            <w:tcW w:w="4820" w:type="dxa"/>
            <w:noWrap/>
          </w:tcPr>
          <w:p w14:paraId="293CC10F" w14:textId="77777777" w:rsidR="00496A98" w:rsidRPr="00485F66" w:rsidRDefault="00496A98" w:rsidP="001D1126">
            <w:pPr>
              <w:rPr>
                <w:bCs/>
                <w:sz w:val="20"/>
                <w:szCs w:val="20"/>
              </w:rPr>
            </w:pPr>
            <w:r w:rsidRPr="00485F66">
              <w:rPr>
                <w:b/>
                <w:sz w:val="20"/>
                <w:szCs w:val="20"/>
              </w:rPr>
              <w:t>Rationale:</w:t>
            </w:r>
            <w:r w:rsidRPr="00485F66">
              <w:t xml:space="preserve"> </w:t>
            </w:r>
            <w:r w:rsidRPr="00485F66">
              <w:rPr>
                <w:bCs/>
                <w:sz w:val="20"/>
                <w:szCs w:val="20"/>
              </w:rPr>
              <w:t>A recommended antiseptic that should be applied to the umbilical cord in cases of unclean delivery, and if the traditional practices in place increase the risk of cord infection</w:t>
            </w:r>
          </w:p>
          <w:p w14:paraId="1AC7238F" w14:textId="77777777" w:rsidR="00496A98" w:rsidRPr="00485F66" w:rsidRDefault="00496A98" w:rsidP="001D1126">
            <w:pPr>
              <w:rPr>
                <w:b/>
                <w:sz w:val="20"/>
                <w:szCs w:val="20"/>
              </w:rPr>
            </w:pPr>
            <w:r w:rsidRPr="00485F66">
              <w:rPr>
                <w:b/>
                <w:sz w:val="20"/>
                <w:szCs w:val="20"/>
              </w:rPr>
              <w:t xml:space="preserve">Treatment References: </w:t>
            </w:r>
            <w:hyperlink r:id="rId62" w:history="1">
              <w:r w:rsidRPr="00485F66">
                <w:rPr>
                  <w:rStyle w:val="Hyperlink"/>
                  <w:bCs/>
                  <w:sz w:val="20"/>
                  <w:szCs w:val="20"/>
                </w:rPr>
                <w:t>Review of the available evidence on 4% chlorhexidine solution for umbilical cord care</w:t>
              </w:r>
            </w:hyperlink>
          </w:p>
          <w:p w14:paraId="6F58EF2E" w14:textId="64ABE6E2" w:rsidR="00496A98" w:rsidRPr="00485F66" w:rsidRDefault="00496A98" w:rsidP="008B2E0A">
            <w:pPr>
              <w:rPr>
                <w:b/>
                <w:sz w:val="20"/>
                <w:szCs w:val="20"/>
              </w:rPr>
            </w:pPr>
            <w:r w:rsidRPr="00485F66">
              <w:rPr>
                <w:b/>
                <w:sz w:val="20"/>
                <w:szCs w:val="20"/>
              </w:rPr>
              <w:t>More information in WHO EML 2017 Section Reference:</w:t>
            </w:r>
            <w:r w:rsidRPr="00485F66">
              <w:rPr>
                <w:sz w:val="20"/>
                <w:szCs w:val="20"/>
              </w:rPr>
              <w:t xml:space="preserve"> 29.1</w:t>
            </w:r>
          </w:p>
        </w:tc>
      </w:tr>
      <w:tr w:rsidR="00496A98" w:rsidRPr="00485F66" w14:paraId="7C7B0EA9" w14:textId="77777777" w:rsidTr="00496A98">
        <w:trPr>
          <w:trHeight w:val="300"/>
        </w:trPr>
        <w:tc>
          <w:tcPr>
            <w:tcW w:w="3970" w:type="dxa"/>
            <w:noWrap/>
          </w:tcPr>
          <w:p w14:paraId="6B5E2482" w14:textId="7A73C475" w:rsidR="00527F5D" w:rsidRDefault="00496A98" w:rsidP="008B2E0A">
            <w:pPr>
              <w:rPr>
                <w:sz w:val="20"/>
                <w:szCs w:val="20"/>
              </w:rPr>
            </w:pPr>
            <w:r w:rsidRPr="00485F66">
              <w:rPr>
                <w:sz w:val="20"/>
                <w:szCs w:val="20"/>
              </w:rPr>
              <w:t>Ready-to-use therapeutic food (RUTF)</w:t>
            </w:r>
            <w:r w:rsidR="00470709">
              <w:rPr>
                <w:sz w:val="20"/>
                <w:szCs w:val="20"/>
              </w:rPr>
              <w:t>,</w:t>
            </w:r>
          </w:p>
          <w:p w14:paraId="4644C5B3" w14:textId="77777777" w:rsidR="00470709" w:rsidRDefault="00470709" w:rsidP="00470709">
            <w:pPr>
              <w:rPr>
                <w:sz w:val="20"/>
                <w:szCs w:val="20"/>
              </w:rPr>
            </w:pPr>
            <w:r w:rsidRPr="00470709">
              <w:rPr>
                <w:sz w:val="20"/>
                <w:szCs w:val="20"/>
              </w:rPr>
              <w:t xml:space="preserve">paste or spread (1 sachet = 92 g [500 Kcal]) </w:t>
            </w:r>
          </w:p>
          <w:p w14:paraId="0A2DE4B5" w14:textId="57612DFB" w:rsidR="00470709" w:rsidRPr="00470709" w:rsidRDefault="00470709" w:rsidP="00470709">
            <w:pPr>
              <w:rPr>
                <w:sz w:val="20"/>
                <w:szCs w:val="20"/>
              </w:rPr>
            </w:pPr>
            <w:r>
              <w:rPr>
                <w:sz w:val="20"/>
                <w:szCs w:val="20"/>
              </w:rPr>
              <w:t>or</w:t>
            </w:r>
          </w:p>
          <w:p w14:paraId="4B68E907" w14:textId="1DABB731" w:rsidR="00496A98" w:rsidRPr="00485F66" w:rsidRDefault="00470709" w:rsidP="00470709">
            <w:pPr>
              <w:rPr>
                <w:sz w:val="20"/>
                <w:szCs w:val="20"/>
              </w:rPr>
            </w:pPr>
            <w:r w:rsidRPr="00470709">
              <w:rPr>
                <w:sz w:val="20"/>
                <w:szCs w:val="20"/>
              </w:rPr>
              <w:t>biscuit (28.4g, 500 kcal per 100g)</w:t>
            </w:r>
          </w:p>
        </w:tc>
        <w:tc>
          <w:tcPr>
            <w:tcW w:w="1540" w:type="dxa"/>
            <w:noWrap/>
          </w:tcPr>
          <w:p w14:paraId="12C08E3B" w14:textId="26000298" w:rsidR="00496A98" w:rsidRPr="00485F66" w:rsidRDefault="00496A98" w:rsidP="008B2E0A">
            <w:pPr>
              <w:rPr>
                <w:sz w:val="20"/>
                <w:szCs w:val="20"/>
              </w:rPr>
            </w:pPr>
            <w:r w:rsidRPr="00485F66">
              <w:rPr>
                <w:sz w:val="20"/>
                <w:szCs w:val="20"/>
              </w:rPr>
              <w:t>Nutrition</w:t>
            </w:r>
          </w:p>
        </w:tc>
        <w:tc>
          <w:tcPr>
            <w:tcW w:w="4820" w:type="dxa"/>
            <w:noWrap/>
          </w:tcPr>
          <w:p w14:paraId="1248EF54" w14:textId="77777777" w:rsidR="00496A98" w:rsidRPr="00485F66" w:rsidRDefault="00496A98" w:rsidP="001D1126">
            <w:pPr>
              <w:rPr>
                <w:bCs/>
                <w:sz w:val="20"/>
                <w:szCs w:val="20"/>
              </w:rPr>
            </w:pPr>
            <w:r w:rsidRPr="00485F66">
              <w:rPr>
                <w:b/>
                <w:sz w:val="20"/>
                <w:szCs w:val="20"/>
              </w:rPr>
              <w:t>Rationale:</w:t>
            </w:r>
            <w:r w:rsidRPr="00485F66">
              <w:t xml:space="preserve"> </w:t>
            </w:r>
            <w:r w:rsidRPr="00485F66">
              <w:rPr>
                <w:bCs/>
                <w:sz w:val="20"/>
                <w:szCs w:val="20"/>
              </w:rPr>
              <w:t>Energy-dense, micronutrient enhanced pastes used in therapeutic feeding for the community-based management of children who are suffering from uncomplicated severe acute malnutrition and who retain an appetite. Is provided as the therapeutic food in the rehabilitation phase (following F-75 in the stabilization phase)</w:t>
            </w:r>
          </w:p>
          <w:p w14:paraId="13122490" w14:textId="77777777" w:rsidR="00496A98" w:rsidRPr="00485F66" w:rsidRDefault="00496A98" w:rsidP="001D1126">
            <w:pPr>
              <w:rPr>
                <w:rStyle w:val="Hyperlink"/>
              </w:rPr>
            </w:pPr>
            <w:r w:rsidRPr="00485F66">
              <w:rPr>
                <w:b/>
                <w:sz w:val="20"/>
                <w:szCs w:val="20"/>
              </w:rPr>
              <w:t>Treatment References:</w:t>
            </w:r>
            <w:r w:rsidRPr="00485F66">
              <w:t xml:space="preserve"> </w:t>
            </w:r>
            <w:hyperlink r:id="rId63" w:history="1">
              <w:r w:rsidRPr="00485F66">
                <w:rPr>
                  <w:rStyle w:val="Hyperlink"/>
                </w:rPr>
                <w:t>WHO Guideline: Updates on the management of severe acute malnutrition in infants and children. 2013</w:t>
              </w:r>
            </w:hyperlink>
          </w:p>
          <w:p w14:paraId="001D3B5D" w14:textId="3A1160E2" w:rsidR="00496A98" w:rsidRPr="00485F66" w:rsidRDefault="00496A98" w:rsidP="00B221D2">
            <w:pPr>
              <w:rPr>
                <w:b/>
                <w:sz w:val="20"/>
                <w:szCs w:val="20"/>
              </w:rPr>
            </w:pPr>
            <w:r w:rsidRPr="00485F66">
              <w:rPr>
                <w:b/>
                <w:sz w:val="20"/>
                <w:szCs w:val="20"/>
              </w:rPr>
              <w:t>More information in WHO EML 2017:</w:t>
            </w:r>
            <w:r w:rsidRPr="00485F66">
              <w:rPr>
                <w:sz w:val="20"/>
                <w:szCs w:val="20"/>
              </w:rPr>
              <w:t xml:space="preserve"> Not currently included</w:t>
            </w:r>
          </w:p>
        </w:tc>
      </w:tr>
      <w:tr w:rsidR="00496A98" w:rsidRPr="00485F66" w14:paraId="773B4700" w14:textId="77777777" w:rsidTr="00496A98">
        <w:trPr>
          <w:trHeight w:val="300"/>
        </w:trPr>
        <w:tc>
          <w:tcPr>
            <w:tcW w:w="3970" w:type="dxa"/>
            <w:noWrap/>
          </w:tcPr>
          <w:p w14:paraId="76A3E10A" w14:textId="77777777" w:rsidR="00496A98" w:rsidRPr="00485F66" w:rsidRDefault="00496A98" w:rsidP="001D1126">
            <w:pPr>
              <w:rPr>
                <w:sz w:val="20"/>
                <w:szCs w:val="20"/>
              </w:rPr>
            </w:pPr>
            <w:r w:rsidRPr="00485F66">
              <w:rPr>
                <w:sz w:val="20"/>
                <w:szCs w:val="20"/>
              </w:rPr>
              <w:t>Isoniazid + pyrazinamide + rifampicin (50 mg + 150 mg + 75 mg)</w:t>
            </w:r>
          </w:p>
          <w:p w14:paraId="07FD2456" w14:textId="77777777" w:rsidR="00496A98" w:rsidRPr="00485F66" w:rsidRDefault="00496A98" w:rsidP="001D1126">
            <w:pPr>
              <w:rPr>
                <w:sz w:val="20"/>
                <w:szCs w:val="20"/>
              </w:rPr>
            </w:pPr>
          </w:p>
          <w:p w14:paraId="224C5C53" w14:textId="47BE9D43" w:rsidR="00496A98" w:rsidRPr="00485F66" w:rsidRDefault="00496A98" w:rsidP="008B2E0A">
            <w:pPr>
              <w:rPr>
                <w:sz w:val="20"/>
                <w:szCs w:val="20"/>
              </w:rPr>
            </w:pPr>
          </w:p>
        </w:tc>
        <w:tc>
          <w:tcPr>
            <w:tcW w:w="1540" w:type="dxa"/>
            <w:noWrap/>
          </w:tcPr>
          <w:p w14:paraId="667E8EA8" w14:textId="474C0CA6" w:rsidR="00496A98" w:rsidRPr="00485F66" w:rsidRDefault="00496A98" w:rsidP="008B2E0A">
            <w:pPr>
              <w:rPr>
                <w:sz w:val="20"/>
                <w:szCs w:val="20"/>
              </w:rPr>
            </w:pPr>
            <w:r w:rsidRPr="00485F66">
              <w:rPr>
                <w:sz w:val="20"/>
                <w:szCs w:val="20"/>
              </w:rPr>
              <w:t>Antituberculosis</w:t>
            </w:r>
          </w:p>
        </w:tc>
        <w:tc>
          <w:tcPr>
            <w:tcW w:w="4820" w:type="dxa"/>
            <w:noWrap/>
          </w:tcPr>
          <w:p w14:paraId="27D9F9C0" w14:textId="77777777" w:rsidR="00496A98" w:rsidRPr="00485F66" w:rsidRDefault="00496A98" w:rsidP="001D1126">
            <w:pPr>
              <w:rPr>
                <w:b/>
                <w:sz w:val="20"/>
                <w:szCs w:val="20"/>
              </w:rPr>
            </w:pPr>
            <w:r w:rsidRPr="00485F66">
              <w:rPr>
                <w:b/>
                <w:sz w:val="20"/>
                <w:szCs w:val="20"/>
              </w:rPr>
              <w:t xml:space="preserve">Rationale: </w:t>
            </w:r>
            <w:r w:rsidRPr="00485F66">
              <w:rPr>
                <w:sz w:val="20"/>
                <w:szCs w:val="20"/>
              </w:rPr>
              <w:t>Isoniazid + pyrazinamide + rifampicin  is recommended as fixed-dose combination therapy for the intensive phase of treatment of drug-susceptible tuberculosis in children.</w:t>
            </w:r>
          </w:p>
          <w:p w14:paraId="704EF8B7" w14:textId="77777777" w:rsidR="00496A98" w:rsidRPr="00485F66" w:rsidRDefault="00496A98" w:rsidP="001D1126">
            <w:pPr>
              <w:rPr>
                <w:rStyle w:val="Hyperlink"/>
                <w:sz w:val="20"/>
                <w:szCs w:val="20"/>
              </w:rPr>
            </w:pPr>
            <w:r w:rsidRPr="00485F66">
              <w:rPr>
                <w:b/>
                <w:sz w:val="20"/>
                <w:szCs w:val="20"/>
              </w:rPr>
              <w:t xml:space="preserve">Treatment References: </w:t>
            </w:r>
            <w:r w:rsidRPr="00485F66">
              <w:rPr>
                <w:sz w:val="20"/>
                <w:szCs w:val="20"/>
              </w:rPr>
              <w:fldChar w:fldCharType="begin"/>
            </w:r>
            <w:r w:rsidRPr="00485F66">
              <w:rPr>
                <w:sz w:val="20"/>
                <w:szCs w:val="20"/>
              </w:rPr>
              <w:instrText xml:space="preserve"> HYPERLINK "http://apps.who.int/medicinedocs/documents/s21535en/s21535en.pdf" </w:instrText>
            </w:r>
            <w:r w:rsidRPr="00485F66">
              <w:rPr>
                <w:sz w:val="20"/>
                <w:szCs w:val="20"/>
              </w:rPr>
              <w:fldChar w:fldCharType="separate"/>
            </w:r>
            <w:r w:rsidRPr="00485F66">
              <w:rPr>
                <w:rStyle w:val="Hyperlink"/>
                <w:sz w:val="20"/>
                <w:szCs w:val="20"/>
              </w:rPr>
              <w:t xml:space="preserve">Guidance for national </w:t>
            </w:r>
            <w:r w:rsidRPr="00485F66">
              <w:rPr>
                <w:rStyle w:val="Hyperlink"/>
                <w:sz w:val="20"/>
                <w:szCs w:val="20"/>
              </w:rPr>
              <w:lastRenderedPageBreak/>
              <w:t>tuberculosis programmes on the</w:t>
            </w:r>
          </w:p>
          <w:p w14:paraId="20A866A4" w14:textId="77777777" w:rsidR="00496A98" w:rsidRPr="00485F66" w:rsidRDefault="00496A98" w:rsidP="001D1126">
            <w:pPr>
              <w:rPr>
                <w:sz w:val="20"/>
                <w:szCs w:val="20"/>
              </w:rPr>
            </w:pPr>
            <w:r w:rsidRPr="00485F66">
              <w:rPr>
                <w:rStyle w:val="Hyperlink"/>
                <w:sz w:val="20"/>
                <w:szCs w:val="20"/>
              </w:rPr>
              <w:t>management of tuberculosis in children, 2014</w:t>
            </w:r>
            <w:r w:rsidRPr="00485F66">
              <w:rPr>
                <w:sz w:val="20"/>
                <w:szCs w:val="20"/>
              </w:rPr>
              <w:fldChar w:fldCharType="end"/>
            </w:r>
          </w:p>
          <w:p w14:paraId="20339DD9" w14:textId="7776531A" w:rsidR="00496A98" w:rsidRPr="00485F66" w:rsidRDefault="00496A98" w:rsidP="00533E65">
            <w:pPr>
              <w:rPr>
                <w:b/>
                <w:sz w:val="20"/>
                <w:szCs w:val="20"/>
              </w:rPr>
            </w:pPr>
            <w:r w:rsidRPr="00485F66">
              <w:rPr>
                <w:b/>
                <w:sz w:val="20"/>
                <w:szCs w:val="20"/>
              </w:rPr>
              <w:t>More information in WHO EML 2017 Section Reference:</w:t>
            </w:r>
            <w:r w:rsidRPr="00485F66">
              <w:rPr>
                <w:sz w:val="20"/>
                <w:szCs w:val="20"/>
              </w:rPr>
              <w:t xml:space="preserve"> 6.2.4</w:t>
            </w:r>
          </w:p>
        </w:tc>
      </w:tr>
      <w:tr w:rsidR="00496A98" w:rsidRPr="00485F66" w14:paraId="11C1B7C3" w14:textId="77777777" w:rsidTr="00496A98">
        <w:trPr>
          <w:trHeight w:val="300"/>
        </w:trPr>
        <w:tc>
          <w:tcPr>
            <w:tcW w:w="3970" w:type="dxa"/>
            <w:noWrap/>
          </w:tcPr>
          <w:p w14:paraId="06D3E9B6" w14:textId="77777777" w:rsidR="00496A98" w:rsidRPr="00485F66" w:rsidRDefault="00496A98" w:rsidP="001D1126">
            <w:pPr>
              <w:rPr>
                <w:sz w:val="20"/>
                <w:szCs w:val="20"/>
              </w:rPr>
            </w:pPr>
            <w:r w:rsidRPr="00485F66">
              <w:rPr>
                <w:sz w:val="20"/>
                <w:szCs w:val="20"/>
              </w:rPr>
              <w:lastRenderedPageBreak/>
              <w:t>Erythropoiesis - stimulating agents.</w:t>
            </w:r>
          </w:p>
          <w:p w14:paraId="0AB9AF9B" w14:textId="77777777" w:rsidR="00496A98" w:rsidRPr="00485F66" w:rsidRDefault="00496A98" w:rsidP="001D1126">
            <w:pPr>
              <w:rPr>
                <w:sz w:val="20"/>
                <w:szCs w:val="20"/>
              </w:rPr>
            </w:pPr>
            <w:r w:rsidRPr="00485F66">
              <w:rPr>
                <w:sz w:val="20"/>
                <w:szCs w:val="20"/>
              </w:rPr>
              <w:t>One of the following:</w:t>
            </w:r>
          </w:p>
          <w:p w14:paraId="10928189" w14:textId="77777777" w:rsidR="00496A98" w:rsidRPr="00485F66" w:rsidRDefault="00496A98" w:rsidP="001D1126">
            <w:pPr>
              <w:rPr>
                <w:sz w:val="20"/>
                <w:szCs w:val="20"/>
              </w:rPr>
            </w:pPr>
          </w:p>
          <w:p w14:paraId="02896AA3" w14:textId="77777777" w:rsidR="00527F5D" w:rsidRDefault="00496A98" w:rsidP="00527F5D">
            <w:pPr>
              <w:pStyle w:val="ListParagraph"/>
              <w:numPr>
                <w:ilvl w:val="0"/>
                <w:numId w:val="39"/>
              </w:numPr>
              <w:rPr>
                <w:sz w:val="20"/>
                <w:szCs w:val="20"/>
              </w:rPr>
            </w:pPr>
            <w:r w:rsidRPr="00485F66">
              <w:rPr>
                <w:sz w:val="20"/>
                <w:szCs w:val="20"/>
              </w:rPr>
              <w:t>Epoetin alfa (2,000 IU/mL)</w:t>
            </w:r>
          </w:p>
          <w:p w14:paraId="7EA274DA" w14:textId="6CCC9799" w:rsidR="00496A98" w:rsidRPr="00527F5D" w:rsidRDefault="00496A98" w:rsidP="00527F5D">
            <w:pPr>
              <w:pStyle w:val="ListParagraph"/>
              <w:numPr>
                <w:ilvl w:val="0"/>
                <w:numId w:val="39"/>
              </w:numPr>
              <w:rPr>
                <w:sz w:val="20"/>
                <w:szCs w:val="20"/>
              </w:rPr>
            </w:pPr>
            <w:r w:rsidRPr="00527F5D">
              <w:rPr>
                <w:sz w:val="20"/>
                <w:szCs w:val="20"/>
              </w:rPr>
              <w:t>Darbepoetin alfa (100 mcg/mL)</w:t>
            </w:r>
          </w:p>
        </w:tc>
        <w:tc>
          <w:tcPr>
            <w:tcW w:w="1540" w:type="dxa"/>
            <w:noWrap/>
          </w:tcPr>
          <w:p w14:paraId="3969D505" w14:textId="31A8BB7D" w:rsidR="00496A98" w:rsidRPr="00485F66" w:rsidRDefault="00496A98" w:rsidP="008B2E0A">
            <w:pPr>
              <w:rPr>
                <w:sz w:val="20"/>
                <w:szCs w:val="20"/>
              </w:rPr>
            </w:pPr>
            <w:r w:rsidRPr="00485F66">
              <w:rPr>
                <w:sz w:val="20"/>
                <w:szCs w:val="20"/>
              </w:rPr>
              <w:t>Chronic kidney disease</w:t>
            </w:r>
          </w:p>
        </w:tc>
        <w:tc>
          <w:tcPr>
            <w:tcW w:w="4820" w:type="dxa"/>
            <w:noWrap/>
          </w:tcPr>
          <w:p w14:paraId="36016D6C" w14:textId="77777777" w:rsidR="00496A98" w:rsidRPr="00485F66" w:rsidRDefault="00496A98" w:rsidP="001D1126">
            <w:pPr>
              <w:rPr>
                <w:bCs/>
                <w:sz w:val="20"/>
                <w:szCs w:val="20"/>
              </w:rPr>
            </w:pPr>
            <w:r w:rsidRPr="00485F66">
              <w:rPr>
                <w:b/>
                <w:sz w:val="20"/>
                <w:szCs w:val="20"/>
              </w:rPr>
              <w:t xml:space="preserve">Rationale: </w:t>
            </w:r>
            <w:r w:rsidRPr="00485F66">
              <w:rPr>
                <w:bCs/>
                <w:sz w:val="20"/>
                <w:szCs w:val="20"/>
              </w:rPr>
              <w:t>Erythropoiesis-stimulating agents are recommended for treatment of anaemia of chronic kidney disease in children, young</w:t>
            </w:r>
          </w:p>
          <w:p w14:paraId="6FCF861F" w14:textId="77777777" w:rsidR="00496A98" w:rsidRPr="00485F66" w:rsidRDefault="00496A98" w:rsidP="001D1126">
            <w:pPr>
              <w:rPr>
                <w:bCs/>
                <w:sz w:val="20"/>
                <w:szCs w:val="20"/>
              </w:rPr>
            </w:pPr>
            <w:r w:rsidRPr="00485F66">
              <w:rPr>
                <w:bCs/>
                <w:sz w:val="20"/>
                <w:szCs w:val="20"/>
              </w:rPr>
              <w:t>people and adult patients with chronic renal disease requiring dialysis.</w:t>
            </w:r>
          </w:p>
          <w:p w14:paraId="075954D1" w14:textId="77777777" w:rsidR="00496A98" w:rsidRPr="00485F66" w:rsidRDefault="00496A98" w:rsidP="001D1126">
            <w:pPr>
              <w:rPr>
                <w:rStyle w:val="Hyperlink"/>
                <w:bCs/>
                <w:sz w:val="20"/>
                <w:szCs w:val="20"/>
              </w:rPr>
            </w:pPr>
            <w:r w:rsidRPr="00485F66">
              <w:rPr>
                <w:b/>
                <w:sz w:val="20"/>
                <w:szCs w:val="20"/>
              </w:rPr>
              <w:t xml:space="preserve">Treatment References: </w:t>
            </w:r>
            <w:r w:rsidRPr="00485F66">
              <w:rPr>
                <w:bCs/>
                <w:sz w:val="20"/>
                <w:szCs w:val="20"/>
              </w:rPr>
              <w:fldChar w:fldCharType="begin"/>
            </w:r>
            <w:r w:rsidRPr="00485F66">
              <w:rPr>
                <w:bCs/>
                <w:sz w:val="20"/>
                <w:szCs w:val="20"/>
              </w:rPr>
              <w:instrText xml:space="preserve"> HYPERLINK "https://www.who.int/selection_medicines/committees/expert/21/applications/s10_erythropoietins_add.pdf?ua=1" </w:instrText>
            </w:r>
            <w:r w:rsidRPr="00485F66">
              <w:rPr>
                <w:bCs/>
                <w:sz w:val="20"/>
                <w:szCs w:val="20"/>
              </w:rPr>
              <w:fldChar w:fldCharType="separate"/>
            </w:r>
            <w:r w:rsidRPr="00485F66">
              <w:rPr>
                <w:rStyle w:val="Hyperlink"/>
                <w:bCs/>
                <w:sz w:val="20"/>
                <w:szCs w:val="20"/>
              </w:rPr>
              <w:t xml:space="preserve">WHO EML 2016-2017 -  Application for erythropoietin-stimulating agents </w:t>
            </w:r>
          </w:p>
          <w:p w14:paraId="09178BA7" w14:textId="77777777" w:rsidR="00496A98" w:rsidRPr="00485F66" w:rsidRDefault="00496A98" w:rsidP="001D1126">
            <w:pPr>
              <w:rPr>
                <w:bCs/>
                <w:sz w:val="20"/>
                <w:szCs w:val="20"/>
              </w:rPr>
            </w:pPr>
            <w:r w:rsidRPr="00485F66">
              <w:rPr>
                <w:rStyle w:val="Hyperlink"/>
                <w:bCs/>
                <w:sz w:val="20"/>
                <w:szCs w:val="20"/>
              </w:rPr>
              <w:t>(erythropoietin type blood factors)</w:t>
            </w:r>
            <w:r w:rsidRPr="00485F66">
              <w:rPr>
                <w:bCs/>
                <w:sz w:val="20"/>
                <w:szCs w:val="20"/>
              </w:rPr>
              <w:fldChar w:fldCharType="end"/>
            </w:r>
          </w:p>
          <w:p w14:paraId="2C1DE407" w14:textId="67554235" w:rsidR="00496A98" w:rsidRPr="00485F66" w:rsidRDefault="00496A98" w:rsidP="00C31655">
            <w:pPr>
              <w:rPr>
                <w:b/>
                <w:sz w:val="20"/>
                <w:szCs w:val="20"/>
              </w:rPr>
            </w:pPr>
            <w:r w:rsidRPr="00485F66">
              <w:rPr>
                <w:b/>
                <w:sz w:val="20"/>
                <w:szCs w:val="20"/>
              </w:rPr>
              <w:t>More information in WHO EML 2017 Section Reference:</w:t>
            </w:r>
            <w:r w:rsidRPr="00485F66">
              <w:rPr>
                <w:sz w:val="20"/>
                <w:szCs w:val="20"/>
              </w:rPr>
              <w:t xml:space="preserve"> 10.1</w:t>
            </w:r>
          </w:p>
        </w:tc>
      </w:tr>
      <w:tr w:rsidR="003C1A63" w:rsidRPr="00485F66" w14:paraId="3E56774D" w14:textId="77777777" w:rsidTr="00496A98">
        <w:trPr>
          <w:trHeight w:val="300"/>
        </w:trPr>
        <w:tc>
          <w:tcPr>
            <w:tcW w:w="10330" w:type="dxa"/>
            <w:gridSpan w:val="3"/>
          </w:tcPr>
          <w:p w14:paraId="47A5CA80" w14:textId="53B287B1" w:rsidR="003C1A63" w:rsidRPr="00485F66" w:rsidRDefault="003C1A63" w:rsidP="008B2E0A">
            <w:pPr>
              <w:jc w:val="center"/>
              <w:rPr>
                <w:b/>
                <w:color w:val="C00000"/>
                <w:sz w:val="20"/>
                <w:szCs w:val="20"/>
              </w:rPr>
            </w:pPr>
            <w:r w:rsidRPr="00485F66">
              <w:rPr>
                <w:b/>
                <w:color w:val="C00000"/>
                <w:sz w:val="20"/>
                <w:szCs w:val="20"/>
              </w:rPr>
              <w:t>Suggested for monitoring (optional for countries) *</w:t>
            </w:r>
          </w:p>
        </w:tc>
      </w:tr>
      <w:tr w:rsidR="003C1A63" w:rsidRPr="00485F66" w14:paraId="61706AD0" w14:textId="77777777" w:rsidTr="00496A98">
        <w:trPr>
          <w:trHeight w:val="300"/>
        </w:trPr>
        <w:tc>
          <w:tcPr>
            <w:tcW w:w="3970" w:type="dxa"/>
            <w:noWrap/>
          </w:tcPr>
          <w:p w14:paraId="162BA6E8" w14:textId="77777777" w:rsidR="003C1A63" w:rsidRPr="00485F66" w:rsidRDefault="003C1A63" w:rsidP="008B2E0A">
            <w:pPr>
              <w:rPr>
                <w:sz w:val="20"/>
                <w:szCs w:val="20"/>
              </w:rPr>
            </w:pPr>
            <w:r w:rsidRPr="00485F66">
              <w:rPr>
                <w:sz w:val="20"/>
                <w:szCs w:val="20"/>
              </w:rPr>
              <w:t xml:space="preserve">One of the following: </w:t>
            </w:r>
          </w:p>
          <w:p w14:paraId="23AED545" w14:textId="77777777" w:rsidR="003C1A63" w:rsidRPr="00485F66" w:rsidRDefault="003C1A63" w:rsidP="005016AF">
            <w:pPr>
              <w:pStyle w:val="ListParagraph"/>
              <w:numPr>
                <w:ilvl w:val="0"/>
                <w:numId w:val="11"/>
              </w:numPr>
              <w:ind w:left="720"/>
              <w:rPr>
                <w:sz w:val="20"/>
                <w:szCs w:val="20"/>
              </w:rPr>
            </w:pPr>
            <w:r w:rsidRPr="00485F66">
              <w:rPr>
                <w:sz w:val="20"/>
                <w:szCs w:val="20"/>
              </w:rPr>
              <w:t xml:space="preserve">Epinephrine injection 1 mg (as hydrochloride or hydrogen tartrate) in 1- mL ampoule </w:t>
            </w:r>
          </w:p>
          <w:p w14:paraId="05387A62" w14:textId="77777777" w:rsidR="003C1A63" w:rsidRPr="00485F66" w:rsidRDefault="003C1A63" w:rsidP="008B2E0A">
            <w:pPr>
              <w:rPr>
                <w:sz w:val="20"/>
                <w:szCs w:val="20"/>
              </w:rPr>
            </w:pPr>
          </w:p>
          <w:p w14:paraId="62BBAB8F" w14:textId="77777777" w:rsidR="003C1A63" w:rsidRPr="00485F66" w:rsidRDefault="003C1A63" w:rsidP="005016AF">
            <w:pPr>
              <w:pStyle w:val="ListParagraph"/>
              <w:numPr>
                <w:ilvl w:val="0"/>
                <w:numId w:val="11"/>
              </w:numPr>
              <w:ind w:left="720"/>
              <w:rPr>
                <w:sz w:val="20"/>
                <w:szCs w:val="20"/>
              </w:rPr>
            </w:pPr>
            <w:r w:rsidRPr="00485F66">
              <w:rPr>
                <w:sz w:val="20"/>
                <w:szCs w:val="20"/>
              </w:rPr>
              <w:t>Dexamethasone  injection  4 mg/ mL in 1- mL ampoule (as disodium phosphate salt)</w:t>
            </w:r>
          </w:p>
          <w:p w14:paraId="54B1825C" w14:textId="77777777" w:rsidR="003C1A63" w:rsidRPr="00485F66" w:rsidRDefault="003C1A63" w:rsidP="008B2E0A">
            <w:pPr>
              <w:rPr>
                <w:sz w:val="20"/>
                <w:szCs w:val="20"/>
              </w:rPr>
            </w:pPr>
          </w:p>
        </w:tc>
        <w:tc>
          <w:tcPr>
            <w:tcW w:w="1540" w:type="dxa"/>
            <w:noWrap/>
          </w:tcPr>
          <w:p w14:paraId="38E2F577" w14:textId="77777777" w:rsidR="003C1A63" w:rsidRPr="00485F66" w:rsidRDefault="003C1A63" w:rsidP="008B2E0A">
            <w:pPr>
              <w:rPr>
                <w:sz w:val="20"/>
                <w:szCs w:val="20"/>
              </w:rPr>
            </w:pPr>
            <w:r w:rsidRPr="00485F66">
              <w:rPr>
                <w:sz w:val="20"/>
                <w:szCs w:val="20"/>
              </w:rPr>
              <w:t xml:space="preserve">Antiallergics and medicine used in anaphylaxis </w:t>
            </w:r>
          </w:p>
        </w:tc>
        <w:tc>
          <w:tcPr>
            <w:tcW w:w="4820" w:type="dxa"/>
            <w:noWrap/>
          </w:tcPr>
          <w:p w14:paraId="75EF9B3D" w14:textId="77777777" w:rsidR="003C1A63" w:rsidRPr="00485F66" w:rsidRDefault="003C1A63" w:rsidP="008B2E0A">
            <w:pPr>
              <w:rPr>
                <w:sz w:val="20"/>
                <w:szCs w:val="20"/>
              </w:rPr>
            </w:pPr>
            <w:r w:rsidRPr="00485F66">
              <w:rPr>
                <w:b/>
                <w:sz w:val="20"/>
                <w:szCs w:val="20"/>
              </w:rPr>
              <w:t>Rationale:</w:t>
            </w:r>
            <w:r w:rsidRPr="00485F66">
              <w:rPr>
                <w:sz w:val="20"/>
                <w:szCs w:val="20"/>
              </w:rPr>
              <w:t xml:space="preserve"> Epinephrine (adrenaline) is the first line treatment for a severe allergic reaction. During anaphylactic shock, it must be administered through an intramuscular injection.  </w:t>
            </w:r>
          </w:p>
          <w:p w14:paraId="0423582B" w14:textId="77777777" w:rsidR="003C1A63" w:rsidRPr="00485F66" w:rsidRDefault="003C1A63" w:rsidP="008B2E0A">
            <w:pPr>
              <w:rPr>
                <w:sz w:val="20"/>
                <w:szCs w:val="20"/>
              </w:rPr>
            </w:pPr>
            <w:r w:rsidRPr="00485F66">
              <w:rPr>
                <w:sz w:val="20"/>
                <w:szCs w:val="20"/>
              </w:rPr>
              <w:t>Dexamethasone is a corticosteroid that prevents almost all symptoms of inflammation associated with allergy. It can also be used during emergency anaphylactic shock.</w:t>
            </w:r>
          </w:p>
          <w:p w14:paraId="5AFA1767" w14:textId="77777777" w:rsidR="003C1A63" w:rsidRPr="00485F66" w:rsidRDefault="003C1A63" w:rsidP="008B2E0A">
            <w:pPr>
              <w:rPr>
                <w:sz w:val="20"/>
                <w:szCs w:val="20"/>
              </w:rPr>
            </w:pPr>
            <w:r w:rsidRPr="00485F66">
              <w:rPr>
                <w:b/>
                <w:sz w:val="20"/>
                <w:szCs w:val="20"/>
              </w:rPr>
              <w:t xml:space="preserve">Treatment References: </w:t>
            </w:r>
            <w:hyperlink r:id="rId64" w:history="1">
              <w:r w:rsidRPr="00485F66">
                <w:rPr>
                  <w:rStyle w:val="Hyperlink"/>
                  <w:sz w:val="20"/>
                  <w:szCs w:val="20"/>
                </w:rPr>
                <w:t>WHO Antiallergics and Medicine Use in Anaphylaxis</w:t>
              </w:r>
            </w:hyperlink>
            <w:r w:rsidRPr="00485F66">
              <w:rPr>
                <w:b/>
                <w:sz w:val="20"/>
                <w:szCs w:val="20"/>
              </w:rPr>
              <w:t xml:space="preserve"> </w:t>
            </w:r>
          </w:p>
          <w:p w14:paraId="4760A395" w14:textId="77777777" w:rsidR="003C1A63" w:rsidRPr="00485F66" w:rsidRDefault="003C1A63" w:rsidP="008B2E0A">
            <w:pPr>
              <w:rPr>
                <w:b/>
                <w:sz w:val="20"/>
                <w:szCs w:val="20"/>
              </w:rPr>
            </w:pPr>
            <w:r w:rsidRPr="00485F66">
              <w:rPr>
                <w:b/>
                <w:sz w:val="20"/>
                <w:szCs w:val="20"/>
              </w:rPr>
              <w:t>More information in WHO EML 2017 Section Reference:</w:t>
            </w:r>
            <w:r w:rsidRPr="00485F66">
              <w:rPr>
                <w:sz w:val="20"/>
                <w:szCs w:val="20"/>
              </w:rPr>
              <w:t xml:space="preserve"> 3</w:t>
            </w:r>
          </w:p>
        </w:tc>
      </w:tr>
      <w:tr w:rsidR="003C1A63" w:rsidRPr="00485F66" w14:paraId="2E103857" w14:textId="77777777" w:rsidTr="00496A98">
        <w:trPr>
          <w:trHeight w:val="300"/>
        </w:trPr>
        <w:tc>
          <w:tcPr>
            <w:tcW w:w="3970" w:type="dxa"/>
            <w:noWrap/>
          </w:tcPr>
          <w:p w14:paraId="30BE85AE" w14:textId="77777777" w:rsidR="003C1A63" w:rsidRPr="00485F66" w:rsidRDefault="003C1A63" w:rsidP="005016AF">
            <w:pPr>
              <w:pStyle w:val="ListParagraph"/>
              <w:numPr>
                <w:ilvl w:val="0"/>
                <w:numId w:val="15"/>
              </w:numPr>
              <w:rPr>
                <w:sz w:val="20"/>
                <w:szCs w:val="20"/>
              </w:rPr>
            </w:pPr>
            <w:r w:rsidRPr="00485F66">
              <w:rPr>
                <w:sz w:val="20"/>
                <w:szCs w:val="20"/>
              </w:rPr>
              <w:t>Fluconazole (50 mg cap/tab) and</w:t>
            </w:r>
          </w:p>
          <w:p w14:paraId="181B2F11" w14:textId="77777777" w:rsidR="003C1A63" w:rsidRPr="00485F66" w:rsidRDefault="003C1A63" w:rsidP="005016AF">
            <w:pPr>
              <w:pStyle w:val="ListParagraph"/>
              <w:numPr>
                <w:ilvl w:val="0"/>
                <w:numId w:val="15"/>
              </w:numPr>
              <w:rPr>
                <w:sz w:val="20"/>
                <w:szCs w:val="20"/>
              </w:rPr>
            </w:pPr>
            <w:r w:rsidRPr="00485F66">
              <w:rPr>
                <w:sz w:val="20"/>
                <w:szCs w:val="20"/>
              </w:rPr>
              <w:t>Nystatin (tablet 500 000 IU)</w:t>
            </w:r>
          </w:p>
        </w:tc>
        <w:tc>
          <w:tcPr>
            <w:tcW w:w="1540" w:type="dxa"/>
            <w:noWrap/>
          </w:tcPr>
          <w:p w14:paraId="65E96442" w14:textId="77777777" w:rsidR="003C1A63" w:rsidRPr="00485F66" w:rsidRDefault="003C1A63" w:rsidP="008B2E0A">
            <w:pPr>
              <w:rPr>
                <w:bCs/>
                <w:sz w:val="20"/>
                <w:szCs w:val="20"/>
              </w:rPr>
            </w:pPr>
            <w:r w:rsidRPr="00485F66">
              <w:rPr>
                <w:bCs/>
                <w:sz w:val="20"/>
                <w:szCs w:val="20"/>
              </w:rPr>
              <w:t>Anti-fungal drugs</w:t>
            </w:r>
          </w:p>
          <w:p w14:paraId="45B823F3" w14:textId="77777777" w:rsidR="003C1A63" w:rsidRPr="00485F66" w:rsidRDefault="003C1A63" w:rsidP="008B2E0A">
            <w:pPr>
              <w:rPr>
                <w:color w:val="C00000"/>
                <w:sz w:val="20"/>
                <w:szCs w:val="20"/>
              </w:rPr>
            </w:pPr>
          </w:p>
        </w:tc>
        <w:tc>
          <w:tcPr>
            <w:tcW w:w="4820" w:type="dxa"/>
            <w:noWrap/>
          </w:tcPr>
          <w:p w14:paraId="4447F14D" w14:textId="77777777" w:rsidR="003C1A63" w:rsidRPr="00485F66" w:rsidRDefault="003C1A63" w:rsidP="008B2E0A">
            <w:pPr>
              <w:rPr>
                <w:b/>
                <w:sz w:val="20"/>
                <w:szCs w:val="20"/>
              </w:rPr>
            </w:pPr>
            <w:r w:rsidRPr="00485F66">
              <w:rPr>
                <w:b/>
                <w:sz w:val="20"/>
                <w:szCs w:val="20"/>
              </w:rPr>
              <w:t>Rationale:</w:t>
            </w:r>
          </w:p>
          <w:p w14:paraId="1700F084" w14:textId="16B1F2FE" w:rsidR="003C1A63" w:rsidRPr="00485F66" w:rsidRDefault="003C1A63" w:rsidP="008B2E0A">
            <w:pPr>
              <w:rPr>
                <w:bCs/>
                <w:sz w:val="20"/>
                <w:szCs w:val="20"/>
              </w:rPr>
            </w:pPr>
            <w:r w:rsidRPr="00485F66">
              <w:rPr>
                <w:bCs/>
                <w:sz w:val="20"/>
                <w:szCs w:val="20"/>
              </w:rPr>
              <w:t>Nystatin is an antifungal polyene antibiotic that is effective against infections caused by a wide range of yeasts and yeasts-like fungi. It is used for the treatment of oral, oesophageal and intestinal candidosis.</w:t>
            </w:r>
          </w:p>
          <w:p w14:paraId="1A17ADC1" w14:textId="77777777" w:rsidR="003C1A63" w:rsidRPr="00485F66" w:rsidRDefault="003C1A63" w:rsidP="008B2E0A">
            <w:pPr>
              <w:rPr>
                <w:sz w:val="20"/>
                <w:szCs w:val="20"/>
              </w:rPr>
            </w:pPr>
          </w:p>
          <w:p w14:paraId="197188A0" w14:textId="77777777" w:rsidR="003C1A63" w:rsidRPr="00485F66" w:rsidRDefault="003C1A63" w:rsidP="008B2E0A">
            <w:pPr>
              <w:rPr>
                <w:sz w:val="20"/>
                <w:szCs w:val="20"/>
              </w:rPr>
            </w:pPr>
            <w:r w:rsidRPr="00485F66">
              <w:rPr>
                <w:sz w:val="20"/>
                <w:szCs w:val="20"/>
              </w:rPr>
              <w:t>Fluconazole is an orally active imidazole antifungal agent with activity against dermatophytes, yeasts, and other pathogenic fungi.</w:t>
            </w:r>
          </w:p>
          <w:p w14:paraId="30793B09" w14:textId="43C3BFBB" w:rsidR="003C1A63" w:rsidRPr="00485F66" w:rsidRDefault="003C1A63" w:rsidP="008B2E0A">
            <w:pPr>
              <w:rPr>
                <w:sz w:val="20"/>
                <w:szCs w:val="20"/>
              </w:rPr>
            </w:pPr>
            <w:r w:rsidRPr="00485F66">
              <w:rPr>
                <w:sz w:val="20"/>
                <w:szCs w:val="20"/>
              </w:rPr>
              <w:t>It is widely used in the treatment of serious gastrointestinal and systemic mycoses as well as in the management of superficial infections. Fluconazole is also used to prevent fungal infections in immunocompromised patients.</w:t>
            </w:r>
          </w:p>
          <w:p w14:paraId="35DA99F1" w14:textId="77777777" w:rsidR="003C1A63" w:rsidRPr="00485F66" w:rsidRDefault="003C1A63" w:rsidP="008B2E0A">
            <w:pPr>
              <w:rPr>
                <w:bCs/>
                <w:sz w:val="20"/>
                <w:szCs w:val="20"/>
              </w:rPr>
            </w:pPr>
            <w:r w:rsidRPr="00485F66">
              <w:rPr>
                <w:b/>
                <w:sz w:val="20"/>
                <w:szCs w:val="20"/>
              </w:rPr>
              <w:t>Treatment References</w:t>
            </w:r>
            <w:r w:rsidRPr="00485F66">
              <w:rPr>
                <w:bCs/>
                <w:sz w:val="20"/>
                <w:szCs w:val="20"/>
              </w:rPr>
              <w:t xml:space="preserve">: </w:t>
            </w:r>
            <w:hyperlink r:id="rId65" w:history="1">
              <w:r w:rsidRPr="00485F66">
                <w:rPr>
                  <w:rStyle w:val="Hyperlink"/>
                  <w:bCs/>
                  <w:sz w:val="20"/>
                  <w:szCs w:val="20"/>
                </w:rPr>
                <w:t>WHO Model Formulary 2008</w:t>
              </w:r>
            </w:hyperlink>
          </w:p>
          <w:p w14:paraId="1E508BF1" w14:textId="77777777" w:rsidR="003C1A63" w:rsidRPr="00485F66" w:rsidRDefault="008459A4" w:rsidP="008B2E0A">
            <w:pPr>
              <w:rPr>
                <w:bCs/>
                <w:sz w:val="20"/>
                <w:szCs w:val="20"/>
              </w:rPr>
            </w:pPr>
            <w:hyperlink r:id="rId66" w:history="1">
              <w:r w:rsidR="003C1A63" w:rsidRPr="00485F66">
                <w:rPr>
                  <w:rStyle w:val="Hyperlink"/>
                  <w:bCs/>
                  <w:sz w:val="20"/>
                  <w:szCs w:val="20"/>
                </w:rPr>
                <w:t>WHO Model Prescribing Information</w:t>
              </w:r>
            </w:hyperlink>
          </w:p>
          <w:p w14:paraId="13156AC7" w14:textId="77777777" w:rsidR="003C1A63" w:rsidRPr="00485F66" w:rsidRDefault="008459A4" w:rsidP="008B2E0A">
            <w:pPr>
              <w:rPr>
                <w:bCs/>
                <w:sz w:val="20"/>
                <w:szCs w:val="20"/>
              </w:rPr>
            </w:pPr>
            <w:hyperlink r:id="rId67" w:history="1">
              <w:r w:rsidR="003C1A63" w:rsidRPr="00485F66">
                <w:rPr>
                  <w:rStyle w:val="Hyperlink"/>
                  <w:bCs/>
                  <w:sz w:val="20"/>
                  <w:szCs w:val="20"/>
                </w:rPr>
                <w:t>Drugs used in sexually transmitted diseases</w:t>
              </w:r>
            </w:hyperlink>
          </w:p>
          <w:p w14:paraId="37AE200C" w14:textId="77777777" w:rsidR="003C1A63" w:rsidRPr="00485F66" w:rsidRDefault="003C1A63" w:rsidP="008B2E0A">
            <w:pPr>
              <w:rPr>
                <w:b/>
                <w:sz w:val="20"/>
                <w:szCs w:val="20"/>
              </w:rPr>
            </w:pPr>
            <w:r w:rsidRPr="00485F66">
              <w:rPr>
                <w:b/>
                <w:sz w:val="20"/>
                <w:szCs w:val="20"/>
              </w:rPr>
              <w:t>More information in WHO EML 2017 Section Reference:</w:t>
            </w:r>
            <w:r w:rsidRPr="00485F66">
              <w:rPr>
                <w:sz w:val="20"/>
                <w:szCs w:val="20"/>
              </w:rPr>
              <w:t xml:space="preserve"> 6.3</w:t>
            </w:r>
          </w:p>
        </w:tc>
      </w:tr>
      <w:tr w:rsidR="003C1A63" w:rsidRPr="00485F66" w14:paraId="2D1BB5D1" w14:textId="77777777" w:rsidTr="00496A98">
        <w:trPr>
          <w:trHeight w:val="826"/>
        </w:trPr>
        <w:tc>
          <w:tcPr>
            <w:tcW w:w="3970" w:type="dxa"/>
            <w:noWrap/>
          </w:tcPr>
          <w:p w14:paraId="3F4E1C20" w14:textId="77777777" w:rsidR="003C1A63" w:rsidRPr="00485F66" w:rsidRDefault="003C1A63" w:rsidP="008B2E0A">
            <w:pPr>
              <w:rPr>
                <w:sz w:val="20"/>
                <w:szCs w:val="20"/>
              </w:rPr>
            </w:pPr>
            <w:r w:rsidRPr="00485F66">
              <w:rPr>
                <w:sz w:val="20"/>
                <w:szCs w:val="20"/>
              </w:rPr>
              <w:t>Levothyroxine (tablet 50 micrograms)</w:t>
            </w:r>
          </w:p>
        </w:tc>
        <w:tc>
          <w:tcPr>
            <w:tcW w:w="1540" w:type="dxa"/>
            <w:noWrap/>
          </w:tcPr>
          <w:p w14:paraId="3299CC25" w14:textId="77777777" w:rsidR="003C1A63" w:rsidRPr="00485F66" w:rsidRDefault="003C1A63" w:rsidP="008B2E0A">
            <w:pPr>
              <w:rPr>
                <w:sz w:val="20"/>
                <w:szCs w:val="20"/>
              </w:rPr>
            </w:pPr>
            <w:r w:rsidRPr="00485F66">
              <w:rPr>
                <w:sz w:val="20"/>
                <w:szCs w:val="20"/>
              </w:rPr>
              <w:t>Thyroid hormones</w:t>
            </w:r>
          </w:p>
        </w:tc>
        <w:tc>
          <w:tcPr>
            <w:tcW w:w="4820" w:type="dxa"/>
            <w:noWrap/>
          </w:tcPr>
          <w:p w14:paraId="51397D15" w14:textId="77777777" w:rsidR="003C1A63" w:rsidRPr="00485F66" w:rsidRDefault="003C1A63" w:rsidP="008B2E0A">
            <w:pPr>
              <w:rPr>
                <w:b/>
                <w:sz w:val="20"/>
                <w:szCs w:val="20"/>
              </w:rPr>
            </w:pPr>
            <w:r w:rsidRPr="00485F66">
              <w:rPr>
                <w:b/>
                <w:sz w:val="20"/>
                <w:szCs w:val="20"/>
              </w:rPr>
              <w:t>Rationale:</w:t>
            </w:r>
          </w:p>
          <w:p w14:paraId="25808013" w14:textId="77777777" w:rsidR="003C1A63" w:rsidRPr="00485F66" w:rsidRDefault="003C1A63" w:rsidP="008B2E0A">
            <w:pPr>
              <w:rPr>
                <w:bCs/>
                <w:sz w:val="20"/>
                <w:szCs w:val="20"/>
              </w:rPr>
            </w:pPr>
            <w:r w:rsidRPr="00485F66">
              <w:rPr>
                <w:bCs/>
                <w:sz w:val="20"/>
                <w:szCs w:val="20"/>
              </w:rPr>
              <w:t>Levothyroxine is used for the management of hypothyroidism, diffuse non-toxic goitre, Hashimoto thyroiditis and thyroid cancer.</w:t>
            </w:r>
          </w:p>
          <w:p w14:paraId="4DBE0C87" w14:textId="77777777" w:rsidR="003C1A63" w:rsidRPr="00485F66" w:rsidRDefault="003C1A63" w:rsidP="008B2E0A">
            <w:pPr>
              <w:rPr>
                <w:bCs/>
                <w:sz w:val="20"/>
                <w:szCs w:val="20"/>
              </w:rPr>
            </w:pPr>
            <w:r w:rsidRPr="00485F66">
              <w:rPr>
                <w:b/>
                <w:sz w:val="20"/>
                <w:szCs w:val="20"/>
              </w:rPr>
              <w:t>Treatment References</w:t>
            </w:r>
            <w:r w:rsidRPr="00485F66">
              <w:rPr>
                <w:bCs/>
                <w:sz w:val="20"/>
                <w:szCs w:val="20"/>
              </w:rPr>
              <w:t xml:space="preserve">: </w:t>
            </w:r>
            <w:hyperlink r:id="rId68" w:history="1">
              <w:r w:rsidRPr="00485F66">
                <w:rPr>
                  <w:rStyle w:val="Hyperlink"/>
                  <w:bCs/>
                  <w:sz w:val="20"/>
                  <w:szCs w:val="20"/>
                </w:rPr>
                <w:t>WHO Model Formulary 2008</w:t>
              </w:r>
            </w:hyperlink>
          </w:p>
          <w:p w14:paraId="0EF376A8" w14:textId="77777777" w:rsidR="003C1A63" w:rsidRPr="00485F66" w:rsidRDefault="003C1A63" w:rsidP="008B2E0A">
            <w:pPr>
              <w:rPr>
                <w:bCs/>
                <w:sz w:val="20"/>
                <w:szCs w:val="20"/>
              </w:rPr>
            </w:pPr>
            <w:r w:rsidRPr="00485F66">
              <w:rPr>
                <w:b/>
                <w:sz w:val="20"/>
                <w:szCs w:val="20"/>
              </w:rPr>
              <w:t>More information in WHO EML 2017 Section Reference:</w:t>
            </w:r>
            <w:r w:rsidRPr="00485F66">
              <w:rPr>
                <w:sz w:val="20"/>
                <w:szCs w:val="20"/>
              </w:rPr>
              <w:t xml:space="preserve"> 18.8</w:t>
            </w:r>
          </w:p>
        </w:tc>
      </w:tr>
    </w:tbl>
    <w:p w14:paraId="514809F3" w14:textId="77777777" w:rsidR="00FF4D8D" w:rsidRPr="00485F66" w:rsidRDefault="00FF4D8D" w:rsidP="00FF4D8D">
      <w:pPr>
        <w:shd w:val="clear" w:color="auto" w:fill="FFFFFF" w:themeFill="background1"/>
        <w:spacing w:after="0"/>
        <w:jc w:val="both"/>
        <w:rPr>
          <w:rFonts w:eastAsia="Times New Roman" w:cs="Times New Roman"/>
          <w:b/>
          <w:bCs/>
          <w:color w:val="4A4A4A"/>
          <w:lang w:eastAsia="en-GB"/>
        </w:rPr>
      </w:pPr>
      <w:r w:rsidRPr="00485F66">
        <w:rPr>
          <w:rFonts w:eastAsia="Times New Roman" w:cs="Times New Roman"/>
          <w:b/>
          <w:bCs/>
          <w:color w:val="4A4A4A"/>
          <w:lang w:eastAsia="en-GB"/>
        </w:rPr>
        <w:t>*</w:t>
      </w:r>
      <w:r w:rsidRPr="00485F66">
        <w:rPr>
          <w:rFonts w:eastAsia="Times New Roman" w:cs="Times New Roman"/>
          <w:color w:val="4A4A4A"/>
          <w:lang w:eastAsia="en-GB"/>
        </w:rPr>
        <w:t xml:space="preserve"> These additional medicines were suggested for monitoring during the consultations with WHO regional advisers and WHO Member States, however they do not represent major burden of disease in countries and cannot be weighted according to the same procedure as the mandatory list. </w:t>
      </w:r>
    </w:p>
    <w:p w14:paraId="208B4596" w14:textId="77777777" w:rsidR="00647CCF" w:rsidRPr="00485F66" w:rsidRDefault="00647CCF" w:rsidP="00647CCF"/>
    <w:p w14:paraId="09A60325" w14:textId="0DA6F50B" w:rsidR="0074570F" w:rsidRPr="00485F66" w:rsidRDefault="0074570F" w:rsidP="0074570F">
      <w:pPr>
        <w:pBdr>
          <w:top w:val="nil"/>
          <w:left w:val="nil"/>
          <w:bottom w:val="nil"/>
          <w:right w:val="nil"/>
          <w:between w:val="nil"/>
        </w:pBdr>
        <w:spacing w:after="60" w:line="240" w:lineRule="auto"/>
        <w:jc w:val="both"/>
        <w:rPr>
          <w:rFonts w:eastAsia="Cambria Math" w:cs="Cambria Math"/>
          <w:b/>
          <w:color w:val="000000"/>
        </w:rPr>
      </w:pPr>
      <w:r w:rsidRPr="00485F66">
        <w:rPr>
          <w:rFonts w:eastAsia="Cambria Math" w:cs="Cambria Math"/>
          <w:b/>
          <w:color w:val="000000"/>
        </w:rPr>
        <w:t>Table 2. Diseases treated with the medicines in the core list</w:t>
      </w:r>
    </w:p>
    <w:p w14:paraId="5913572C" w14:textId="77777777" w:rsidR="0074570F" w:rsidRPr="00485F66" w:rsidRDefault="0074570F" w:rsidP="0074570F">
      <w:pPr>
        <w:pBdr>
          <w:top w:val="nil"/>
          <w:left w:val="nil"/>
          <w:bottom w:val="nil"/>
          <w:right w:val="nil"/>
          <w:between w:val="nil"/>
        </w:pBdr>
        <w:spacing w:after="60" w:line="240" w:lineRule="auto"/>
        <w:jc w:val="both"/>
        <w:rPr>
          <w:rFonts w:eastAsia="Cambria Math" w:cs="Cambria Math"/>
          <w:b/>
          <w:color w:val="000000"/>
        </w:rPr>
      </w:pPr>
    </w:p>
    <w:tbl>
      <w:tblPr>
        <w:tblStyle w:val="TableGrid"/>
        <w:tblW w:w="10080" w:type="dxa"/>
        <w:tblInd w:w="93" w:type="dxa"/>
        <w:tblBorders>
          <w:insideH w:val="dashSmallGap" w:sz="4" w:space="0" w:color="auto"/>
          <w:insideV w:val="dashSmallGap" w:sz="4" w:space="0" w:color="auto"/>
        </w:tblBorders>
        <w:tblLook w:val="04A0" w:firstRow="1" w:lastRow="0" w:firstColumn="1" w:lastColumn="0" w:noHBand="0" w:noVBand="1"/>
      </w:tblPr>
      <w:tblGrid>
        <w:gridCol w:w="5402"/>
        <w:gridCol w:w="4678"/>
      </w:tblGrid>
      <w:tr w:rsidR="0074570F" w:rsidRPr="00485F66" w14:paraId="22FE9786" w14:textId="77777777" w:rsidTr="00F47F1C">
        <w:trPr>
          <w:trHeight w:val="305"/>
        </w:trPr>
        <w:tc>
          <w:tcPr>
            <w:tcW w:w="5402" w:type="dxa"/>
            <w:vAlign w:val="center"/>
          </w:tcPr>
          <w:p w14:paraId="40D34D9A" w14:textId="77777777" w:rsidR="0074570F" w:rsidRPr="00485F66" w:rsidRDefault="0074570F" w:rsidP="00F47F1C">
            <w:pPr>
              <w:tabs>
                <w:tab w:val="left" w:pos="4693"/>
              </w:tabs>
              <w:jc w:val="center"/>
              <w:rPr>
                <w:rFonts w:ascii="Calibri" w:eastAsia="Times New Roman" w:hAnsi="Calibri" w:cs="Calibri"/>
                <w:b/>
                <w:bCs/>
                <w:color w:val="000000"/>
                <w:sz w:val="24"/>
                <w:szCs w:val="24"/>
              </w:rPr>
            </w:pPr>
            <w:r w:rsidRPr="00485F66">
              <w:rPr>
                <w:rFonts w:ascii="Calibri" w:eastAsia="Times New Roman" w:hAnsi="Calibri" w:cs="Calibri"/>
                <w:b/>
                <w:bCs/>
                <w:color w:val="000000"/>
                <w:sz w:val="24"/>
                <w:szCs w:val="24"/>
              </w:rPr>
              <w:t xml:space="preserve">Medicine name </w:t>
            </w:r>
          </w:p>
        </w:tc>
        <w:tc>
          <w:tcPr>
            <w:tcW w:w="4678" w:type="dxa"/>
            <w:vAlign w:val="center"/>
          </w:tcPr>
          <w:p w14:paraId="0554D867" w14:textId="24ED961F" w:rsidR="0074570F" w:rsidRPr="00485F66" w:rsidRDefault="0074570F" w:rsidP="00F47F1C">
            <w:pPr>
              <w:tabs>
                <w:tab w:val="left" w:pos="4693"/>
              </w:tabs>
              <w:jc w:val="center"/>
              <w:rPr>
                <w:rFonts w:ascii="Calibri" w:eastAsia="Times New Roman" w:hAnsi="Calibri" w:cs="Calibri"/>
                <w:b/>
                <w:bCs/>
                <w:color w:val="000000"/>
                <w:sz w:val="24"/>
                <w:szCs w:val="24"/>
              </w:rPr>
            </w:pPr>
            <w:r w:rsidRPr="00485F66">
              <w:rPr>
                <w:rFonts w:ascii="Calibri" w:eastAsia="Times New Roman" w:hAnsi="Calibri" w:cs="Calibri"/>
                <w:b/>
                <w:bCs/>
                <w:color w:val="000000"/>
                <w:sz w:val="24"/>
                <w:szCs w:val="24"/>
              </w:rPr>
              <w:t>Affiliated disease (code of the diseases</w:t>
            </w:r>
            <w:r w:rsidR="009352BF" w:rsidRPr="00485F66">
              <w:rPr>
                <w:rFonts w:ascii="Calibri" w:eastAsia="Times New Roman" w:hAnsi="Calibri" w:cs="Calibri"/>
                <w:b/>
                <w:bCs/>
                <w:color w:val="000000"/>
                <w:sz w:val="24"/>
                <w:szCs w:val="24"/>
              </w:rPr>
              <w:t xml:space="preserve"> according to the ICD-11 classification</w:t>
            </w:r>
            <w:r w:rsidRPr="00485F66">
              <w:rPr>
                <w:rFonts w:ascii="Calibri" w:eastAsia="Times New Roman" w:hAnsi="Calibri" w:cs="Calibri"/>
                <w:b/>
                <w:bCs/>
                <w:color w:val="000000"/>
                <w:sz w:val="24"/>
                <w:szCs w:val="24"/>
              </w:rPr>
              <w:t xml:space="preserve">) </w:t>
            </w:r>
          </w:p>
        </w:tc>
      </w:tr>
      <w:tr w:rsidR="0074570F" w:rsidRPr="00485F66" w14:paraId="3F5D0B20" w14:textId="77777777" w:rsidTr="00F47F1C">
        <w:trPr>
          <w:trHeight w:val="305"/>
        </w:trPr>
        <w:tc>
          <w:tcPr>
            <w:tcW w:w="5402" w:type="dxa"/>
            <w:vAlign w:val="center"/>
          </w:tcPr>
          <w:p w14:paraId="1C07BAAF"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 xml:space="preserve">Salbutamol </w:t>
            </w:r>
          </w:p>
        </w:tc>
        <w:tc>
          <w:tcPr>
            <w:tcW w:w="4678" w:type="dxa"/>
            <w:vAlign w:val="center"/>
          </w:tcPr>
          <w:p w14:paraId="6F919E98"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Asthma (1190)</w:t>
            </w:r>
          </w:p>
          <w:p w14:paraId="407E10F3"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Chronic obstructive pulmonary disease (1180)</w:t>
            </w:r>
          </w:p>
        </w:tc>
      </w:tr>
      <w:tr w:rsidR="0074570F" w:rsidRPr="00485F66" w14:paraId="3BAA77EE" w14:textId="77777777" w:rsidTr="00F47F1C">
        <w:trPr>
          <w:trHeight w:val="185"/>
        </w:trPr>
        <w:tc>
          <w:tcPr>
            <w:tcW w:w="5402" w:type="dxa"/>
            <w:vAlign w:val="center"/>
          </w:tcPr>
          <w:p w14:paraId="6F80A416"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Beclometasone or other corticosteroid inhaler</w:t>
            </w:r>
          </w:p>
        </w:tc>
        <w:tc>
          <w:tcPr>
            <w:tcW w:w="4678" w:type="dxa"/>
            <w:vAlign w:val="center"/>
          </w:tcPr>
          <w:p w14:paraId="3523DB8D"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Asthma (1190)</w:t>
            </w:r>
          </w:p>
        </w:tc>
      </w:tr>
      <w:tr w:rsidR="0074570F" w:rsidRPr="00485F66" w14:paraId="296A9CD8" w14:textId="77777777" w:rsidTr="00F47F1C">
        <w:trPr>
          <w:trHeight w:val="74"/>
        </w:trPr>
        <w:tc>
          <w:tcPr>
            <w:tcW w:w="5402" w:type="dxa"/>
            <w:vAlign w:val="center"/>
          </w:tcPr>
          <w:p w14:paraId="15C7B8C9"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Gliclazide or other sulfonylurea</w:t>
            </w:r>
          </w:p>
        </w:tc>
        <w:tc>
          <w:tcPr>
            <w:tcW w:w="4678" w:type="dxa"/>
            <w:vMerge w:val="restart"/>
            <w:vAlign w:val="center"/>
          </w:tcPr>
          <w:p w14:paraId="2A08A9E6"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Diabetes mellitus (800)</w:t>
            </w:r>
          </w:p>
        </w:tc>
      </w:tr>
      <w:tr w:rsidR="0074570F" w:rsidRPr="00485F66" w14:paraId="3059DE6E" w14:textId="77777777" w:rsidTr="00F47F1C">
        <w:trPr>
          <w:trHeight w:val="221"/>
        </w:trPr>
        <w:tc>
          <w:tcPr>
            <w:tcW w:w="5402" w:type="dxa"/>
            <w:vAlign w:val="center"/>
          </w:tcPr>
          <w:p w14:paraId="7A0FDE76"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 xml:space="preserve">Metformin </w:t>
            </w:r>
          </w:p>
        </w:tc>
        <w:tc>
          <w:tcPr>
            <w:tcW w:w="4678" w:type="dxa"/>
            <w:vMerge/>
            <w:vAlign w:val="center"/>
          </w:tcPr>
          <w:p w14:paraId="4DD64675"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3745F371" w14:textId="77777777" w:rsidTr="00F47F1C">
        <w:tc>
          <w:tcPr>
            <w:tcW w:w="5402" w:type="dxa"/>
            <w:vAlign w:val="center"/>
          </w:tcPr>
          <w:p w14:paraId="02B6F955"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Insulin regular, soluble</w:t>
            </w:r>
          </w:p>
        </w:tc>
        <w:tc>
          <w:tcPr>
            <w:tcW w:w="4678" w:type="dxa"/>
            <w:vMerge/>
            <w:vAlign w:val="center"/>
          </w:tcPr>
          <w:p w14:paraId="4087DD6A"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5D45FA4F" w14:textId="77777777" w:rsidTr="00F47F1C">
        <w:trPr>
          <w:trHeight w:val="257"/>
        </w:trPr>
        <w:tc>
          <w:tcPr>
            <w:tcW w:w="5402" w:type="dxa"/>
            <w:vAlign w:val="center"/>
          </w:tcPr>
          <w:p w14:paraId="11990EEB" w14:textId="77777777" w:rsidR="0074570F" w:rsidRPr="00485F66" w:rsidRDefault="0074570F" w:rsidP="00F47F1C">
            <w:pPr>
              <w:rPr>
                <w:sz w:val="20"/>
                <w:szCs w:val="20"/>
              </w:rPr>
            </w:pPr>
            <w:r w:rsidRPr="00485F66">
              <w:rPr>
                <w:sz w:val="20"/>
                <w:szCs w:val="20"/>
              </w:rPr>
              <w:t xml:space="preserve">Amlodipine </w:t>
            </w:r>
          </w:p>
        </w:tc>
        <w:tc>
          <w:tcPr>
            <w:tcW w:w="4678" w:type="dxa"/>
            <w:vAlign w:val="center"/>
          </w:tcPr>
          <w:p w14:paraId="37DE112F"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Hypertensive heart disease (1120)</w:t>
            </w:r>
          </w:p>
        </w:tc>
      </w:tr>
      <w:tr w:rsidR="0074570F" w:rsidRPr="00485F66" w14:paraId="72151380" w14:textId="77777777" w:rsidTr="00F47F1C">
        <w:trPr>
          <w:trHeight w:val="343"/>
        </w:trPr>
        <w:tc>
          <w:tcPr>
            <w:tcW w:w="5402" w:type="dxa"/>
            <w:vAlign w:val="center"/>
          </w:tcPr>
          <w:p w14:paraId="60A0986A" w14:textId="77777777" w:rsidR="0074570F" w:rsidRPr="00485F66" w:rsidRDefault="0074570F" w:rsidP="00F47F1C">
            <w:pPr>
              <w:rPr>
                <w:sz w:val="20"/>
                <w:szCs w:val="20"/>
              </w:rPr>
            </w:pPr>
            <w:r w:rsidRPr="00485F66">
              <w:rPr>
                <w:sz w:val="20"/>
                <w:szCs w:val="20"/>
              </w:rPr>
              <w:t xml:space="preserve">Enalapril or other angiotensin converting enzyme inhibitor </w:t>
            </w:r>
          </w:p>
        </w:tc>
        <w:tc>
          <w:tcPr>
            <w:tcW w:w="4678" w:type="dxa"/>
            <w:vMerge w:val="restart"/>
            <w:vAlign w:val="center"/>
          </w:tcPr>
          <w:p w14:paraId="0C04140C"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Hypertensive heart disease (1120)</w:t>
            </w:r>
          </w:p>
          <w:p w14:paraId="1381B54D" w14:textId="77777777" w:rsidR="0074570F" w:rsidRPr="00485F66" w:rsidRDefault="0074570F" w:rsidP="00F47F1C">
            <w:pPr>
              <w:tabs>
                <w:tab w:val="left" w:pos="4693"/>
              </w:tabs>
              <w:rPr>
                <w:rFonts w:ascii="Calibri" w:eastAsia="Times New Roman" w:hAnsi="Calibri" w:cs="Calibri"/>
                <w:b/>
                <w:bCs/>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Cardiomyopathy, myocarditis, endocarditis (1150)</w:t>
            </w:r>
          </w:p>
        </w:tc>
      </w:tr>
      <w:tr w:rsidR="0074570F" w:rsidRPr="00485F66" w14:paraId="32EFF4B2" w14:textId="77777777" w:rsidTr="00F47F1C">
        <w:trPr>
          <w:trHeight w:val="74"/>
        </w:trPr>
        <w:tc>
          <w:tcPr>
            <w:tcW w:w="5402" w:type="dxa"/>
            <w:vAlign w:val="center"/>
          </w:tcPr>
          <w:p w14:paraId="2D9A0F1C" w14:textId="77777777" w:rsidR="0074570F" w:rsidRPr="00485F66" w:rsidRDefault="0074570F" w:rsidP="00F47F1C">
            <w:pPr>
              <w:tabs>
                <w:tab w:val="left" w:pos="4693"/>
              </w:tabs>
              <w:rPr>
                <w:sz w:val="20"/>
                <w:szCs w:val="20"/>
              </w:rPr>
            </w:pPr>
            <w:r w:rsidRPr="00485F66">
              <w:rPr>
                <w:sz w:val="20"/>
                <w:szCs w:val="20"/>
              </w:rPr>
              <w:t>Hydrochlorothiazide or Chlorthalidone</w:t>
            </w:r>
          </w:p>
        </w:tc>
        <w:tc>
          <w:tcPr>
            <w:tcW w:w="4678" w:type="dxa"/>
            <w:vMerge/>
            <w:vAlign w:val="center"/>
          </w:tcPr>
          <w:p w14:paraId="0A427786" w14:textId="77777777" w:rsidR="0074570F" w:rsidRPr="00485F66" w:rsidRDefault="0074570F" w:rsidP="00F47F1C">
            <w:pPr>
              <w:tabs>
                <w:tab w:val="left" w:pos="4693"/>
              </w:tabs>
              <w:rPr>
                <w:rFonts w:ascii="Calibri" w:eastAsia="Times New Roman" w:hAnsi="Calibri" w:cs="Calibri"/>
                <w:b/>
                <w:bCs/>
                <w:color w:val="000000"/>
                <w:sz w:val="20"/>
                <w:szCs w:val="20"/>
              </w:rPr>
            </w:pPr>
          </w:p>
        </w:tc>
      </w:tr>
      <w:tr w:rsidR="0074570F" w:rsidRPr="00485F66" w14:paraId="60F6F957" w14:textId="77777777" w:rsidTr="00F47F1C">
        <w:trPr>
          <w:trHeight w:val="343"/>
        </w:trPr>
        <w:tc>
          <w:tcPr>
            <w:tcW w:w="5402" w:type="dxa"/>
            <w:vAlign w:val="center"/>
          </w:tcPr>
          <w:p w14:paraId="3A8B202A" w14:textId="77777777" w:rsidR="0074570F" w:rsidRPr="00485F66" w:rsidRDefault="0074570F" w:rsidP="00F47F1C">
            <w:pPr>
              <w:tabs>
                <w:tab w:val="left" w:pos="4693"/>
              </w:tabs>
              <w:rPr>
                <w:sz w:val="20"/>
                <w:szCs w:val="20"/>
              </w:rPr>
            </w:pPr>
            <w:r w:rsidRPr="00485F66">
              <w:rPr>
                <w:sz w:val="20"/>
                <w:szCs w:val="20"/>
              </w:rPr>
              <w:t xml:space="preserve">Bisoprolol or alternative betablocker (atenolol or carvedilol or metoprolol only)  </w:t>
            </w:r>
          </w:p>
        </w:tc>
        <w:tc>
          <w:tcPr>
            <w:tcW w:w="4678" w:type="dxa"/>
            <w:vAlign w:val="center"/>
          </w:tcPr>
          <w:p w14:paraId="065DBA63"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Hypertensive heart disease (1120)</w:t>
            </w:r>
          </w:p>
          <w:p w14:paraId="54C4143F"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Ischaemic heart disease (1130)</w:t>
            </w:r>
          </w:p>
          <w:p w14:paraId="01499C24"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Other circulatory diseases (1160)</w:t>
            </w:r>
          </w:p>
          <w:p w14:paraId="7FF7D017" w14:textId="77777777" w:rsidR="0074570F" w:rsidRPr="00485F66" w:rsidRDefault="0074570F" w:rsidP="00F47F1C">
            <w:pPr>
              <w:tabs>
                <w:tab w:val="left" w:pos="4693"/>
              </w:tabs>
              <w:rPr>
                <w:rFonts w:ascii="Calibri" w:eastAsia="Times New Roman" w:hAnsi="Calibri" w:cs="Calibri"/>
                <w:b/>
                <w:bCs/>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Cardiomyopathy, myocarditis, endocarditis (1150)</w:t>
            </w:r>
          </w:p>
        </w:tc>
      </w:tr>
      <w:tr w:rsidR="0074570F" w:rsidRPr="00485F66" w14:paraId="458E2A9D" w14:textId="77777777" w:rsidTr="00F47F1C">
        <w:trPr>
          <w:trHeight w:val="343"/>
        </w:trPr>
        <w:tc>
          <w:tcPr>
            <w:tcW w:w="5402" w:type="dxa"/>
            <w:vAlign w:val="center"/>
          </w:tcPr>
          <w:p w14:paraId="7DC87510" w14:textId="77777777" w:rsidR="0074570F" w:rsidRPr="00485F66" w:rsidRDefault="0074570F" w:rsidP="00F47F1C">
            <w:pPr>
              <w:tabs>
                <w:tab w:val="left" w:pos="4693"/>
              </w:tabs>
              <w:rPr>
                <w:sz w:val="20"/>
                <w:szCs w:val="20"/>
              </w:rPr>
            </w:pPr>
            <w:r w:rsidRPr="00485F66">
              <w:rPr>
                <w:rFonts w:ascii="Calibri" w:eastAsia="Times New Roman" w:hAnsi="Calibri" w:cs="Calibri"/>
                <w:color w:val="000000"/>
                <w:sz w:val="20"/>
                <w:szCs w:val="20"/>
              </w:rPr>
              <w:t xml:space="preserve">Furosemide  </w:t>
            </w:r>
          </w:p>
        </w:tc>
        <w:tc>
          <w:tcPr>
            <w:tcW w:w="4678" w:type="dxa"/>
            <w:vAlign w:val="center"/>
          </w:tcPr>
          <w:p w14:paraId="0E3FEDB0" w14:textId="77777777" w:rsidR="0074570F" w:rsidRPr="00485F66" w:rsidRDefault="0074570F" w:rsidP="00F47F1C">
            <w:pPr>
              <w:tabs>
                <w:tab w:val="left" w:pos="4693"/>
              </w:tabs>
              <w:rPr>
                <w:rFonts w:ascii="Calibri" w:eastAsia="Times New Roman" w:hAnsi="Calibri" w:cs="Calibri"/>
                <w:b/>
                <w:bCs/>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Cardiomyopathy, myocarditis, endocarditis (1150)</w:t>
            </w:r>
          </w:p>
        </w:tc>
      </w:tr>
      <w:tr w:rsidR="0074570F" w:rsidRPr="00485F66" w14:paraId="3073E641" w14:textId="77777777" w:rsidTr="00F47F1C">
        <w:trPr>
          <w:trHeight w:val="343"/>
        </w:trPr>
        <w:tc>
          <w:tcPr>
            <w:tcW w:w="5402" w:type="dxa"/>
            <w:vAlign w:val="center"/>
          </w:tcPr>
          <w:p w14:paraId="7A05B348"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sz w:val="20"/>
                <w:szCs w:val="20"/>
              </w:rPr>
              <w:t xml:space="preserve">Simvastatin or other statin </w:t>
            </w:r>
          </w:p>
        </w:tc>
        <w:tc>
          <w:tcPr>
            <w:tcW w:w="4678" w:type="dxa"/>
            <w:vAlign w:val="center"/>
          </w:tcPr>
          <w:p w14:paraId="47BBC0B9"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Ischaemic heart disease (1130)</w:t>
            </w:r>
          </w:p>
          <w:p w14:paraId="08DD64E2"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Stroke (1140)</w:t>
            </w:r>
          </w:p>
        </w:tc>
      </w:tr>
      <w:tr w:rsidR="0074570F" w:rsidRPr="00485F66" w14:paraId="1A772951" w14:textId="77777777" w:rsidTr="00F47F1C">
        <w:tc>
          <w:tcPr>
            <w:tcW w:w="5402" w:type="dxa"/>
            <w:vAlign w:val="center"/>
          </w:tcPr>
          <w:p w14:paraId="69550F45" w14:textId="77777777" w:rsidR="0074570F" w:rsidRPr="00485F66" w:rsidRDefault="0074570F" w:rsidP="00F47F1C">
            <w:pPr>
              <w:tabs>
                <w:tab w:val="left" w:pos="4693"/>
              </w:tabs>
              <w:rPr>
                <w:sz w:val="20"/>
                <w:szCs w:val="20"/>
              </w:rPr>
            </w:pPr>
            <w:r w:rsidRPr="00485F66">
              <w:rPr>
                <w:rFonts w:ascii="Calibri" w:eastAsia="Times New Roman" w:hAnsi="Calibri" w:cs="Calibri"/>
                <w:color w:val="000000"/>
                <w:sz w:val="20"/>
                <w:szCs w:val="20"/>
              </w:rPr>
              <w:t>Acetylsalicylic acid (aspirin)</w:t>
            </w:r>
          </w:p>
        </w:tc>
        <w:tc>
          <w:tcPr>
            <w:tcW w:w="4678" w:type="dxa"/>
            <w:vAlign w:val="center"/>
          </w:tcPr>
          <w:p w14:paraId="7F37CB17"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Ischaemic heart disease (1130)</w:t>
            </w:r>
          </w:p>
        </w:tc>
      </w:tr>
      <w:tr w:rsidR="0074570F" w:rsidRPr="00485F66" w14:paraId="0991DEFC" w14:textId="77777777" w:rsidTr="00F47F1C">
        <w:tc>
          <w:tcPr>
            <w:tcW w:w="5402" w:type="dxa"/>
            <w:vAlign w:val="center"/>
          </w:tcPr>
          <w:p w14:paraId="6878DAEB"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sz w:val="20"/>
                <w:szCs w:val="20"/>
              </w:rPr>
              <w:t>Morphine</w:t>
            </w:r>
          </w:p>
        </w:tc>
        <w:tc>
          <w:tcPr>
            <w:tcW w:w="4678" w:type="dxa"/>
            <w:vAlign w:val="center"/>
          </w:tcPr>
          <w:p w14:paraId="7F73690C" w14:textId="77777777" w:rsidR="0074570F" w:rsidRPr="00485F66" w:rsidRDefault="0074570F" w:rsidP="00F47F1C">
            <w:pPr>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Malignant neoplasms (610)</w:t>
            </w:r>
          </w:p>
        </w:tc>
      </w:tr>
      <w:tr w:rsidR="0074570F" w:rsidRPr="00485F66" w14:paraId="20C82B05" w14:textId="77777777" w:rsidTr="00F47F1C">
        <w:tc>
          <w:tcPr>
            <w:tcW w:w="5402" w:type="dxa"/>
            <w:vAlign w:val="center"/>
          </w:tcPr>
          <w:p w14:paraId="3C241322"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sz w:val="20"/>
                <w:szCs w:val="20"/>
              </w:rPr>
              <w:t>Paracetamol</w:t>
            </w:r>
          </w:p>
        </w:tc>
        <w:tc>
          <w:tcPr>
            <w:tcW w:w="4678" w:type="dxa"/>
            <w:vAlign w:val="center"/>
          </w:tcPr>
          <w:p w14:paraId="4EFED1EC" w14:textId="77777777" w:rsidR="0074570F" w:rsidRPr="00485F66" w:rsidRDefault="0074570F" w:rsidP="00F47F1C">
            <w:pPr>
              <w:tabs>
                <w:tab w:val="left" w:pos="4693"/>
              </w:tabs>
              <w:rPr>
                <w:rFonts w:ascii="Calibri" w:eastAsia="Times New Roman" w:hAnsi="Calibri" w:cs="Calibri"/>
                <w:color w:val="7F7F7F" w:themeColor="text1" w:themeTint="80"/>
                <w:sz w:val="20"/>
                <w:szCs w:val="20"/>
              </w:rPr>
            </w:pPr>
            <w:r w:rsidRPr="00485F66">
              <w:rPr>
                <w:rFonts w:ascii="Calibri" w:eastAsia="Times New Roman" w:hAnsi="Calibri" w:cs="Calibri"/>
                <w:b/>
                <w:bCs/>
                <w:sz w:val="20"/>
                <w:szCs w:val="20"/>
              </w:rPr>
              <w:t xml:space="preserve">→ </w:t>
            </w:r>
            <w:r w:rsidRPr="00485F66">
              <w:rPr>
                <w:rFonts w:ascii="Calibri" w:eastAsia="Times New Roman" w:hAnsi="Calibri" w:cs="Calibri"/>
                <w:sz w:val="20"/>
                <w:szCs w:val="20"/>
              </w:rPr>
              <w:t>weight =</w:t>
            </w:r>
            <w:r w:rsidRPr="00485F66">
              <w:rPr>
                <w:rFonts w:ascii="Calibri" w:eastAsia="Times New Roman" w:hAnsi="Calibri" w:cs="Calibri"/>
                <w:b/>
                <w:bCs/>
                <w:sz w:val="20"/>
                <w:szCs w:val="20"/>
              </w:rPr>
              <w:t xml:space="preserve"> </w:t>
            </w:r>
            <w:r w:rsidRPr="00485F66">
              <w:rPr>
                <w:rFonts w:ascii="Calibri" w:eastAsia="Times New Roman" w:hAnsi="Calibri" w:cs="Calibri"/>
                <w:sz w:val="20"/>
                <w:szCs w:val="20"/>
              </w:rPr>
              <w:t>1/T</w:t>
            </w:r>
          </w:p>
        </w:tc>
      </w:tr>
      <w:tr w:rsidR="0074570F" w:rsidRPr="00485F66" w14:paraId="7B74BBE8" w14:textId="77777777" w:rsidTr="00F47F1C">
        <w:tc>
          <w:tcPr>
            <w:tcW w:w="5402" w:type="dxa"/>
            <w:vAlign w:val="center"/>
          </w:tcPr>
          <w:p w14:paraId="3A2721F4" w14:textId="77777777" w:rsidR="0074570F" w:rsidRPr="00485F66" w:rsidRDefault="0074570F" w:rsidP="00F47F1C">
            <w:pPr>
              <w:tabs>
                <w:tab w:val="left" w:pos="4693"/>
              </w:tabs>
              <w:rPr>
                <w:rFonts w:asciiTheme="majorHAnsi" w:eastAsiaTheme="majorEastAsia" w:hAnsiTheme="majorHAnsi" w:cstheme="majorBidi"/>
                <w:i/>
                <w:iCs/>
                <w:color w:val="404040" w:themeColor="text1" w:themeTint="BF"/>
                <w:sz w:val="20"/>
                <w:szCs w:val="20"/>
              </w:rPr>
            </w:pPr>
            <w:r w:rsidRPr="00485F66">
              <w:rPr>
                <w:sz w:val="20"/>
                <w:szCs w:val="20"/>
              </w:rPr>
              <w:t>Ibuprofen</w:t>
            </w:r>
          </w:p>
        </w:tc>
        <w:tc>
          <w:tcPr>
            <w:tcW w:w="4678" w:type="dxa"/>
            <w:vAlign w:val="center"/>
          </w:tcPr>
          <w:p w14:paraId="0A4E5DE4" w14:textId="77777777" w:rsidR="0074570F" w:rsidRPr="00485F66" w:rsidRDefault="0074570F" w:rsidP="00F47F1C">
            <w:pPr>
              <w:tabs>
                <w:tab w:val="left" w:pos="4693"/>
              </w:tabs>
              <w:rPr>
                <w:rFonts w:ascii="Calibri" w:eastAsia="Times New Roman" w:hAnsi="Calibri" w:cs="Calibri"/>
                <w:b/>
                <w:bCs/>
                <w:color w:val="7F7F7F" w:themeColor="text1" w:themeTint="80"/>
                <w:sz w:val="20"/>
                <w:szCs w:val="20"/>
              </w:rPr>
            </w:pPr>
            <w:r w:rsidRPr="00485F66">
              <w:rPr>
                <w:rFonts w:ascii="Calibri" w:eastAsia="Times New Roman" w:hAnsi="Calibri" w:cs="Calibri"/>
                <w:b/>
                <w:bCs/>
                <w:sz w:val="20"/>
                <w:szCs w:val="20"/>
              </w:rPr>
              <w:t xml:space="preserve">→ </w:t>
            </w:r>
            <w:r w:rsidRPr="00485F66">
              <w:rPr>
                <w:rFonts w:ascii="Calibri" w:eastAsia="Times New Roman" w:hAnsi="Calibri" w:cs="Calibri"/>
                <w:sz w:val="20"/>
                <w:szCs w:val="20"/>
              </w:rPr>
              <w:t>weight =</w:t>
            </w:r>
            <w:r w:rsidRPr="00485F66">
              <w:rPr>
                <w:rFonts w:ascii="Calibri" w:eastAsia="Times New Roman" w:hAnsi="Calibri" w:cs="Calibri"/>
                <w:b/>
                <w:bCs/>
                <w:sz w:val="20"/>
                <w:szCs w:val="20"/>
              </w:rPr>
              <w:t xml:space="preserve"> </w:t>
            </w:r>
            <w:r w:rsidRPr="00485F66">
              <w:rPr>
                <w:rFonts w:ascii="Calibri" w:eastAsia="Times New Roman" w:hAnsi="Calibri" w:cs="Calibri"/>
                <w:sz w:val="20"/>
                <w:szCs w:val="20"/>
              </w:rPr>
              <w:t>1/T</w:t>
            </w:r>
          </w:p>
        </w:tc>
      </w:tr>
      <w:tr w:rsidR="0074570F" w:rsidRPr="00485F66" w14:paraId="7A7077C0" w14:textId="77777777" w:rsidTr="00F47F1C">
        <w:tc>
          <w:tcPr>
            <w:tcW w:w="5402" w:type="dxa"/>
            <w:vAlign w:val="center"/>
          </w:tcPr>
          <w:p w14:paraId="4859A971" w14:textId="77777777" w:rsidR="0074570F" w:rsidRPr="00485F66" w:rsidRDefault="0074570F" w:rsidP="00F47F1C">
            <w:pPr>
              <w:tabs>
                <w:tab w:val="left" w:pos="4693"/>
              </w:tabs>
              <w:rPr>
                <w:sz w:val="20"/>
                <w:szCs w:val="20"/>
              </w:rPr>
            </w:pPr>
            <w:r w:rsidRPr="00485F66">
              <w:rPr>
                <w:sz w:val="20"/>
                <w:szCs w:val="20"/>
              </w:rPr>
              <w:t xml:space="preserve">Fluoxetine or other selective serotonin reuptake inhibitor </w:t>
            </w:r>
          </w:p>
        </w:tc>
        <w:tc>
          <w:tcPr>
            <w:tcW w:w="4678" w:type="dxa"/>
            <w:vAlign w:val="center"/>
          </w:tcPr>
          <w:p w14:paraId="32C63F20"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Depressive disorders (830)</w:t>
            </w:r>
          </w:p>
        </w:tc>
      </w:tr>
      <w:tr w:rsidR="0074570F" w:rsidRPr="00485F66" w14:paraId="539AE094" w14:textId="77777777" w:rsidTr="00F47F1C">
        <w:tc>
          <w:tcPr>
            <w:tcW w:w="5402" w:type="dxa"/>
            <w:vAlign w:val="center"/>
          </w:tcPr>
          <w:p w14:paraId="47AF0BBE" w14:textId="77777777" w:rsidR="0074570F" w:rsidRPr="00485F66" w:rsidRDefault="0074570F" w:rsidP="00F47F1C">
            <w:pPr>
              <w:tabs>
                <w:tab w:val="left" w:pos="4693"/>
              </w:tabs>
              <w:rPr>
                <w:sz w:val="20"/>
                <w:szCs w:val="20"/>
              </w:rPr>
            </w:pPr>
            <w:r w:rsidRPr="00485F66">
              <w:rPr>
                <w:rFonts w:ascii="Calibri" w:eastAsia="Times New Roman" w:hAnsi="Calibri" w:cs="Calibri"/>
                <w:color w:val="000000"/>
                <w:sz w:val="20"/>
                <w:szCs w:val="20"/>
              </w:rPr>
              <w:t xml:space="preserve">Phenytoin or Carbamazepine </w:t>
            </w:r>
          </w:p>
        </w:tc>
        <w:tc>
          <w:tcPr>
            <w:tcW w:w="4678" w:type="dxa"/>
            <w:vAlign w:val="center"/>
          </w:tcPr>
          <w:p w14:paraId="21624FC4"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Epilepsy (970)</w:t>
            </w:r>
          </w:p>
        </w:tc>
      </w:tr>
      <w:tr w:rsidR="0074570F" w:rsidRPr="00485F66" w14:paraId="4F86B939" w14:textId="77777777" w:rsidTr="00F47F1C">
        <w:tc>
          <w:tcPr>
            <w:tcW w:w="5402" w:type="dxa"/>
            <w:vAlign w:val="center"/>
          </w:tcPr>
          <w:p w14:paraId="77A66774"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Gentamicin</w:t>
            </w:r>
          </w:p>
        </w:tc>
        <w:tc>
          <w:tcPr>
            <w:tcW w:w="4678" w:type="dxa"/>
            <w:vAlign w:val="center"/>
          </w:tcPr>
          <w:p w14:paraId="45DBB73D"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Lower respiratory infections (390)</w:t>
            </w:r>
          </w:p>
          <w:p w14:paraId="191180CB"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Infectious and parasitic diseases (20)</w:t>
            </w:r>
          </w:p>
        </w:tc>
      </w:tr>
      <w:tr w:rsidR="0074570F" w:rsidRPr="00485F66" w14:paraId="709E9612" w14:textId="77777777" w:rsidTr="00F47F1C">
        <w:tc>
          <w:tcPr>
            <w:tcW w:w="5402" w:type="dxa"/>
            <w:vAlign w:val="center"/>
          </w:tcPr>
          <w:p w14:paraId="7E7C9280" w14:textId="77777777" w:rsidR="0074570F" w:rsidRPr="00485F66" w:rsidRDefault="0074570F" w:rsidP="00F47F1C">
            <w:pPr>
              <w:tabs>
                <w:tab w:val="left" w:pos="4693"/>
              </w:tabs>
              <w:rPr>
                <w:rFonts w:ascii="Calibri" w:eastAsia="Times New Roman" w:hAnsi="Calibri" w:cs="Calibri"/>
                <w:i/>
                <w:iCs/>
                <w:color w:val="000000"/>
                <w:sz w:val="20"/>
                <w:szCs w:val="20"/>
              </w:rPr>
            </w:pPr>
            <w:r w:rsidRPr="00485F66">
              <w:rPr>
                <w:rFonts w:ascii="Calibri" w:eastAsia="Times New Roman" w:hAnsi="Calibri" w:cs="Calibri"/>
                <w:color w:val="000000"/>
                <w:sz w:val="20"/>
                <w:szCs w:val="20"/>
              </w:rPr>
              <w:t>Amoxicillin</w:t>
            </w:r>
          </w:p>
        </w:tc>
        <w:tc>
          <w:tcPr>
            <w:tcW w:w="4678" w:type="dxa"/>
            <w:vMerge w:val="restart"/>
            <w:vAlign w:val="center"/>
          </w:tcPr>
          <w:p w14:paraId="0C0D2DB1"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Infectious and parasitic diseases (20)</w:t>
            </w:r>
          </w:p>
        </w:tc>
      </w:tr>
      <w:tr w:rsidR="0074570F" w:rsidRPr="00485F66" w14:paraId="4B1A1A26" w14:textId="77777777" w:rsidTr="00F47F1C">
        <w:trPr>
          <w:trHeight w:val="281"/>
        </w:trPr>
        <w:tc>
          <w:tcPr>
            <w:tcW w:w="5402" w:type="dxa"/>
            <w:vAlign w:val="center"/>
          </w:tcPr>
          <w:p w14:paraId="0EF02847"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Ceftriaxone</w:t>
            </w:r>
          </w:p>
        </w:tc>
        <w:tc>
          <w:tcPr>
            <w:tcW w:w="4678" w:type="dxa"/>
            <w:vMerge/>
            <w:vAlign w:val="center"/>
          </w:tcPr>
          <w:p w14:paraId="2E45E976" w14:textId="77777777" w:rsidR="0074570F" w:rsidRPr="00485F66" w:rsidRDefault="0074570F" w:rsidP="00F47F1C">
            <w:pPr>
              <w:tabs>
                <w:tab w:val="left" w:pos="4693"/>
              </w:tabs>
              <w:rPr>
                <w:rFonts w:ascii="Calibri" w:eastAsia="Times New Roman" w:hAnsi="Calibri" w:cs="Calibri"/>
                <w:b/>
                <w:bCs/>
                <w:color w:val="000000"/>
                <w:sz w:val="20"/>
                <w:szCs w:val="20"/>
              </w:rPr>
            </w:pPr>
          </w:p>
        </w:tc>
      </w:tr>
      <w:tr w:rsidR="0074570F" w:rsidRPr="00485F66" w14:paraId="0CC6C337" w14:textId="77777777" w:rsidTr="00F47F1C">
        <w:tc>
          <w:tcPr>
            <w:tcW w:w="5402" w:type="dxa"/>
            <w:vAlign w:val="center"/>
          </w:tcPr>
          <w:p w14:paraId="436A0C2E"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Procaine benzylpenicillin or Benzathine benzylpenicillin</w:t>
            </w:r>
          </w:p>
        </w:tc>
        <w:tc>
          <w:tcPr>
            <w:tcW w:w="4678" w:type="dxa"/>
            <w:vMerge/>
            <w:vAlign w:val="center"/>
          </w:tcPr>
          <w:p w14:paraId="56621B86"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4565A69C" w14:textId="77777777" w:rsidTr="00F47F1C">
        <w:tc>
          <w:tcPr>
            <w:tcW w:w="5402" w:type="dxa"/>
            <w:vAlign w:val="center"/>
          </w:tcPr>
          <w:p w14:paraId="403BDF29" w14:textId="77777777" w:rsidR="0074570F" w:rsidRPr="00485F66" w:rsidRDefault="0074570F" w:rsidP="00F47F1C">
            <w:pPr>
              <w:pStyle w:val="CommentText"/>
            </w:pPr>
            <w:r w:rsidRPr="00485F66">
              <w:t>Ethinylestradiol + levonorgestrel (or alternative combined oral contraceptive)</w:t>
            </w:r>
          </w:p>
        </w:tc>
        <w:tc>
          <w:tcPr>
            <w:tcW w:w="4678" w:type="dxa"/>
            <w:vMerge w:val="restart"/>
            <w:vAlign w:val="center"/>
          </w:tcPr>
          <w:p w14:paraId="53ECFAFD"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Maternal conditions (420)</w:t>
            </w:r>
          </w:p>
        </w:tc>
      </w:tr>
      <w:tr w:rsidR="0074570F" w:rsidRPr="00485F66" w14:paraId="6179A5F9" w14:textId="77777777" w:rsidTr="00F47F1C">
        <w:tc>
          <w:tcPr>
            <w:tcW w:w="5402" w:type="dxa"/>
            <w:vAlign w:val="center"/>
          </w:tcPr>
          <w:p w14:paraId="67B57B52" w14:textId="77777777" w:rsidR="0074570F" w:rsidRPr="00485F66" w:rsidRDefault="0074570F" w:rsidP="00F47F1C">
            <w:pPr>
              <w:pStyle w:val="CommentText"/>
            </w:pPr>
            <w:r w:rsidRPr="00485F66">
              <w:t xml:space="preserve">Medroxyprogesterone acetate injection </w:t>
            </w:r>
          </w:p>
        </w:tc>
        <w:tc>
          <w:tcPr>
            <w:tcW w:w="4678" w:type="dxa"/>
            <w:vMerge/>
            <w:vAlign w:val="center"/>
          </w:tcPr>
          <w:p w14:paraId="3848F206"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76678ABF" w14:textId="77777777" w:rsidTr="00F47F1C">
        <w:tc>
          <w:tcPr>
            <w:tcW w:w="5402" w:type="dxa"/>
            <w:vAlign w:val="center"/>
          </w:tcPr>
          <w:p w14:paraId="12E11A7A" w14:textId="77777777" w:rsidR="0074570F" w:rsidRPr="00485F66" w:rsidRDefault="0074570F" w:rsidP="00F47F1C">
            <w:pPr>
              <w:pStyle w:val="CommentText"/>
            </w:pPr>
            <w:r w:rsidRPr="00485F66">
              <w:t>Progesterone-releasing implant (etonogestrel or levonorgestrel)</w:t>
            </w:r>
          </w:p>
        </w:tc>
        <w:tc>
          <w:tcPr>
            <w:tcW w:w="4678" w:type="dxa"/>
            <w:vMerge/>
            <w:vAlign w:val="center"/>
          </w:tcPr>
          <w:p w14:paraId="60C165B4"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65140A56" w14:textId="77777777" w:rsidTr="00F47F1C">
        <w:tc>
          <w:tcPr>
            <w:tcW w:w="5402" w:type="dxa"/>
            <w:vAlign w:val="center"/>
          </w:tcPr>
          <w:p w14:paraId="7D42B1DA" w14:textId="77777777" w:rsidR="0074570F" w:rsidRPr="00485F66" w:rsidRDefault="0074570F" w:rsidP="00F47F1C">
            <w:pPr>
              <w:pStyle w:val="CommentText"/>
            </w:pPr>
            <w:r w:rsidRPr="00485F66">
              <w:t>Levonorgestrel</w:t>
            </w:r>
          </w:p>
        </w:tc>
        <w:tc>
          <w:tcPr>
            <w:tcW w:w="4678" w:type="dxa"/>
            <w:vMerge/>
            <w:vAlign w:val="center"/>
          </w:tcPr>
          <w:p w14:paraId="02ADEAC4"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6F72CF50" w14:textId="77777777" w:rsidTr="00F47F1C">
        <w:tc>
          <w:tcPr>
            <w:tcW w:w="5402" w:type="dxa"/>
            <w:vAlign w:val="center"/>
          </w:tcPr>
          <w:p w14:paraId="4CDD7ABB"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Oral rehydration</w:t>
            </w:r>
          </w:p>
        </w:tc>
        <w:tc>
          <w:tcPr>
            <w:tcW w:w="4678" w:type="dxa"/>
            <w:vMerge w:val="restart"/>
            <w:vAlign w:val="center"/>
          </w:tcPr>
          <w:p w14:paraId="67BA4195"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Diarrhoeal diseases (110)</w:t>
            </w:r>
          </w:p>
        </w:tc>
      </w:tr>
      <w:tr w:rsidR="0074570F" w:rsidRPr="00485F66" w14:paraId="5BAF1E34" w14:textId="77777777" w:rsidTr="00F47F1C">
        <w:tc>
          <w:tcPr>
            <w:tcW w:w="5402" w:type="dxa"/>
            <w:vAlign w:val="center"/>
          </w:tcPr>
          <w:p w14:paraId="22881644"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sz w:val="20"/>
                <w:szCs w:val="20"/>
              </w:rPr>
              <w:t>Zinc sulphate</w:t>
            </w:r>
          </w:p>
        </w:tc>
        <w:tc>
          <w:tcPr>
            <w:tcW w:w="4678" w:type="dxa"/>
            <w:vMerge/>
            <w:vAlign w:val="center"/>
          </w:tcPr>
          <w:p w14:paraId="59CAFF40"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487DE36C" w14:textId="77777777" w:rsidTr="00F47F1C">
        <w:tc>
          <w:tcPr>
            <w:tcW w:w="5402" w:type="dxa"/>
            <w:vAlign w:val="center"/>
          </w:tcPr>
          <w:p w14:paraId="68269691"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color w:val="000000"/>
                <w:sz w:val="20"/>
                <w:szCs w:val="20"/>
              </w:rPr>
              <w:t>Oxytocin</w:t>
            </w:r>
          </w:p>
        </w:tc>
        <w:tc>
          <w:tcPr>
            <w:tcW w:w="4678" w:type="dxa"/>
            <w:vAlign w:val="center"/>
          </w:tcPr>
          <w:p w14:paraId="2B6B252C"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Maternal conditions (420)</w:t>
            </w:r>
          </w:p>
        </w:tc>
      </w:tr>
      <w:tr w:rsidR="0074570F" w:rsidRPr="00485F66" w14:paraId="0C230359" w14:textId="77777777" w:rsidTr="00F47F1C">
        <w:tc>
          <w:tcPr>
            <w:tcW w:w="5402" w:type="dxa"/>
            <w:vAlign w:val="center"/>
          </w:tcPr>
          <w:p w14:paraId="208A894B"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sz w:val="20"/>
                <w:szCs w:val="20"/>
              </w:rPr>
              <w:t>Magnesium sulphate</w:t>
            </w:r>
          </w:p>
        </w:tc>
        <w:tc>
          <w:tcPr>
            <w:tcW w:w="4678" w:type="dxa"/>
            <w:vAlign w:val="center"/>
          </w:tcPr>
          <w:p w14:paraId="7DC1BAAA"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Epilepsy (970)</w:t>
            </w:r>
          </w:p>
        </w:tc>
      </w:tr>
      <w:tr w:rsidR="0074570F" w:rsidRPr="00485F66" w14:paraId="5CAEA016" w14:textId="77777777" w:rsidTr="00F47F1C">
        <w:tc>
          <w:tcPr>
            <w:tcW w:w="5402" w:type="dxa"/>
            <w:vAlign w:val="center"/>
          </w:tcPr>
          <w:p w14:paraId="36441CEA"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sz w:val="20"/>
                <w:szCs w:val="20"/>
              </w:rPr>
              <w:t>Folic acid</w:t>
            </w:r>
          </w:p>
        </w:tc>
        <w:tc>
          <w:tcPr>
            <w:tcW w:w="4678" w:type="dxa"/>
            <w:vAlign w:val="center"/>
          </w:tcPr>
          <w:p w14:paraId="6E15FD98" w14:textId="77777777" w:rsidR="0074570F" w:rsidRPr="00485F66" w:rsidRDefault="0074570F"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Iron-deficiency anaemia (580)</w:t>
            </w:r>
          </w:p>
        </w:tc>
      </w:tr>
      <w:tr w:rsidR="0074570F" w:rsidRPr="00485F66" w14:paraId="55C2B4A1" w14:textId="77777777" w:rsidTr="00F47F1C">
        <w:tc>
          <w:tcPr>
            <w:tcW w:w="5402" w:type="dxa"/>
            <w:vAlign w:val="center"/>
          </w:tcPr>
          <w:p w14:paraId="32404D2D" w14:textId="77777777" w:rsidR="0074570F" w:rsidRPr="00485F66" w:rsidRDefault="0074570F" w:rsidP="00F47F1C">
            <w:pPr>
              <w:rPr>
                <w:rFonts w:ascii="Calibri" w:eastAsia="Times New Roman" w:hAnsi="Calibri" w:cs="Calibri"/>
                <w:color w:val="000000"/>
                <w:sz w:val="20"/>
                <w:szCs w:val="20"/>
              </w:rPr>
            </w:pPr>
            <w:r w:rsidRPr="00485F66">
              <w:rPr>
                <w:sz w:val="20"/>
                <w:szCs w:val="20"/>
              </w:rPr>
              <w:t>Artemether+lumefantrine</w:t>
            </w:r>
          </w:p>
        </w:tc>
        <w:tc>
          <w:tcPr>
            <w:tcW w:w="4678" w:type="dxa"/>
            <w:vMerge w:val="restart"/>
            <w:vAlign w:val="center"/>
          </w:tcPr>
          <w:p w14:paraId="67DD8160" w14:textId="77777777" w:rsidR="0074570F" w:rsidRPr="00485F66" w:rsidRDefault="0074570F" w:rsidP="00F47F1C">
            <w:pPr>
              <w:tabs>
                <w:tab w:val="left" w:pos="4693"/>
              </w:tabs>
              <w:rPr>
                <w:rFonts w:ascii="Calibri"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hAnsi="Calibri" w:cs="Calibri"/>
                <w:color w:val="000000"/>
                <w:sz w:val="20"/>
                <w:szCs w:val="20"/>
              </w:rPr>
              <w:t>Malaria (220)</w:t>
            </w:r>
          </w:p>
          <w:p w14:paraId="37B92B66"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6E71792E" w14:textId="77777777" w:rsidTr="00F47F1C">
        <w:tc>
          <w:tcPr>
            <w:tcW w:w="5402" w:type="dxa"/>
            <w:vAlign w:val="center"/>
          </w:tcPr>
          <w:p w14:paraId="299876C1" w14:textId="77777777" w:rsidR="0074570F" w:rsidRPr="00485F66" w:rsidRDefault="0074570F" w:rsidP="00F47F1C">
            <w:pPr>
              <w:rPr>
                <w:rFonts w:ascii="Calibri" w:eastAsia="Times New Roman" w:hAnsi="Calibri" w:cs="Calibri"/>
                <w:color w:val="000000"/>
                <w:sz w:val="20"/>
                <w:szCs w:val="20"/>
              </w:rPr>
            </w:pPr>
            <w:r w:rsidRPr="00485F66">
              <w:rPr>
                <w:sz w:val="20"/>
                <w:szCs w:val="20"/>
              </w:rPr>
              <w:t>Artesunate+amodiaquine</w:t>
            </w:r>
          </w:p>
        </w:tc>
        <w:tc>
          <w:tcPr>
            <w:tcW w:w="4678" w:type="dxa"/>
            <w:vMerge/>
            <w:vAlign w:val="center"/>
          </w:tcPr>
          <w:p w14:paraId="5910A407"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6807EC02" w14:textId="77777777" w:rsidTr="00F47F1C">
        <w:tc>
          <w:tcPr>
            <w:tcW w:w="5402" w:type="dxa"/>
            <w:vAlign w:val="center"/>
          </w:tcPr>
          <w:p w14:paraId="1242D559" w14:textId="77777777" w:rsidR="0074570F" w:rsidRPr="00485F66" w:rsidRDefault="0074570F" w:rsidP="00F47F1C">
            <w:pPr>
              <w:rPr>
                <w:rFonts w:ascii="Calibri" w:eastAsia="Times New Roman" w:hAnsi="Calibri" w:cs="Calibri"/>
                <w:color w:val="000000"/>
                <w:sz w:val="20"/>
                <w:szCs w:val="20"/>
              </w:rPr>
            </w:pPr>
            <w:r w:rsidRPr="00485F66">
              <w:rPr>
                <w:sz w:val="20"/>
                <w:szCs w:val="20"/>
              </w:rPr>
              <w:t>Artesunate+mefloquine</w:t>
            </w:r>
          </w:p>
        </w:tc>
        <w:tc>
          <w:tcPr>
            <w:tcW w:w="4678" w:type="dxa"/>
            <w:vMerge/>
            <w:vAlign w:val="center"/>
          </w:tcPr>
          <w:p w14:paraId="28FF5FB8"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31374815" w14:textId="77777777" w:rsidTr="00F47F1C">
        <w:tc>
          <w:tcPr>
            <w:tcW w:w="5402" w:type="dxa"/>
            <w:vAlign w:val="center"/>
          </w:tcPr>
          <w:p w14:paraId="12F60496" w14:textId="77777777" w:rsidR="0074570F" w:rsidRPr="00485F66" w:rsidRDefault="0074570F" w:rsidP="00F47F1C">
            <w:pPr>
              <w:rPr>
                <w:sz w:val="20"/>
                <w:szCs w:val="20"/>
              </w:rPr>
            </w:pPr>
            <w:r w:rsidRPr="00485F66">
              <w:rPr>
                <w:sz w:val="20"/>
                <w:szCs w:val="20"/>
              </w:rPr>
              <w:t>Dihydroartemisinin+piperaquine</w:t>
            </w:r>
          </w:p>
        </w:tc>
        <w:tc>
          <w:tcPr>
            <w:tcW w:w="4678" w:type="dxa"/>
            <w:vMerge/>
            <w:vAlign w:val="center"/>
          </w:tcPr>
          <w:p w14:paraId="031AABA3"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35BC5111" w14:textId="77777777" w:rsidTr="00F47F1C">
        <w:tc>
          <w:tcPr>
            <w:tcW w:w="5402" w:type="dxa"/>
            <w:vAlign w:val="center"/>
          </w:tcPr>
          <w:p w14:paraId="30D52C7E" w14:textId="77777777" w:rsidR="0074570F" w:rsidRPr="00485F66" w:rsidRDefault="0074570F" w:rsidP="00F47F1C">
            <w:pPr>
              <w:tabs>
                <w:tab w:val="right" w:pos="4451"/>
              </w:tabs>
              <w:rPr>
                <w:rFonts w:ascii="Calibri" w:eastAsia="Times New Roman" w:hAnsi="Calibri" w:cs="Calibri"/>
                <w:color w:val="000000"/>
                <w:sz w:val="20"/>
                <w:szCs w:val="20"/>
              </w:rPr>
            </w:pPr>
            <w:r w:rsidRPr="00485F66">
              <w:rPr>
                <w:sz w:val="20"/>
                <w:szCs w:val="20"/>
              </w:rPr>
              <w:t>Artesunate+sulfadoxine-pyrimethamine</w:t>
            </w:r>
          </w:p>
        </w:tc>
        <w:tc>
          <w:tcPr>
            <w:tcW w:w="4678" w:type="dxa"/>
            <w:vMerge/>
            <w:vAlign w:val="center"/>
          </w:tcPr>
          <w:p w14:paraId="7D18A69A"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3B29D201" w14:textId="77777777" w:rsidTr="00F47F1C">
        <w:tc>
          <w:tcPr>
            <w:tcW w:w="5402" w:type="dxa"/>
            <w:vAlign w:val="center"/>
          </w:tcPr>
          <w:p w14:paraId="147EBB0A" w14:textId="77777777" w:rsidR="0074570F" w:rsidRPr="00485F66" w:rsidRDefault="0074570F" w:rsidP="00F47F1C">
            <w:pPr>
              <w:tabs>
                <w:tab w:val="right" w:pos="4451"/>
              </w:tabs>
              <w:rPr>
                <w:rFonts w:ascii="Calibri" w:eastAsia="Times New Roman" w:hAnsi="Calibri" w:cs="Calibri"/>
                <w:color w:val="000000"/>
                <w:sz w:val="20"/>
                <w:szCs w:val="20"/>
              </w:rPr>
            </w:pPr>
            <w:r w:rsidRPr="00485F66">
              <w:rPr>
                <w:sz w:val="20"/>
                <w:szCs w:val="20"/>
              </w:rPr>
              <w:t>Artesunate</w:t>
            </w:r>
          </w:p>
        </w:tc>
        <w:tc>
          <w:tcPr>
            <w:tcW w:w="4678" w:type="dxa"/>
            <w:vMerge/>
            <w:vAlign w:val="center"/>
          </w:tcPr>
          <w:p w14:paraId="5CDA3B82"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2ECCB236" w14:textId="77777777" w:rsidTr="00F47F1C">
        <w:tc>
          <w:tcPr>
            <w:tcW w:w="5402" w:type="dxa"/>
            <w:vAlign w:val="center"/>
          </w:tcPr>
          <w:p w14:paraId="4E6A39CB" w14:textId="77777777" w:rsidR="0074570F" w:rsidRPr="00485F66" w:rsidRDefault="0074570F" w:rsidP="00F47F1C">
            <w:pPr>
              <w:rPr>
                <w:rFonts w:ascii="Calibri" w:eastAsia="Times New Roman" w:hAnsi="Calibri" w:cs="Calibri"/>
                <w:color w:val="000000"/>
                <w:sz w:val="20"/>
                <w:szCs w:val="20"/>
              </w:rPr>
            </w:pPr>
            <w:r w:rsidRPr="00485F66">
              <w:rPr>
                <w:sz w:val="20"/>
                <w:szCs w:val="20"/>
              </w:rPr>
              <w:t>Efavirenz + Emtricitabine + Tenofovir disoproxil fumarate</w:t>
            </w:r>
          </w:p>
        </w:tc>
        <w:tc>
          <w:tcPr>
            <w:tcW w:w="4678" w:type="dxa"/>
            <w:vMerge w:val="restart"/>
            <w:vAlign w:val="center"/>
          </w:tcPr>
          <w:p w14:paraId="5C37FAE2" w14:textId="77777777" w:rsidR="0074570F" w:rsidRPr="00485F66" w:rsidRDefault="0074570F" w:rsidP="00F47F1C">
            <w:pPr>
              <w:rPr>
                <w:rFonts w:ascii="Calibri"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hAnsi="Calibri" w:cs="Calibri"/>
                <w:color w:val="000000"/>
                <w:sz w:val="20"/>
                <w:szCs w:val="20"/>
              </w:rPr>
              <w:t>HIV/AIDS (100)</w:t>
            </w:r>
          </w:p>
          <w:p w14:paraId="6AA09DA5"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74570F" w:rsidRPr="00485F66" w14:paraId="62C22592" w14:textId="77777777" w:rsidTr="00F47F1C">
        <w:tc>
          <w:tcPr>
            <w:tcW w:w="5402" w:type="dxa"/>
            <w:vAlign w:val="center"/>
          </w:tcPr>
          <w:p w14:paraId="7DDD9156" w14:textId="77777777" w:rsidR="0074570F" w:rsidRPr="00485F66" w:rsidRDefault="0074570F" w:rsidP="00F47F1C">
            <w:pPr>
              <w:tabs>
                <w:tab w:val="right" w:pos="4451"/>
              </w:tabs>
              <w:rPr>
                <w:rFonts w:ascii="Calibri" w:eastAsia="Times New Roman" w:hAnsi="Calibri" w:cs="Calibri"/>
                <w:color w:val="000000"/>
                <w:sz w:val="20"/>
                <w:szCs w:val="20"/>
              </w:rPr>
            </w:pPr>
            <w:r w:rsidRPr="00485F66">
              <w:rPr>
                <w:sz w:val="20"/>
                <w:szCs w:val="20"/>
              </w:rPr>
              <w:t xml:space="preserve">Efavirenz + Lamivudine + Tenofovir disoproxil fumarate </w:t>
            </w:r>
          </w:p>
        </w:tc>
        <w:tc>
          <w:tcPr>
            <w:tcW w:w="4678" w:type="dxa"/>
            <w:vMerge/>
            <w:vAlign w:val="center"/>
          </w:tcPr>
          <w:p w14:paraId="381D9AA3" w14:textId="77777777" w:rsidR="0074570F" w:rsidRPr="00485F66" w:rsidRDefault="0074570F" w:rsidP="00F47F1C">
            <w:pPr>
              <w:tabs>
                <w:tab w:val="left" w:pos="4693"/>
              </w:tabs>
              <w:rPr>
                <w:rFonts w:ascii="Calibri" w:eastAsia="Times New Roman" w:hAnsi="Calibri" w:cs="Calibri"/>
                <w:color w:val="000000"/>
                <w:sz w:val="20"/>
                <w:szCs w:val="20"/>
              </w:rPr>
            </w:pPr>
          </w:p>
        </w:tc>
      </w:tr>
      <w:tr w:rsidR="00414AB2" w:rsidRPr="00485F66" w14:paraId="4E8C0BE6" w14:textId="77777777" w:rsidTr="00F47F1C">
        <w:tc>
          <w:tcPr>
            <w:tcW w:w="5402" w:type="dxa"/>
            <w:vAlign w:val="center"/>
          </w:tcPr>
          <w:p w14:paraId="2BD36D60" w14:textId="65B0FA8A" w:rsidR="00414AB2" w:rsidRPr="00485F66" w:rsidRDefault="00414AB2" w:rsidP="00F47F1C">
            <w:pPr>
              <w:tabs>
                <w:tab w:val="right" w:pos="4451"/>
              </w:tabs>
              <w:rPr>
                <w:sz w:val="20"/>
                <w:szCs w:val="20"/>
              </w:rPr>
            </w:pPr>
            <w:r w:rsidRPr="00485F66">
              <w:rPr>
                <w:sz w:val="20"/>
                <w:szCs w:val="20"/>
              </w:rPr>
              <w:t>Chlorhexidine</w:t>
            </w:r>
          </w:p>
        </w:tc>
        <w:tc>
          <w:tcPr>
            <w:tcW w:w="4678" w:type="dxa"/>
            <w:vAlign w:val="center"/>
          </w:tcPr>
          <w:p w14:paraId="6917BBC9" w14:textId="456CA60B" w:rsidR="00414AB2" w:rsidRPr="00485F66" w:rsidRDefault="00B228C9"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Neonatal sepsis and infections (520)</w:t>
            </w:r>
          </w:p>
        </w:tc>
      </w:tr>
      <w:tr w:rsidR="00414AB2" w:rsidRPr="00485F66" w14:paraId="3F9002B6" w14:textId="77777777" w:rsidTr="00F47F1C">
        <w:tc>
          <w:tcPr>
            <w:tcW w:w="5402" w:type="dxa"/>
            <w:vAlign w:val="center"/>
          </w:tcPr>
          <w:p w14:paraId="58B0F3C1" w14:textId="4783905F" w:rsidR="00414AB2" w:rsidRPr="00485F66" w:rsidRDefault="00414AB2" w:rsidP="00F47F1C">
            <w:pPr>
              <w:tabs>
                <w:tab w:val="right" w:pos="4451"/>
              </w:tabs>
              <w:rPr>
                <w:sz w:val="20"/>
                <w:szCs w:val="20"/>
              </w:rPr>
            </w:pPr>
            <w:r w:rsidRPr="00485F66">
              <w:rPr>
                <w:sz w:val="20"/>
                <w:szCs w:val="20"/>
              </w:rPr>
              <w:lastRenderedPageBreak/>
              <w:t>Ready-to-use therapeutic food (RUTF)</w:t>
            </w:r>
          </w:p>
        </w:tc>
        <w:tc>
          <w:tcPr>
            <w:tcW w:w="4678" w:type="dxa"/>
            <w:vAlign w:val="center"/>
          </w:tcPr>
          <w:p w14:paraId="17840A68" w14:textId="2F17432D" w:rsidR="00414AB2" w:rsidRPr="00485F66" w:rsidRDefault="00B228C9"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Nutritional deficiencies (540)</w:t>
            </w:r>
          </w:p>
        </w:tc>
      </w:tr>
      <w:tr w:rsidR="00414AB2" w:rsidRPr="00485F66" w14:paraId="144106D3" w14:textId="77777777" w:rsidTr="00F47F1C">
        <w:tc>
          <w:tcPr>
            <w:tcW w:w="5402" w:type="dxa"/>
            <w:vAlign w:val="center"/>
          </w:tcPr>
          <w:p w14:paraId="0B7C735C" w14:textId="4364A37B" w:rsidR="00414AB2" w:rsidRPr="00485F66" w:rsidRDefault="00B228C9" w:rsidP="00F47F1C">
            <w:pPr>
              <w:tabs>
                <w:tab w:val="right" w:pos="4451"/>
              </w:tabs>
              <w:rPr>
                <w:sz w:val="20"/>
                <w:szCs w:val="20"/>
              </w:rPr>
            </w:pPr>
            <w:r w:rsidRPr="00485F66">
              <w:rPr>
                <w:sz w:val="20"/>
                <w:szCs w:val="20"/>
              </w:rPr>
              <w:t>Isoniazid + pyrazinamide + rifampicin</w:t>
            </w:r>
          </w:p>
        </w:tc>
        <w:tc>
          <w:tcPr>
            <w:tcW w:w="4678" w:type="dxa"/>
            <w:vAlign w:val="center"/>
          </w:tcPr>
          <w:p w14:paraId="40624014" w14:textId="76B90DB9" w:rsidR="00414AB2" w:rsidRPr="00485F66" w:rsidRDefault="00B228C9"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w:t>
            </w:r>
            <w:r w:rsidRPr="00485F66">
              <w:rPr>
                <w:rFonts w:ascii="Calibri" w:eastAsia="Times New Roman" w:hAnsi="Calibri" w:cs="Calibri"/>
                <w:color w:val="000000"/>
                <w:sz w:val="20"/>
                <w:szCs w:val="20"/>
              </w:rPr>
              <w:t xml:space="preserve"> Tuberculosis (30)</w:t>
            </w:r>
          </w:p>
        </w:tc>
      </w:tr>
      <w:tr w:rsidR="00414AB2" w:rsidRPr="00485F66" w14:paraId="55F241D4" w14:textId="77777777" w:rsidTr="00F47F1C">
        <w:tc>
          <w:tcPr>
            <w:tcW w:w="5402" w:type="dxa"/>
            <w:vAlign w:val="center"/>
          </w:tcPr>
          <w:p w14:paraId="67945FA6" w14:textId="1506DC6F" w:rsidR="00414AB2" w:rsidRPr="00485F66" w:rsidRDefault="00B228C9" w:rsidP="00B228C9">
            <w:pPr>
              <w:tabs>
                <w:tab w:val="right" w:pos="4451"/>
              </w:tabs>
              <w:rPr>
                <w:sz w:val="20"/>
                <w:szCs w:val="20"/>
              </w:rPr>
            </w:pPr>
            <w:r w:rsidRPr="00485F66">
              <w:rPr>
                <w:sz w:val="20"/>
                <w:szCs w:val="20"/>
              </w:rPr>
              <w:t>Erythropoiesis - stimulating agents</w:t>
            </w:r>
          </w:p>
        </w:tc>
        <w:tc>
          <w:tcPr>
            <w:tcW w:w="4678" w:type="dxa"/>
            <w:vAlign w:val="center"/>
          </w:tcPr>
          <w:p w14:paraId="422664B5" w14:textId="4BFB8408" w:rsidR="00414AB2" w:rsidRPr="00485F66" w:rsidRDefault="00B228C9" w:rsidP="00F47F1C">
            <w:pPr>
              <w:tabs>
                <w:tab w:val="left" w:pos="4693"/>
              </w:tabs>
              <w:rPr>
                <w:rFonts w:ascii="Calibri" w:eastAsia="Times New Roman" w:hAnsi="Calibri" w:cs="Calibri"/>
                <w:color w:val="000000"/>
                <w:sz w:val="20"/>
                <w:szCs w:val="20"/>
              </w:rPr>
            </w:pPr>
            <w:r w:rsidRPr="00485F66">
              <w:rPr>
                <w:rFonts w:ascii="Calibri" w:eastAsia="Times New Roman" w:hAnsi="Calibri" w:cs="Calibri"/>
                <w:b/>
                <w:bCs/>
                <w:color w:val="000000"/>
                <w:sz w:val="20"/>
                <w:szCs w:val="20"/>
              </w:rPr>
              <w:t xml:space="preserve">→ </w:t>
            </w:r>
            <w:r w:rsidRPr="00485F66">
              <w:rPr>
                <w:rFonts w:ascii="Calibri" w:eastAsia="Times New Roman" w:hAnsi="Calibri" w:cs="Calibri"/>
                <w:color w:val="000000"/>
                <w:sz w:val="20"/>
                <w:szCs w:val="20"/>
              </w:rPr>
              <w:t>Other chronic kidney disease (1273)</w:t>
            </w:r>
          </w:p>
        </w:tc>
      </w:tr>
      <w:tr w:rsidR="0074570F" w:rsidRPr="00485F66" w14:paraId="1C61234C" w14:textId="77777777" w:rsidTr="00F47F1C">
        <w:tc>
          <w:tcPr>
            <w:tcW w:w="10080" w:type="dxa"/>
            <w:gridSpan w:val="2"/>
            <w:vAlign w:val="center"/>
          </w:tcPr>
          <w:p w14:paraId="4D284162" w14:textId="77777777" w:rsidR="0074570F" w:rsidRPr="00485F66" w:rsidRDefault="0074570F" w:rsidP="00F47F1C">
            <w:pPr>
              <w:tabs>
                <w:tab w:val="left" w:pos="4693"/>
              </w:tabs>
              <w:jc w:val="center"/>
              <w:rPr>
                <w:rFonts w:ascii="Calibri" w:eastAsia="Times New Roman" w:hAnsi="Calibri" w:cs="Calibri"/>
                <w:color w:val="000000"/>
                <w:sz w:val="20"/>
                <w:szCs w:val="20"/>
              </w:rPr>
            </w:pPr>
            <w:r w:rsidRPr="00485F66">
              <w:rPr>
                <w:bCs/>
                <w:color w:val="C00000"/>
                <w:sz w:val="20"/>
                <w:szCs w:val="20"/>
              </w:rPr>
              <w:t>Suggested for monitoring (optional)</w:t>
            </w:r>
          </w:p>
        </w:tc>
      </w:tr>
      <w:tr w:rsidR="0074570F" w:rsidRPr="00485F66" w14:paraId="3AB91B4B" w14:textId="77777777" w:rsidTr="00F47F1C">
        <w:tc>
          <w:tcPr>
            <w:tcW w:w="5402" w:type="dxa"/>
            <w:vAlign w:val="center"/>
          </w:tcPr>
          <w:p w14:paraId="5593D427" w14:textId="77777777" w:rsidR="0074570F" w:rsidRPr="00485F66" w:rsidRDefault="0074570F" w:rsidP="00F47F1C">
            <w:pPr>
              <w:rPr>
                <w:rFonts w:ascii="Calibri" w:eastAsia="Times New Roman" w:hAnsi="Calibri" w:cs="Calibri"/>
                <w:color w:val="000000"/>
                <w:sz w:val="20"/>
                <w:szCs w:val="20"/>
              </w:rPr>
            </w:pPr>
            <w:r w:rsidRPr="00485F66">
              <w:rPr>
                <w:sz w:val="20"/>
                <w:szCs w:val="20"/>
              </w:rPr>
              <w:t xml:space="preserve">Epinephrine or Dexamethasone  </w:t>
            </w:r>
          </w:p>
        </w:tc>
        <w:tc>
          <w:tcPr>
            <w:tcW w:w="4678" w:type="dxa"/>
            <w:vMerge w:val="restart"/>
            <w:vAlign w:val="center"/>
          </w:tcPr>
          <w:p w14:paraId="233EC931" w14:textId="77777777" w:rsidR="0074570F" w:rsidRPr="00485F66" w:rsidRDefault="0074570F" w:rsidP="00F47F1C">
            <w:pPr>
              <w:tabs>
                <w:tab w:val="left" w:pos="4693"/>
              </w:tabs>
              <w:rPr>
                <w:rFonts w:ascii="Calibri" w:eastAsia="Times New Roman" w:hAnsi="Calibri" w:cs="Calibri"/>
                <w:b/>
                <w:bCs/>
                <w:color w:val="000000"/>
                <w:sz w:val="20"/>
                <w:szCs w:val="20"/>
              </w:rPr>
            </w:pPr>
            <w:r w:rsidRPr="00485F66">
              <w:rPr>
                <w:rFonts w:ascii="Calibri" w:eastAsia="Times New Roman" w:hAnsi="Calibri" w:cs="Calibri"/>
                <w:b/>
                <w:bCs/>
                <w:sz w:val="20"/>
                <w:szCs w:val="20"/>
              </w:rPr>
              <w:t xml:space="preserve">→ </w:t>
            </w:r>
            <w:r w:rsidRPr="00485F66">
              <w:rPr>
                <w:rFonts w:ascii="Calibri" w:eastAsia="Times New Roman" w:hAnsi="Calibri" w:cs="Calibri"/>
                <w:sz w:val="20"/>
                <w:szCs w:val="20"/>
              </w:rPr>
              <w:t>weight =</w:t>
            </w:r>
            <w:r w:rsidRPr="00485F66">
              <w:rPr>
                <w:rFonts w:ascii="Calibri" w:eastAsia="Times New Roman" w:hAnsi="Calibri" w:cs="Calibri"/>
                <w:b/>
                <w:bCs/>
                <w:sz w:val="20"/>
                <w:szCs w:val="20"/>
              </w:rPr>
              <w:t xml:space="preserve"> 0.5*(</w:t>
            </w:r>
            <w:r w:rsidRPr="00485F66">
              <w:rPr>
                <w:rFonts w:ascii="Calibri" w:eastAsia="Times New Roman" w:hAnsi="Calibri" w:cs="Calibri"/>
                <w:sz w:val="20"/>
                <w:szCs w:val="20"/>
              </w:rPr>
              <w:t>1/T)</w:t>
            </w:r>
          </w:p>
        </w:tc>
      </w:tr>
      <w:tr w:rsidR="0074570F" w:rsidRPr="00485F66" w14:paraId="33D912CB" w14:textId="77777777" w:rsidTr="00F47F1C">
        <w:tc>
          <w:tcPr>
            <w:tcW w:w="5402" w:type="dxa"/>
            <w:vAlign w:val="center"/>
          </w:tcPr>
          <w:p w14:paraId="6A58D274" w14:textId="77777777" w:rsidR="0074570F" w:rsidRPr="00485F66" w:rsidRDefault="0074570F" w:rsidP="00F47F1C">
            <w:pPr>
              <w:rPr>
                <w:rFonts w:ascii="Calibri" w:eastAsia="Times New Roman" w:hAnsi="Calibri" w:cs="Calibri"/>
                <w:color w:val="000000"/>
                <w:sz w:val="20"/>
                <w:szCs w:val="20"/>
              </w:rPr>
            </w:pPr>
            <w:r w:rsidRPr="00485F66">
              <w:rPr>
                <w:sz w:val="20"/>
                <w:szCs w:val="20"/>
              </w:rPr>
              <w:t xml:space="preserve">Fluconazole </w:t>
            </w:r>
          </w:p>
        </w:tc>
        <w:tc>
          <w:tcPr>
            <w:tcW w:w="4678" w:type="dxa"/>
            <w:vMerge/>
            <w:vAlign w:val="center"/>
          </w:tcPr>
          <w:p w14:paraId="6C8E8D8C" w14:textId="77777777" w:rsidR="0074570F" w:rsidRPr="00485F66" w:rsidRDefault="0074570F" w:rsidP="00F47F1C">
            <w:pPr>
              <w:tabs>
                <w:tab w:val="left" w:pos="4693"/>
              </w:tabs>
              <w:rPr>
                <w:rFonts w:ascii="Calibri" w:eastAsia="Times New Roman" w:hAnsi="Calibri" w:cs="Calibri"/>
                <w:b/>
                <w:bCs/>
                <w:color w:val="000000"/>
                <w:sz w:val="20"/>
                <w:szCs w:val="20"/>
              </w:rPr>
            </w:pPr>
          </w:p>
        </w:tc>
      </w:tr>
      <w:tr w:rsidR="0074570F" w:rsidRPr="00485F66" w14:paraId="69330FC6" w14:textId="77777777" w:rsidTr="00F47F1C">
        <w:tc>
          <w:tcPr>
            <w:tcW w:w="5402" w:type="dxa"/>
            <w:vAlign w:val="center"/>
          </w:tcPr>
          <w:p w14:paraId="29B2D4FB" w14:textId="77777777" w:rsidR="0074570F" w:rsidRPr="00485F66" w:rsidRDefault="0074570F" w:rsidP="00F47F1C">
            <w:pPr>
              <w:tabs>
                <w:tab w:val="right" w:pos="4451"/>
              </w:tabs>
              <w:rPr>
                <w:rFonts w:ascii="Calibri" w:eastAsia="Times New Roman" w:hAnsi="Calibri" w:cs="Calibri"/>
                <w:color w:val="000000"/>
                <w:sz w:val="20"/>
                <w:szCs w:val="20"/>
              </w:rPr>
            </w:pPr>
            <w:r w:rsidRPr="00485F66">
              <w:rPr>
                <w:sz w:val="20"/>
                <w:szCs w:val="20"/>
              </w:rPr>
              <w:t>Nystatin</w:t>
            </w:r>
          </w:p>
        </w:tc>
        <w:tc>
          <w:tcPr>
            <w:tcW w:w="4678" w:type="dxa"/>
            <w:vMerge/>
            <w:vAlign w:val="center"/>
          </w:tcPr>
          <w:p w14:paraId="4CA175DA" w14:textId="77777777" w:rsidR="0074570F" w:rsidRPr="00485F66" w:rsidRDefault="0074570F" w:rsidP="00F47F1C">
            <w:pPr>
              <w:tabs>
                <w:tab w:val="left" w:pos="4693"/>
              </w:tabs>
              <w:rPr>
                <w:rFonts w:ascii="Calibri" w:eastAsia="Times New Roman" w:hAnsi="Calibri" w:cs="Calibri"/>
                <w:b/>
                <w:bCs/>
                <w:color w:val="000000"/>
                <w:sz w:val="20"/>
                <w:szCs w:val="20"/>
              </w:rPr>
            </w:pPr>
          </w:p>
        </w:tc>
      </w:tr>
      <w:tr w:rsidR="0074570F" w:rsidRPr="00485F66" w14:paraId="530F1C22" w14:textId="77777777" w:rsidTr="00F47F1C">
        <w:tc>
          <w:tcPr>
            <w:tcW w:w="5402" w:type="dxa"/>
            <w:vAlign w:val="center"/>
          </w:tcPr>
          <w:p w14:paraId="66F10821" w14:textId="77777777" w:rsidR="0074570F" w:rsidRPr="00485F66" w:rsidRDefault="0074570F" w:rsidP="00F47F1C">
            <w:pPr>
              <w:tabs>
                <w:tab w:val="right" w:pos="4451"/>
              </w:tabs>
              <w:rPr>
                <w:rFonts w:ascii="Calibri" w:eastAsia="Times New Roman" w:hAnsi="Calibri" w:cs="Calibri"/>
                <w:color w:val="000000"/>
                <w:sz w:val="20"/>
                <w:szCs w:val="20"/>
              </w:rPr>
            </w:pPr>
            <w:r w:rsidRPr="00485F66">
              <w:rPr>
                <w:sz w:val="20"/>
                <w:szCs w:val="20"/>
              </w:rPr>
              <w:t>Levothyroxine</w:t>
            </w:r>
          </w:p>
        </w:tc>
        <w:tc>
          <w:tcPr>
            <w:tcW w:w="4678" w:type="dxa"/>
            <w:vMerge/>
            <w:vAlign w:val="center"/>
          </w:tcPr>
          <w:p w14:paraId="47D1B4BA" w14:textId="77777777" w:rsidR="0074570F" w:rsidRPr="00485F66" w:rsidRDefault="0074570F" w:rsidP="00F47F1C">
            <w:pPr>
              <w:tabs>
                <w:tab w:val="left" w:pos="4693"/>
              </w:tabs>
              <w:rPr>
                <w:rFonts w:ascii="Calibri" w:eastAsia="Times New Roman" w:hAnsi="Calibri" w:cs="Calibri"/>
                <w:b/>
                <w:bCs/>
                <w:color w:val="000000"/>
                <w:sz w:val="20"/>
                <w:szCs w:val="20"/>
              </w:rPr>
            </w:pPr>
          </w:p>
        </w:tc>
      </w:tr>
    </w:tbl>
    <w:p w14:paraId="4D724326" w14:textId="77777777" w:rsidR="0074570F" w:rsidRPr="00485F66" w:rsidRDefault="0074570F" w:rsidP="0074570F">
      <w:pPr>
        <w:pBdr>
          <w:top w:val="nil"/>
          <w:left w:val="nil"/>
          <w:bottom w:val="nil"/>
          <w:right w:val="nil"/>
          <w:between w:val="nil"/>
        </w:pBdr>
        <w:spacing w:after="160" w:line="259" w:lineRule="auto"/>
        <w:jc w:val="both"/>
        <w:rPr>
          <w:rFonts w:eastAsia="Cambria Math" w:cs="Cambria Math"/>
          <w:color w:val="000000"/>
        </w:rPr>
      </w:pPr>
    </w:p>
    <w:p w14:paraId="071F3239" w14:textId="4FFC9AEC" w:rsidR="00677FB0" w:rsidRPr="00485F66" w:rsidRDefault="00677FB0" w:rsidP="00A63F66"/>
    <w:p w14:paraId="270BE677" w14:textId="77777777" w:rsidR="0074570F" w:rsidRPr="00485F66" w:rsidRDefault="0074570F" w:rsidP="00A63F66"/>
    <w:p w14:paraId="07702682" w14:textId="77777777" w:rsidR="00FF4D8D" w:rsidRPr="00485F66" w:rsidRDefault="00FF4D8D" w:rsidP="00A63F66"/>
    <w:p w14:paraId="398BF9C7" w14:textId="77777777" w:rsidR="00FF4D8D" w:rsidRPr="00485F66" w:rsidRDefault="00FF4D8D" w:rsidP="00A63F66"/>
    <w:p w14:paraId="1D4016BB" w14:textId="77777777" w:rsidR="00FF4D8D" w:rsidRPr="00485F66" w:rsidRDefault="00FF4D8D" w:rsidP="00A63F66"/>
    <w:p w14:paraId="3887EAD0" w14:textId="77777777" w:rsidR="00FF4D8D" w:rsidRPr="00485F66" w:rsidRDefault="00FF4D8D" w:rsidP="00A63F66"/>
    <w:p w14:paraId="3EED6979" w14:textId="3EB4C8CB" w:rsidR="00FF4D8D" w:rsidRPr="00485F66" w:rsidRDefault="00FF4D8D" w:rsidP="00A63F66">
      <w:pPr>
        <w:sectPr w:rsidR="00FF4D8D" w:rsidRPr="00485F66" w:rsidSect="00677FB0">
          <w:pgSz w:w="11906" w:h="16838"/>
          <w:pgMar w:top="1440" w:right="1440" w:bottom="1440" w:left="1440" w:header="720" w:footer="720" w:gutter="0"/>
          <w:cols w:space="720"/>
          <w:docGrid w:linePitch="360"/>
        </w:sectPr>
      </w:pPr>
    </w:p>
    <w:p w14:paraId="28BB49AA" w14:textId="03A50EBC" w:rsidR="006C1A6B" w:rsidRPr="00485F66" w:rsidRDefault="77395C2D" w:rsidP="77395C2D">
      <w:pPr>
        <w:pBdr>
          <w:bottom w:val="single" w:sz="12" w:space="4" w:color="DDDDDD"/>
        </w:pBdr>
        <w:shd w:val="clear" w:color="auto" w:fill="FFFFFF" w:themeFill="background1"/>
        <w:spacing w:after="0"/>
        <w:jc w:val="center"/>
        <w:outlineLvl w:val="2"/>
        <w:rPr>
          <w:rFonts w:eastAsia="Times New Roman" w:cs="Times New Roman"/>
          <w:color w:val="1C75BC"/>
          <w:sz w:val="36"/>
          <w:szCs w:val="36"/>
          <w:lang w:eastAsia="en-GB"/>
        </w:rPr>
      </w:pPr>
      <w:r w:rsidRPr="00485F66">
        <w:rPr>
          <w:rFonts w:eastAsia="Times New Roman" w:cs="Times New Roman"/>
          <w:color w:val="1C75BC"/>
          <w:sz w:val="36"/>
          <w:szCs w:val="36"/>
          <w:lang w:eastAsia="en-GB"/>
        </w:rPr>
        <w:lastRenderedPageBreak/>
        <w:t>Annex 2.</w:t>
      </w:r>
      <w:r w:rsidR="006C1A6B" w:rsidRPr="00485F66">
        <w:rPr>
          <w:rFonts w:eastAsia="Times New Roman" w:cs="Times New Roman"/>
          <w:color w:val="1C75BC"/>
          <w:sz w:val="36"/>
          <w:szCs w:val="36"/>
          <w:lang w:eastAsia="en-GB"/>
        </w:rPr>
        <w:t xml:space="preserve"> Calculation of weights</w:t>
      </w:r>
    </w:p>
    <w:p w14:paraId="32147E20" w14:textId="77777777" w:rsidR="006C1A6B" w:rsidRPr="00485F66" w:rsidRDefault="006C1A6B" w:rsidP="006C1A6B">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Weights are region-specific, and the sum of the weights assigned to medicines in the basket is always equal to “1” in a given region. Since some of the medicines are weighted not according to the DALYs but according to the formula in points iii. and iv. above, the weights have to be normalized so that their sum is equal to “1”.</w:t>
      </w:r>
    </w:p>
    <w:p w14:paraId="573761DF" w14:textId="77777777" w:rsidR="006C1A6B" w:rsidRPr="00485F66" w:rsidRDefault="006C1A6B" w:rsidP="006C1A6B">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WHO regional data on disease burden is computed and published for 5-year intervals (e.g. 2000, 2005, 2010 and 2015 for now). As a result, </w:t>
      </w:r>
      <w:r w:rsidRPr="00485F66">
        <w:t>for data points falling between the reference years for which DALY estimates are available the closest reference year is used to calculate medicines’ weights</w:t>
      </w:r>
      <w:r w:rsidRPr="00485F66">
        <w:rPr>
          <w:rFonts w:eastAsia="Cambria Math" w:cs="Cambria Math"/>
          <w:color w:val="000000"/>
        </w:rPr>
        <w:t xml:space="preserve"> (either previous or following) (</w:t>
      </w:r>
      <w:r w:rsidRPr="00485F66">
        <w:rPr>
          <w:rFonts w:eastAsia="Cambria Math" w:cs="Cambria Math"/>
          <w:i/>
          <w:iCs/>
          <w:color w:val="000000"/>
        </w:rPr>
        <w:t>Figure 1</w:t>
      </w:r>
      <w:r w:rsidRPr="00485F66">
        <w:rPr>
          <w:rFonts w:eastAsia="Cambria Math" w:cs="Cambria Math"/>
          <w:color w:val="000000"/>
        </w:rPr>
        <w:t xml:space="preserve">). </w:t>
      </w:r>
    </w:p>
    <w:p w14:paraId="02B29676" w14:textId="729AC99C" w:rsidR="006C1A6B" w:rsidRPr="00485F66" w:rsidRDefault="006C1A6B" w:rsidP="006C1A6B">
      <w:pPr>
        <w:pBdr>
          <w:top w:val="nil"/>
          <w:left w:val="nil"/>
          <w:bottom w:val="nil"/>
          <w:right w:val="nil"/>
          <w:between w:val="nil"/>
        </w:pBdr>
        <w:spacing w:after="120" w:line="240" w:lineRule="auto"/>
        <w:jc w:val="center"/>
        <w:rPr>
          <w:rFonts w:eastAsia="Cambria Math" w:cs="Cambria Math"/>
          <w:noProof/>
          <w:color w:val="000000"/>
          <w:lang w:val="en-US"/>
        </w:rPr>
      </w:pPr>
      <w:r w:rsidRPr="00485F66">
        <w:rPr>
          <w:rFonts w:eastAsia="Cambria Math" w:cs="Cambria Math"/>
          <w:color w:val="000000"/>
        </w:rPr>
        <w:t xml:space="preserve">Figure </w:t>
      </w:r>
      <w:r w:rsidR="0024416D" w:rsidRPr="00485F66">
        <w:rPr>
          <w:rFonts w:eastAsia="Cambria Math" w:cs="Cambria Math"/>
          <w:color w:val="000000"/>
        </w:rPr>
        <w:t>2.</w:t>
      </w:r>
      <w:r w:rsidRPr="00485F66">
        <w:rPr>
          <w:rFonts w:eastAsia="Cambria Math" w:cs="Cambria Math"/>
          <w:color w:val="000000"/>
        </w:rPr>
        <w:t>1. Selection of data year for computing medicine weights</w:t>
      </w:r>
    </w:p>
    <w:p w14:paraId="1842D64E" w14:textId="77777777" w:rsidR="006C1A6B" w:rsidRPr="00485F66" w:rsidRDefault="006C1A6B" w:rsidP="006C1A6B">
      <w:pPr>
        <w:pBdr>
          <w:top w:val="nil"/>
          <w:left w:val="nil"/>
          <w:bottom w:val="nil"/>
          <w:right w:val="nil"/>
          <w:between w:val="nil"/>
        </w:pBdr>
        <w:spacing w:after="120" w:line="240" w:lineRule="auto"/>
        <w:jc w:val="center"/>
        <w:rPr>
          <w:rFonts w:eastAsia="Cambria Math" w:cs="Cambria Math"/>
          <w:color w:val="000000"/>
        </w:rPr>
      </w:pPr>
      <w:r w:rsidRPr="00485F66">
        <w:rPr>
          <w:rFonts w:eastAsia="Cambria Math" w:cs="Cambria Math"/>
          <w:noProof/>
          <w:color w:val="000000"/>
          <w:lang w:val="en-US"/>
        </w:rPr>
        <w:drawing>
          <wp:inline distT="0" distB="0" distL="0" distR="0" wp14:anchorId="572432F9" wp14:editId="22C453A0">
            <wp:extent cx="4600575" cy="1507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00575" cy="1507356"/>
                    </a:xfrm>
                    <a:prstGeom prst="rect">
                      <a:avLst/>
                    </a:prstGeom>
                    <a:noFill/>
                    <a:ln>
                      <a:noFill/>
                    </a:ln>
                  </pic:spPr>
                </pic:pic>
              </a:graphicData>
            </a:graphic>
          </wp:inline>
        </w:drawing>
      </w:r>
    </w:p>
    <w:p w14:paraId="50729E43" w14:textId="77777777" w:rsidR="006C1A6B" w:rsidRPr="00485F66" w:rsidRDefault="006C1A6B" w:rsidP="006C1A6B">
      <w:pPr>
        <w:pBdr>
          <w:top w:val="nil"/>
          <w:left w:val="nil"/>
          <w:bottom w:val="nil"/>
          <w:right w:val="nil"/>
          <w:between w:val="nil"/>
        </w:pBdr>
        <w:spacing w:after="120" w:line="240" w:lineRule="auto"/>
        <w:jc w:val="both"/>
        <w:rPr>
          <w:rFonts w:eastAsia="Cambria Math" w:cs="Cambria Math"/>
          <w:b/>
          <w:bCs/>
          <w:color w:val="000000"/>
        </w:rPr>
      </w:pPr>
    </w:p>
    <w:p w14:paraId="582E42D6" w14:textId="41B8CB3A" w:rsidR="006C1A6B" w:rsidRPr="00485F66" w:rsidRDefault="006C1A6B" w:rsidP="00C771C8">
      <w:pPr>
        <w:pBdr>
          <w:top w:val="nil"/>
          <w:left w:val="nil"/>
          <w:bottom w:val="nil"/>
          <w:right w:val="nil"/>
          <w:between w:val="nil"/>
        </w:pBdr>
        <w:spacing w:after="120" w:line="240" w:lineRule="auto"/>
        <w:jc w:val="both"/>
        <w:rPr>
          <w:rFonts w:eastAsia="Cambria Math" w:cs="Cambria Math"/>
          <w:color w:val="000000"/>
        </w:rPr>
      </w:pPr>
      <w:r w:rsidRPr="00485F66">
        <w:rPr>
          <w:rFonts w:eastAsia="Cambria Math" w:cs="Cambria Math"/>
          <w:color w:val="000000"/>
        </w:rPr>
        <w:t xml:space="preserve">Two versions of weights are computed: one capturing </w:t>
      </w:r>
      <w:r w:rsidR="00560D7D" w:rsidRPr="00485F66">
        <w:rPr>
          <w:rFonts w:eastAsia="Cambria Math" w:cs="Cambria Math"/>
          <w:color w:val="000000"/>
        </w:rPr>
        <w:t>32</w:t>
      </w:r>
      <w:r w:rsidRPr="00485F66">
        <w:rPr>
          <w:rFonts w:eastAsia="Cambria Math" w:cs="Cambria Math"/>
          <w:color w:val="000000"/>
        </w:rPr>
        <w:t xml:space="preserve"> medicines (excluding optional medicines) and </w:t>
      </w:r>
      <w:r w:rsidR="00560D7D" w:rsidRPr="00485F66">
        <w:rPr>
          <w:rFonts w:eastAsia="Cambria Math" w:cs="Cambria Math"/>
          <w:color w:val="000000"/>
        </w:rPr>
        <w:t xml:space="preserve">the other </w:t>
      </w:r>
      <w:r w:rsidRPr="00485F66">
        <w:rPr>
          <w:rFonts w:eastAsia="Cambria Math" w:cs="Cambria Math"/>
          <w:color w:val="000000"/>
        </w:rPr>
        <w:t>capturing 3</w:t>
      </w:r>
      <w:r w:rsidR="00C771C8" w:rsidRPr="00485F66">
        <w:rPr>
          <w:rFonts w:eastAsia="Cambria Math" w:cs="Cambria Math"/>
          <w:color w:val="000000"/>
        </w:rPr>
        <w:t>6</w:t>
      </w:r>
      <w:r w:rsidRPr="00485F66">
        <w:rPr>
          <w:rFonts w:eastAsia="Cambria Math" w:cs="Cambria Math"/>
          <w:color w:val="000000"/>
        </w:rPr>
        <w:t xml:space="preserve"> medicines (including optional medicines</w:t>
      </w:r>
      <w:r w:rsidRPr="00485F66">
        <w:rPr>
          <w:rFonts w:eastAsia="Cambria Math" w:cs="Cambria Math"/>
          <w:bCs/>
          <w:color w:val="000000"/>
        </w:rPr>
        <w:t>)</w:t>
      </w:r>
      <w:r w:rsidRPr="00485F66">
        <w:rPr>
          <w:rFonts w:eastAsia="Cambria Math" w:cs="Cambria Math"/>
          <w:color w:val="000000"/>
        </w:rPr>
        <w:t>. For countries where the distribution of specific medicines is calculated only in specialized facilities (for example injectable medicines are provided only in hospitals), WHO suggests computing two versions of weights (1 – for pharmacies and other non-tertiary health care facilities based on a shorter list of medicines that exclude the mentioned medicines and 2 – for hospitals that includes the full list of medicines).</w:t>
      </w:r>
    </w:p>
    <w:p w14:paraId="5A6B0FC5" w14:textId="01C6E510" w:rsidR="006C1A6B" w:rsidRPr="00485F66" w:rsidRDefault="006C1A6B" w:rsidP="77395C2D">
      <w:pPr>
        <w:pBdr>
          <w:bottom w:val="single" w:sz="12" w:space="4" w:color="DDDDDD"/>
        </w:pBdr>
        <w:shd w:val="clear" w:color="auto" w:fill="FFFFFF" w:themeFill="background1"/>
        <w:spacing w:after="0"/>
        <w:jc w:val="center"/>
        <w:outlineLvl w:val="2"/>
        <w:rPr>
          <w:rFonts w:eastAsia="Times New Roman" w:cs="Times New Roman"/>
          <w:color w:val="1C75BC"/>
          <w:sz w:val="36"/>
          <w:szCs w:val="36"/>
          <w:lang w:eastAsia="en-GB"/>
        </w:rPr>
      </w:pPr>
    </w:p>
    <w:p w14:paraId="464E37B5" w14:textId="41BBEAA1" w:rsidR="006C1A6B" w:rsidRPr="00485F66" w:rsidRDefault="006C1A6B" w:rsidP="77395C2D">
      <w:pPr>
        <w:pBdr>
          <w:bottom w:val="single" w:sz="12" w:space="4" w:color="DDDDDD"/>
        </w:pBdr>
        <w:shd w:val="clear" w:color="auto" w:fill="FFFFFF" w:themeFill="background1"/>
        <w:spacing w:after="0"/>
        <w:jc w:val="center"/>
        <w:outlineLvl w:val="2"/>
        <w:rPr>
          <w:rFonts w:eastAsia="Times New Roman" w:cs="Times New Roman"/>
          <w:color w:val="1C75BC"/>
          <w:sz w:val="36"/>
          <w:szCs w:val="36"/>
          <w:lang w:eastAsia="en-GB"/>
        </w:rPr>
      </w:pPr>
    </w:p>
    <w:p w14:paraId="61250518" w14:textId="6441450E" w:rsidR="006C1A6B" w:rsidRPr="00485F66" w:rsidRDefault="006C1A6B" w:rsidP="77395C2D">
      <w:pPr>
        <w:pBdr>
          <w:bottom w:val="single" w:sz="12" w:space="4" w:color="DDDDDD"/>
        </w:pBdr>
        <w:shd w:val="clear" w:color="auto" w:fill="FFFFFF" w:themeFill="background1"/>
        <w:spacing w:after="0"/>
        <w:jc w:val="center"/>
        <w:outlineLvl w:val="2"/>
        <w:rPr>
          <w:rFonts w:eastAsia="Times New Roman" w:cs="Times New Roman"/>
          <w:color w:val="1C75BC"/>
          <w:sz w:val="36"/>
          <w:szCs w:val="36"/>
          <w:lang w:eastAsia="en-GB"/>
        </w:rPr>
      </w:pPr>
    </w:p>
    <w:p w14:paraId="37031409" w14:textId="77777777" w:rsidR="006C1A6B" w:rsidRPr="00485F66" w:rsidRDefault="006C1A6B" w:rsidP="77395C2D">
      <w:pPr>
        <w:pBdr>
          <w:bottom w:val="single" w:sz="12" w:space="4" w:color="DDDDDD"/>
        </w:pBdr>
        <w:shd w:val="clear" w:color="auto" w:fill="FFFFFF" w:themeFill="background1"/>
        <w:spacing w:after="0"/>
        <w:jc w:val="center"/>
        <w:outlineLvl w:val="2"/>
        <w:rPr>
          <w:rFonts w:eastAsia="Times New Roman" w:cs="Times New Roman"/>
          <w:color w:val="1C75BC"/>
          <w:sz w:val="36"/>
          <w:szCs w:val="36"/>
          <w:lang w:eastAsia="en-GB"/>
        </w:rPr>
      </w:pPr>
    </w:p>
    <w:p w14:paraId="14B0A44D" w14:textId="77777777" w:rsidR="006C1A6B" w:rsidRPr="00485F66" w:rsidRDefault="006C1A6B" w:rsidP="77395C2D">
      <w:pPr>
        <w:pBdr>
          <w:bottom w:val="single" w:sz="12" w:space="4" w:color="DDDDDD"/>
        </w:pBdr>
        <w:shd w:val="clear" w:color="auto" w:fill="FFFFFF" w:themeFill="background1"/>
        <w:spacing w:after="0"/>
        <w:jc w:val="center"/>
        <w:outlineLvl w:val="2"/>
        <w:rPr>
          <w:rFonts w:eastAsia="Times New Roman" w:cs="Times New Roman"/>
          <w:color w:val="1C75BC"/>
          <w:sz w:val="24"/>
          <w:szCs w:val="36"/>
          <w:lang w:eastAsia="en-GB"/>
        </w:rPr>
        <w:sectPr w:rsidR="006C1A6B" w:rsidRPr="00485F66" w:rsidSect="006C1A6B">
          <w:pgSz w:w="11906" w:h="16838"/>
          <w:pgMar w:top="1440" w:right="1440" w:bottom="1440" w:left="1440" w:header="720" w:footer="720" w:gutter="0"/>
          <w:cols w:space="720"/>
          <w:docGrid w:linePitch="360"/>
        </w:sectPr>
      </w:pPr>
    </w:p>
    <w:p w14:paraId="2AC6F6BC" w14:textId="335666C0" w:rsidR="001E47D9" w:rsidRPr="00485F66" w:rsidRDefault="006C1A6B" w:rsidP="77395C2D">
      <w:pPr>
        <w:pBdr>
          <w:bottom w:val="single" w:sz="12" w:space="4" w:color="DDDDDD"/>
        </w:pBdr>
        <w:shd w:val="clear" w:color="auto" w:fill="FFFFFF" w:themeFill="background1"/>
        <w:spacing w:after="0"/>
        <w:jc w:val="center"/>
        <w:outlineLvl w:val="2"/>
        <w:rPr>
          <w:rFonts w:eastAsia="Times New Roman" w:cs="Times New Roman"/>
          <w:color w:val="1C75BC"/>
          <w:sz w:val="24"/>
          <w:szCs w:val="36"/>
          <w:lang w:eastAsia="en-GB"/>
        </w:rPr>
      </w:pPr>
      <w:r w:rsidRPr="00485F66">
        <w:rPr>
          <w:rFonts w:eastAsia="Times New Roman" w:cs="Times New Roman"/>
          <w:color w:val="1C75BC"/>
          <w:sz w:val="24"/>
          <w:szCs w:val="36"/>
          <w:lang w:eastAsia="en-GB"/>
        </w:rPr>
        <w:lastRenderedPageBreak/>
        <w:t>Table 2.1</w:t>
      </w:r>
      <w:r w:rsidR="77395C2D" w:rsidRPr="00485F66">
        <w:rPr>
          <w:rFonts w:eastAsia="Times New Roman" w:cs="Times New Roman"/>
          <w:color w:val="1C75BC"/>
          <w:sz w:val="24"/>
          <w:szCs w:val="36"/>
          <w:lang w:eastAsia="en-GB"/>
        </w:rPr>
        <w:t>: Region specific weights applied for medicines in a defied basket [</w:t>
      </w:r>
      <w:r w:rsidR="77395C2D" w:rsidRPr="00485F66">
        <w:rPr>
          <w:rFonts w:eastAsia="Times New Roman" w:cs="Times New Roman"/>
          <w:b/>
          <w:bCs/>
          <w:color w:val="1C75BC"/>
          <w:sz w:val="24"/>
          <w:szCs w:val="36"/>
          <w:lang w:eastAsia="en-GB"/>
        </w:rPr>
        <w:t>excluding</w:t>
      </w:r>
      <w:r w:rsidR="77395C2D" w:rsidRPr="00485F66">
        <w:rPr>
          <w:rFonts w:eastAsia="Times New Roman" w:cs="Times New Roman"/>
          <w:color w:val="1C75BC"/>
          <w:sz w:val="24"/>
          <w:szCs w:val="36"/>
          <w:lang w:eastAsia="en-GB"/>
        </w:rPr>
        <w:t xml:space="preserve"> suggested for monitoring (optional) medicines]*</w:t>
      </w:r>
    </w:p>
    <w:p w14:paraId="4A0C82D8" w14:textId="588F3545" w:rsidR="0071203F" w:rsidRPr="00485F66" w:rsidRDefault="001E47D9" w:rsidP="001E47D9">
      <w:pPr>
        <w:tabs>
          <w:tab w:val="left" w:pos="1125"/>
        </w:tabs>
        <w:rPr>
          <w:rFonts w:eastAsia="Times New Roman" w:cs="Times New Roman"/>
          <w:sz w:val="2"/>
          <w:szCs w:val="2"/>
          <w:lang w:eastAsia="en-GB"/>
        </w:rPr>
      </w:pPr>
      <w:r w:rsidRPr="00485F66">
        <w:rPr>
          <w:rFonts w:eastAsia="Times New Roman" w:cs="Times New Roman"/>
          <w:sz w:val="36"/>
          <w:szCs w:val="36"/>
          <w:lang w:eastAsia="en-GB"/>
        </w:rPr>
        <w:tab/>
        <w:t xml:space="preserve">  </w:t>
      </w:r>
      <w:r w:rsidR="00A35C62" w:rsidRPr="00485F66">
        <w:rPr>
          <w:noProof/>
          <w:lang w:val="en-US"/>
        </w:rPr>
        <w:drawing>
          <wp:inline distT="0" distB="0" distL="0" distR="0" wp14:anchorId="5E21FE16" wp14:editId="1F0A4B0D">
            <wp:extent cx="8863330" cy="4026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863330" cy="4026302"/>
                    </a:xfrm>
                    <a:prstGeom prst="rect">
                      <a:avLst/>
                    </a:prstGeom>
                    <a:noFill/>
                    <a:ln>
                      <a:noFill/>
                    </a:ln>
                  </pic:spPr>
                </pic:pic>
              </a:graphicData>
            </a:graphic>
          </wp:inline>
        </w:drawing>
      </w:r>
      <w:r w:rsidRPr="00485F66">
        <w:rPr>
          <w:rFonts w:eastAsia="Times New Roman" w:cs="Times New Roman"/>
          <w:sz w:val="36"/>
          <w:szCs w:val="36"/>
          <w:lang w:eastAsia="en-GB"/>
        </w:rPr>
        <w:t xml:space="preserve"> </w:t>
      </w:r>
      <w:r w:rsidRPr="00485F66">
        <w:rPr>
          <w:rFonts w:eastAsia="Times New Roman" w:cs="Times New Roman"/>
          <w:sz w:val="2"/>
          <w:szCs w:val="2"/>
          <w:lang w:eastAsia="en-GB"/>
        </w:rPr>
        <w:t xml:space="preserve">      </w:t>
      </w:r>
      <w:r w:rsidR="00A23FA7" w:rsidRPr="00485F66" w:rsidDel="00A23FA7">
        <w:t xml:space="preserve"> </w:t>
      </w:r>
    </w:p>
    <w:p w14:paraId="2DAA0F86" w14:textId="672B110B" w:rsidR="00D535A0" w:rsidRPr="00485F66" w:rsidRDefault="0071203F" w:rsidP="00560D7D">
      <w:pPr>
        <w:tabs>
          <w:tab w:val="left" w:pos="1125"/>
        </w:tabs>
      </w:pPr>
      <w:r w:rsidRPr="00485F66">
        <w:rPr>
          <w:sz w:val="16"/>
          <w:szCs w:val="16"/>
        </w:rPr>
        <w:t xml:space="preserve">Weights for </w:t>
      </w:r>
      <w:r w:rsidR="00560D7D" w:rsidRPr="00485F66">
        <w:rPr>
          <w:sz w:val="16"/>
          <w:szCs w:val="16"/>
        </w:rPr>
        <w:t>32</w:t>
      </w:r>
      <w:r w:rsidRPr="00485F66">
        <w:rPr>
          <w:sz w:val="16"/>
          <w:szCs w:val="16"/>
        </w:rPr>
        <w:t xml:space="preserve"> medicines are computed. Where several medicines or combinations of medicines are specified (listed with “OR”), one medicine has to be selected for the further computation of the SDG indicator.</w:t>
      </w:r>
      <w:r w:rsidR="00867748" w:rsidRPr="00485F66">
        <w:rPr>
          <w:noProof/>
          <w:lang w:val="en-US"/>
        </w:rPr>
        <w:t xml:space="preserve"> </w:t>
      </w:r>
      <w:r w:rsidR="00867748" w:rsidRPr="00485F66">
        <w:rPr>
          <w:noProof/>
          <w:lang w:val="en-US"/>
        </w:rPr>
        <w:drawing>
          <wp:inline distT="0" distB="0" distL="0" distR="0" wp14:anchorId="599B5E56" wp14:editId="4CEE72D6">
            <wp:extent cx="2126512" cy="713666"/>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133433" cy="715989"/>
                    </a:xfrm>
                    <a:prstGeom prst="rect">
                      <a:avLst/>
                    </a:prstGeom>
                    <a:noFill/>
                    <a:extLst/>
                  </pic:spPr>
                </pic:pic>
              </a:graphicData>
            </a:graphic>
          </wp:inline>
        </w:drawing>
      </w:r>
    </w:p>
    <w:p w14:paraId="2E48B583" w14:textId="35FF8106" w:rsidR="00032F80" w:rsidRPr="00485F66" w:rsidRDefault="006C1A6B" w:rsidP="00C771C8">
      <w:pPr>
        <w:pBdr>
          <w:bottom w:val="single" w:sz="12" w:space="5" w:color="DDDDDD"/>
        </w:pBdr>
        <w:shd w:val="clear" w:color="auto" w:fill="FFFFFF" w:themeFill="background1"/>
        <w:spacing w:after="0"/>
        <w:jc w:val="center"/>
        <w:outlineLvl w:val="2"/>
        <w:sectPr w:rsidR="00032F80" w:rsidRPr="00485F66" w:rsidSect="001D0905">
          <w:pgSz w:w="16838" w:h="11906" w:orient="landscape"/>
          <w:pgMar w:top="1440" w:right="1440" w:bottom="1440" w:left="1440" w:header="720" w:footer="720" w:gutter="0"/>
          <w:cols w:space="720"/>
          <w:docGrid w:linePitch="360"/>
        </w:sectPr>
      </w:pPr>
      <w:r w:rsidRPr="00485F66">
        <w:rPr>
          <w:rFonts w:eastAsia="Times New Roman" w:cs="Times New Roman"/>
          <w:color w:val="1C75BC"/>
          <w:sz w:val="24"/>
          <w:szCs w:val="36"/>
          <w:lang w:eastAsia="en-GB"/>
        </w:rPr>
        <w:lastRenderedPageBreak/>
        <w:t>Table</w:t>
      </w:r>
      <w:r w:rsidR="00D535A0" w:rsidRPr="00485F66">
        <w:rPr>
          <w:rFonts w:eastAsia="Times New Roman" w:cs="Times New Roman"/>
          <w:color w:val="1C75BC"/>
          <w:sz w:val="24"/>
          <w:szCs w:val="36"/>
          <w:lang w:eastAsia="en-GB"/>
        </w:rPr>
        <w:t xml:space="preserve"> 2.</w:t>
      </w:r>
      <w:r w:rsidR="003330EE" w:rsidRPr="00485F66">
        <w:rPr>
          <w:rFonts w:eastAsia="Times New Roman" w:cs="Times New Roman"/>
          <w:color w:val="1C75BC"/>
          <w:sz w:val="24"/>
          <w:szCs w:val="36"/>
          <w:lang w:eastAsia="en-GB"/>
        </w:rPr>
        <w:t>2</w:t>
      </w:r>
      <w:r w:rsidR="00D535A0" w:rsidRPr="00485F66">
        <w:rPr>
          <w:rFonts w:eastAsia="Times New Roman" w:cs="Times New Roman"/>
          <w:color w:val="1C75BC"/>
          <w:sz w:val="24"/>
          <w:szCs w:val="36"/>
          <w:lang w:eastAsia="en-GB"/>
        </w:rPr>
        <w:t xml:space="preserve">: Region specific weights applied for medicines in a defied basket </w:t>
      </w:r>
      <w:r w:rsidR="00D535A0" w:rsidRPr="00485F66">
        <w:rPr>
          <w:rFonts w:eastAsia="Times New Roman"/>
          <w:color w:val="1C75BC"/>
          <w:sz w:val="24"/>
          <w:szCs w:val="36"/>
          <w:lang w:eastAsia="en-GB"/>
        </w:rPr>
        <w:t>[</w:t>
      </w:r>
      <w:r w:rsidR="00D535A0" w:rsidRPr="00485F66">
        <w:rPr>
          <w:rFonts w:eastAsia="Times New Roman" w:cs="Times New Roman"/>
          <w:b/>
          <w:bCs/>
          <w:color w:val="1C75BC"/>
          <w:sz w:val="24"/>
          <w:szCs w:val="36"/>
          <w:lang w:eastAsia="en-GB"/>
        </w:rPr>
        <w:t>including</w:t>
      </w:r>
      <w:r w:rsidR="00D535A0" w:rsidRPr="00485F66">
        <w:rPr>
          <w:rFonts w:eastAsia="Times New Roman" w:cs="Times New Roman"/>
          <w:color w:val="1C75BC"/>
          <w:sz w:val="24"/>
          <w:szCs w:val="36"/>
          <w:lang w:eastAsia="en-GB"/>
        </w:rPr>
        <w:t xml:space="preserve"> suggested for monitoring (optional) medicines</w:t>
      </w:r>
      <w:r w:rsidR="00D535A0" w:rsidRPr="00485F66">
        <w:rPr>
          <w:rFonts w:eastAsia="Times New Roman"/>
          <w:color w:val="1C75BC"/>
          <w:sz w:val="24"/>
          <w:szCs w:val="36"/>
          <w:lang w:eastAsia="en-GB"/>
        </w:rPr>
        <w:t>]</w:t>
      </w:r>
      <w:r w:rsidR="00A353E5" w:rsidRPr="00485F66">
        <w:rPr>
          <w:rFonts w:eastAsia="Times New Roman"/>
          <w:color w:val="1C75BC"/>
          <w:sz w:val="24"/>
          <w:szCs w:val="36"/>
          <w:lang w:eastAsia="en-GB"/>
        </w:rPr>
        <w:t xml:space="preserve"> </w:t>
      </w:r>
      <w:r w:rsidR="00A353E5" w:rsidRPr="00485F66" w:rsidDel="00A353E5">
        <w:t xml:space="preserve"> </w:t>
      </w:r>
      <w:r w:rsidR="00C771C8" w:rsidRPr="00485F66">
        <w:rPr>
          <w:noProof/>
          <w:lang w:val="en-US"/>
        </w:rPr>
        <w:drawing>
          <wp:inline distT="0" distB="0" distL="0" distR="0" wp14:anchorId="215E07F3" wp14:editId="31A97538">
            <wp:extent cx="8863330" cy="4461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863330" cy="4461488"/>
                    </a:xfrm>
                    <a:prstGeom prst="rect">
                      <a:avLst/>
                    </a:prstGeom>
                    <a:noFill/>
                    <a:ln>
                      <a:noFill/>
                    </a:ln>
                  </pic:spPr>
                </pic:pic>
              </a:graphicData>
            </a:graphic>
          </wp:inline>
        </w:drawing>
      </w:r>
      <w:r w:rsidR="00032F80" w:rsidRPr="00485F66">
        <w:rPr>
          <w:sz w:val="20"/>
          <w:szCs w:val="20"/>
        </w:rPr>
        <w:t>*</w:t>
      </w:r>
      <w:r w:rsidR="00032F80" w:rsidRPr="00485F66">
        <w:rPr>
          <w:sz w:val="16"/>
          <w:szCs w:val="16"/>
        </w:rPr>
        <w:t>Weights for 3</w:t>
      </w:r>
      <w:r w:rsidR="00C771C8" w:rsidRPr="00485F66">
        <w:rPr>
          <w:sz w:val="16"/>
          <w:szCs w:val="16"/>
        </w:rPr>
        <w:t>6</w:t>
      </w:r>
      <w:r w:rsidR="00032F80" w:rsidRPr="00485F66">
        <w:rPr>
          <w:sz w:val="16"/>
          <w:szCs w:val="16"/>
        </w:rPr>
        <w:t xml:space="preserve"> medicines are computed. Where several medicines or combinations of medicines are specified (listed with “OR”), one medicine has to be selected for the further c</w:t>
      </w:r>
      <w:r w:rsidR="00963228" w:rsidRPr="00485F66">
        <w:rPr>
          <w:sz w:val="16"/>
          <w:szCs w:val="16"/>
        </w:rPr>
        <w:t>omputation of the SDG indicato</w:t>
      </w:r>
      <w:r w:rsidR="00B626E2" w:rsidRPr="00485F66">
        <w:rPr>
          <w:sz w:val="16"/>
          <w:szCs w:val="16"/>
        </w:rPr>
        <w:t>r.</w:t>
      </w:r>
    </w:p>
    <w:p w14:paraId="31DF6595" w14:textId="519471AB" w:rsidR="00A63F66" w:rsidRPr="00485F66" w:rsidRDefault="00677FB0" w:rsidP="008333B8">
      <w:pPr>
        <w:spacing w:after="0" w:line="240" w:lineRule="auto"/>
        <w:jc w:val="center"/>
        <w:rPr>
          <w:rFonts w:eastAsia="Times New Roman" w:cs="Times New Roman"/>
          <w:color w:val="1C75BC"/>
          <w:sz w:val="36"/>
          <w:szCs w:val="36"/>
          <w:lang w:eastAsia="en-GB"/>
        </w:rPr>
      </w:pPr>
      <w:r w:rsidRPr="00485F66">
        <w:rPr>
          <w:rFonts w:eastAsia="Times New Roman" w:cs="Times New Roman"/>
          <w:color w:val="1C75BC"/>
          <w:sz w:val="36"/>
          <w:szCs w:val="36"/>
          <w:lang w:eastAsia="en-GB"/>
        </w:rPr>
        <w:lastRenderedPageBreak/>
        <w:t>Annex 3: Basket of core set of relevant essential medicines for primary health care: number of units and duration per treatment</w:t>
      </w:r>
    </w:p>
    <w:tbl>
      <w:tblPr>
        <w:tblW w:w="10005" w:type="dxa"/>
        <w:tblInd w:w="93" w:type="dxa"/>
        <w:tblLook w:val="04A0" w:firstRow="1" w:lastRow="0" w:firstColumn="1" w:lastColumn="0" w:noHBand="0" w:noVBand="1"/>
      </w:tblPr>
      <w:tblGrid>
        <w:gridCol w:w="3417"/>
        <w:gridCol w:w="3402"/>
        <w:gridCol w:w="1418"/>
        <w:gridCol w:w="1768"/>
      </w:tblGrid>
      <w:tr w:rsidR="00677FB0" w:rsidRPr="00485F66" w14:paraId="309BAD55" w14:textId="77777777" w:rsidTr="00731BB6">
        <w:trPr>
          <w:trHeight w:val="315"/>
        </w:trPr>
        <w:tc>
          <w:tcPr>
            <w:tcW w:w="3417" w:type="dxa"/>
            <w:tcBorders>
              <w:top w:val="single" w:sz="8" w:space="0" w:color="808080"/>
              <w:left w:val="single" w:sz="8" w:space="0" w:color="808080"/>
              <w:bottom w:val="single" w:sz="8" w:space="0" w:color="808080"/>
              <w:right w:val="single" w:sz="4" w:space="0" w:color="808080"/>
            </w:tcBorders>
            <w:shd w:val="clear" w:color="auto" w:fill="auto"/>
            <w:noWrap/>
            <w:vAlign w:val="bottom"/>
            <w:hideMark/>
          </w:tcPr>
          <w:p w14:paraId="1AEEA4F6" w14:textId="77777777" w:rsidR="00677FB0" w:rsidRPr="00485F66" w:rsidRDefault="00677FB0" w:rsidP="008333B8">
            <w:pPr>
              <w:spacing w:after="0" w:line="240" w:lineRule="auto"/>
              <w:rPr>
                <w:rFonts w:ascii="10" w:eastAsia="Times New Roman" w:hAnsi="10" w:cs="Calibri"/>
                <w:b/>
                <w:bCs/>
                <w:color w:val="000000"/>
                <w:u w:val="single"/>
                <w:lang w:val="en-US"/>
              </w:rPr>
            </w:pPr>
            <w:r w:rsidRPr="00485F66">
              <w:rPr>
                <w:rFonts w:ascii="10" w:eastAsia="Times New Roman" w:hAnsi="10" w:cs="Calibri"/>
                <w:b/>
                <w:bCs/>
                <w:color w:val="000000"/>
                <w:u w:val="single"/>
                <w:lang w:val="en-US"/>
              </w:rPr>
              <w:t>Medicine</w:t>
            </w:r>
          </w:p>
        </w:tc>
        <w:tc>
          <w:tcPr>
            <w:tcW w:w="3402" w:type="dxa"/>
            <w:tcBorders>
              <w:top w:val="single" w:sz="8" w:space="0" w:color="808080"/>
              <w:left w:val="nil"/>
              <w:bottom w:val="single" w:sz="8" w:space="0" w:color="808080"/>
              <w:right w:val="single" w:sz="4" w:space="0" w:color="808080"/>
            </w:tcBorders>
            <w:shd w:val="clear" w:color="auto" w:fill="auto"/>
            <w:noWrap/>
            <w:vAlign w:val="bottom"/>
            <w:hideMark/>
          </w:tcPr>
          <w:p w14:paraId="503B2272" w14:textId="77777777" w:rsidR="00677FB0" w:rsidRPr="00485F66" w:rsidRDefault="00677FB0" w:rsidP="008333B8">
            <w:pPr>
              <w:spacing w:after="0" w:line="240" w:lineRule="auto"/>
              <w:rPr>
                <w:rFonts w:ascii="10" w:eastAsia="Times New Roman" w:hAnsi="10" w:cs="Calibri"/>
                <w:b/>
                <w:bCs/>
                <w:color w:val="000000"/>
                <w:u w:val="single"/>
                <w:lang w:val="en-US"/>
              </w:rPr>
            </w:pPr>
            <w:r w:rsidRPr="00485F66">
              <w:rPr>
                <w:rFonts w:ascii="10" w:eastAsia="Times New Roman" w:hAnsi="10" w:cs="Calibri"/>
                <w:b/>
                <w:bCs/>
                <w:color w:val="000000"/>
                <w:u w:val="single"/>
                <w:lang w:val="en-US"/>
              </w:rPr>
              <w:t>Dose</w:t>
            </w:r>
          </w:p>
        </w:tc>
        <w:tc>
          <w:tcPr>
            <w:tcW w:w="1418" w:type="dxa"/>
            <w:tcBorders>
              <w:top w:val="single" w:sz="8" w:space="0" w:color="808080"/>
              <w:left w:val="nil"/>
              <w:bottom w:val="single" w:sz="8" w:space="0" w:color="808080"/>
              <w:right w:val="single" w:sz="4" w:space="0" w:color="808080"/>
            </w:tcBorders>
            <w:shd w:val="clear" w:color="auto" w:fill="auto"/>
            <w:noWrap/>
            <w:vAlign w:val="bottom"/>
            <w:hideMark/>
          </w:tcPr>
          <w:p w14:paraId="07A54848" w14:textId="77777777" w:rsidR="00677FB0" w:rsidRPr="00485F66" w:rsidRDefault="00677FB0" w:rsidP="008333B8">
            <w:pPr>
              <w:spacing w:after="0" w:line="240" w:lineRule="auto"/>
              <w:rPr>
                <w:rFonts w:ascii="10" w:eastAsia="Times New Roman" w:hAnsi="10" w:cs="Calibri"/>
                <w:b/>
                <w:bCs/>
                <w:color w:val="000000"/>
                <w:u w:val="single"/>
                <w:lang w:val="en-US"/>
              </w:rPr>
            </w:pPr>
            <w:r w:rsidRPr="00485F66">
              <w:rPr>
                <w:rFonts w:ascii="10" w:eastAsia="Times New Roman" w:hAnsi="10" w:cs="Calibri"/>
                <w:b/>
                <w:bCs/>
                <w:color w:val="000000"/>
                <w:u w:val="single"/>
                <w:lang w:val="en-US"/>
              </w:rPr>
              <w:t>Duration</w:t>
            </w:r>
          </w:p>
        </w:tc>
        <w:tc>
          <w:tcPr>
            <w:tcW w:w="1768" w:type="dxa"/>
            <w:tcBorders>
              <w:top w:val="single" w:sz="8" w:space="0" w:color="808080"/>
              <w:left w:val="nil"/>
              <w:bottom w:val="single" w:sz="8" w:space="0" w:color="808080"/>
              <w:right w:val="single" w:sz="8" w:space="0" w:color="808080"/>
            </w:tcBorders>
            <w:shd w:val="clear" w:color="auto" w:fill="auto"/>
            <w:noWrap/>
            <w:vAlign w:val="bottom"/>
            <w:hideMark/>
          </w:tcPr>
          <w:p w14:paraId="6AD2B5F7" w14:textId="77777777" w:rsidR="00677FB0" w:rsidRPr="00485F66" w:rsidRDefault="00677FB0" w:rsidP="008333B8">
            <w:pPr>
              <w:spacing w:after="0" w:line="240" w:lineRule="auto"/>
              <w:rPr>
                <w:rFonts w:ascii="10" w:eastAsia="Times New Roman" w:hAnsi="10" w:cs="Calibri"/>
                <w:b/>
                <w:bCs/>
                <w:color w:val="000000"/>
                <w:u w:val="single"/>
                <w:lang w:val="en-US"/>
              </w:rPr>
            </w:pPr>
            <w:r w:rsidRPr="00485F66">
              <w:rPr>
                <w:rFonts w:ascii="10" w:eastAsia="Times New Roman" w:hAnsi="10" w:cs="Calibri"/>
                <w:b/>
                <w:bCs/>
                <w:color w:val="000000"/>
                <w:u w:val="single"/>
                <w:lang w:val="en-US"/>
              </w:rPr>
              <w:t>Units</w:t>
            </w:r>
          </w:p>
        </w:tc>
      </w:tr>
      <w:tr w:rsidR="00677FB0" w:rsidRPr="00485F66" w14:paraId="35CE76BD" w14:textId="77777777" w:rsidTr="00731BB6">
        <w:trPr>
          <w:trHeight w:val="173"/>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F555F3B" w14:textId="77777777" w:rsidR="00677FB0" w:rsidRPr="00485F66" w:rsidRDefault="00677FB0" w:rsidP="008333B8">
            <w:pPr>
              <w:spacing w:after="0" w:line="240" w:lineRule="auto"/>
              <w:rPr>
                <w:sz w:val="20"/>
                <w:szCs w:val="20"/>
              </w:rPr>
            </w:pPr>
            <w:r w:rsidRPr="00485F66">
              <w:rPr>
                <w:sz w:val="20"/>
                <w:szCs w:val="20"/>
              </w:rPr>
              <w:t xml:space="preserve">Salbutamol </w:t>
            </w:r>
          </w:p>
        </w:tc>
        <w:tc>
          <w:tcPr>
            <w:tcW w:w="3402" w:type="dxa"/>
            <w:tcBorders>
              <w:top w:val="nil"/>
              <w:left w:val="nil"/>
              <w:bottom w:val="single" w:sz="4" w:space="0" w:color="808080"/>
              <w:right w:val="single" w:sz="4" w:space="0" w:color="808080"/>
            </w:tcBorders>
            <w:shd w:val="clear" w:color="auto" w:fill="auto"/>
            <w:noWrap/>
            <w:vAlign w:val="bottom"/>
            <w:hideMark/>
          </w:tcPr>
          <w:p w14:paraId="693353F7" w14:textId="77777777" w:rsidR="00677FB0" w:rsidRPr="00485F66" w:rsidRDefault="00677FB0" w:rsidP="008333B8">
            <w:pPr>
              <w:spacing w:after="0" w:line="240" w:lineRule="auto"/>
              <w:rPr>
                <w:sz w:val="20"/>
                <w:szCs w:val="20"/>
              </w:rPr>
            </w:pPr>
            <w:r w:rsidRPr="00485F66">
              <w:rPr>
                <w:sz w:val="20"/>
                <w:szCs w:val="20"/>
              </w:rPr>
              <w:t>100 mcg/dose inhaler</w:t>
            </w:r>
          </w:p>
        </w:tc>
        <w:tc>
          <w:tcPr>
            <w:tcW w:w="1418" w:type="dxa"/>
            <w:tcBorders>
              <w:top w:val="nil"/>
              <w:left w:val="nil"/>
              <w:bottom w:val="single" w:sz="4" w:space="0" w:color="808080"/>
              <w:right w:val="single" w:sz="4" w:space="0" w:color="808080"/>
            </w:tcBorders>
            <w:shd w:val="clear" w:color="auto" w:fill="auto"/>
            <w:noWrap/>
            <w:vAlign w:val="bottom"/>
            <w:hideMark/>
          </w:tcPr>
          <w:p w14:paraId="71291C65"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51333D96"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332F68EE"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4CAE02EE" w14:textId="77777777" w:rsidR="00677FB0" w:rsidRPr="00485F66" w:rsidRDefault="00677FB0" w:rsidP="008333B8">
            <w:pPr>
              <w:spacing w:after="0" w:line="240" w:lineRule="auto"/>
              <w:rPr>
                <w:sz w:val="20"/>
                <w:szCs w:val="20"/>
              </w:rPr>
            </w:pPr>
            <w:r w:rsidRPr="00485F66">
              <w:rPr>
                <w:sz w:val="20"/>
                <w:szCs w:val="20"/>
              </w:rPr>
              <w:t xml:space="preserve">Beclometasone </w:t>
            </w:r>
          </w:p>
        </w:tc>
        <w:tc>
          <w:tcPr>
            <w:tcW w:w="3402" w:type="dxa"/>
            <w:tcBorders>
              <w:top w:val="nil"/>
              <w:left w:val="nil"/>
              <w:bottom w:val="single" w:sz="4" w:space="0" w:color="808080"/>
              <w:right w:val="single" w:sz="4" w:space="0" w:color="808080"/>
            </w:tcBorders>
            <w:shd w:val="clear" w:color="auto" w:fill="auto"/>
            <w:noWrap/>
            <w:vAlign w:val="bottom"/>
            <w:hideMark/>
          </w:tcPr>
          <w:p w14:paraId="4AB34F3C" w14:textId="77777777" w:rsidR="00677FB0" w:rsidRPr="00485F66" w:rsidRDefault="00677FB0" w:rsidP="008333B8">
            <w:pPr>
              <w:spacing w:after="0" w:line="240" w:lineRule="auto"/>
              <w:rPr>
                <w:sz w:val="20"/>
                <w:szCs w:val="20"/>
              </w:rPr>
            </w:pPr>
            <w:r w:rsidRPr="00485F66">
              <w:rPr>
                <w:sz w:val="20"/>
                <w:szCs w:val="20"/>
              </w:rPr>
              <w:t>100 mcg/dose inhaler</w:t>
            </w:r>
          </w:p>
        </w:tc>
        <w:tc>
          <w:tcPr>
            <w:tcW w:w="1418" w:type="dxa"/>
            <w:tcBorders>
              <w:top w:val="nil"/>
              <w:left w:val="nil"/>
              <w:bottom w:val="single" w:sz="4" w:space="0" w:color="808080"/>
              <w:right w:val="single" w:sz="4" w:space="0" w:color="808080"/>
            </w:tcBorders>
            <w:shd w:val="clear" w:color="auto" w:fill="auto"/>
            <w:noWrap/>
            <w:vAlign w:val="bottom"/>
            <w:hideMark/>
          </w:tcPr>
          <w:p w14:paraId="5BF3846A"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82BCB9F" w14:textId="77777777" w:rsidR="00677FB0" w:rsidRPr="00485F66" w:rsidRDefault="00677FB0" w:rsidP="008333B8">
            <w:pPr>
              <w:spacing w:after="0" w:line="240" w:lineRule="auto"/>
              <w:jc w:val="right"/>
              <w:rPr>
                <w:sz w:val="20"/>
                <w:szCs w:val="20"/>
              </w:rPr>
            </w:pPr>
            <w:r w:rsidRPr="00485F66">
              <w:rPr>
                <w:sz w:val="20"/>
                <w:szCs w:val="20"/>
              </w:rPr>
              <w:t>60</w:t>
            </w:r>
          </w:p>
        </w:tc>
      </w:tr>
      <w:tr w:rsidR="00677FB0" w:rsidRPr="00485F66" w14:paraId="2320A91B"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CD947F4" w14:textId="77777777" w:rsidR="00677FB0" w:rsidRPr="00485F66" w:rsidRDefault="00677FB0" w:rsidP="008333B8">
            <w:pPr>
              <w:spacing w:after="0" w:line="240" w:lineRule="auto"/>
              <w:rPr>
                <w:sz w:val="20"/>
                <w:szCs w:val="20"/>
              </w:rPr>
            </w:pPr>
            <w:r w:rsidRPr="00485F66">
              <w:rPr>
                <w:sz w:val="20"/>
                <w:szCs w:val="20"/>
              </w:rPr>
              <w:t xml:space="preserve">Gliclazide </w:t>
            </w:r>
          </w:p>
        </w:tc>
        <w:tc>
          <w:tcPr>
            <w:tcW w:w="3402" w:type="dxa"/>
            <w:tcBorders>
              <w:top w:val="nil"/>
              <w:left w:val="nil"/>
              <w:bottom w:val="single" w:sz="4" w:space="0" w:color="808080"/>
              <w:right w:val="single" w:sz="4" w:space="0" w:color="808080"/>
            </w:tcBorders>
            <w:shd w:val="clear" w:color="auto" w:fill="auto"/>
            <w:noWrap/>
            <w:vAlign w:val="bottom"/>
            <w:hideMark/>
          </w:tcPr>
          <w:p w14:paraId="76AA3F24" w14:textId="77777777" w:rsidR="00677FB0" w:rsidRPr="00485F66" w:rsidRDefault="00677FB0" w:rsidP="008333B8">
            <w:pPr>
              <w:spacing w:after="0" w:line="240" w:lineRule="auto"/>
              <w:rPr>
                <w:sz w:val="20"/>
                <w:szCs w:val="20"/>
              </w:rPr>
            </w:pPr>
            <w:r w:rsidRPr="00485F66">
              <w:rPr>
                <w:sz w:val="20"/>
                <w:szCs w:val="20"/>
              </w:rPr>
              <w:t>80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7C4550AB"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A34B56C"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3343FDC3"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704457A" w14:textId="77777777" w:rsidR="00677FB0" w:rsidRPr="00485F66" w:rsidRDefault="00677FB0" w:rsidP="008333B8">
            <w:pPr>
              <w:spacing w:after="0" w:line="240" w:lineRule="auto"/>
              <w:rPr>
                <w:sz w:val="20"/>
                <w:szCs w:val="20"/>
              </w:rPr>
            </w:pPr>
            <w:r w:rsidRPr="00485F66">
              <w:rPr>
                <w:sz w:val="20"/>
                <w:szCs w:val="20"/>
              </w:rPr>
              <w:t xml:space="preserve">Metformin </w:t>
            </w:r>
          </w:p>
        </w:tc>
        <w:tc>
          <w:tcPr>
            <w:tcW w:w="3402" w:type="dxa"/>
            <w:tcBorders>
              <w:top w:val="nil"/>
              <w:left w:val="nil"/>
              <w:bottom w:val="single" w:sz="4" w:space="0" w:color="808080"/>
              <w:right w:val="single" w:sz="4" w:space="0" w:color="808080"/>
            </w:tcBorders>
            <w:shd w:val="clear" w:color="auto" w:fill="auto"/>
            <w:noWrap/>
            <w:vAlign w:val="bottom"/>
            <w:hideMark/>
          </w:tcPr>
          <w:p w14:paraId="39EA3CE7" w14:textId="77777777" w:rsidR="00677FB0" w:rsidRPr="00485F66" w:rsidRDefault="00677FB0" w:rsidP="008333B8">
            <w:pPr>
              <w:spacing w:after="0" w:line="240" w:lineRule="auto"/>
              <w:rPr>
                <w:sz w:val="20"/>
                <w:szCs w:val="20"/>
              </w:rPr>
            </w:pPr>
            <w:r w:rsidRPr="00485F66">
              <w:rPr>
                <w:sz w:val="20"/>
                <w:szCs w:val="20"/>
              </w:rPr>
              <w:t xml:space="preserve">500 mg cap/tab </w:t>
            </w:r>
            <w:r w:rsidRPr="00485F66">
              <w:rPr>
                <w:b/>
                <w:bCs/>
                <w:sz w:val="20"/>
                <w:szCs w:val="20"/>
                <w:u w:val="single"/>
              </w:rPr>
              <w:t>OR</w:t>
            </w:r>
            <w:r w:rsidRPr="00485F66">
              <w:rPr>
                <w:sz w:val="20"/>
                <w:szCs w:val="20"/>
              </w:rPr>
              <w:t xml:space="preserve"> 850 mg cap/tab  OR 1 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6A2F2CC0"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ED4C2DA" w14:textId="77777777" w:rsidR="00677FB0" w:rsidRPr="00485F66" w:rsidRDefault="00677FB0" w:rsidP="008333B8">
            <w:pPr>
              <w:spacing w:after="0" w:line="240" w:lineRule="auto"/>
              <w:jc w:val="right"/>
              <w:rPr>
                <w:sz w:val="20"/>
                <w:szCs w:val="20"/>
              </w:rPr>
            </w:pPr>
            <w:r w:rsidRPr="00485F66">
              <w:rPr>
                <w:sz w:val="20"/>
                <w:szCs w:val="20"/>
              </w:rPr>
              <w:t>90</w:t>
            </w:r>
          </w:p>
        </w:tc>
      </w:tr>
      <w:tr w:rsidR="00677FB0" w:rsidRPr="00485F66" w14:paraId="14F01ACD"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26AF024" w14:textId="77777777" w:rsidR="00677FB0" w:rsidRPr="00485F66" w:rsidRDefault="00677FB0" w:rsidP="008333B8">
            <w:pPr>
              <w:spacing w:after="0" w:line="240" w:lineRule="auto"/>
              <w:rPr>
                <w:sz w:val="20"/>
                <w:szCs w:val="20"/>
              </w:rPr>
            </w:pPr>
            <w:r w:rsidRPr="00485F66">
              <w:rPr>
                <w:sz w:val="20"/>
                <w:szCs w:val="20"/>
              </w:rPr>
              <w:t xml:space="preserve">Insulin regular, soluble </w:t>
            </w:r>
          </w:p>
        </w:tc>
        <w:tc>
          <w:tcPr>
            <w:tcW w:w="3402" w:type="dxa"/>
            <w:tcBorders>
              <w:top w:val="nil"/>
              <w:left w:val="nil"/>
              <w:bottom w:val="single" w:sz="4" w:space="0" w:color="808080"/>
              <w:right w:val="single" w:sz="4" w:space="0" w:color="808080"/>
            </w:tcBorders>
            <w:shd w:val="clear" w:color="auto" w:fill="auto"/>
            <w:noWrap/>
            <w:vAlign w:val="bottom"/>
            <w:hideMark/>
          </w:tcPr>
          <w:p w14:paraId="6B8B67CC" w14:textId="77777777" w:rsidR="00677FB0" w:rsidRPr="00485F66" w:rsidRDefault="00677FB0" w:rsidP="008333B8">
            <w:pPr>
              <w:spacing w:after="0" w:line="240" w:lineRule="auto"/>
              <w:rPr>
                <w:sz w:val="20"/>
                <w:szCs w:val="20"/>
              </w:rPr>
            </w:pPr>
            <w:r w:rsidRPr="00485F66">
              <w:rPr>
                <w:sz w:val="20"/>
                <w:szCs w:val="20"/>
              </w:rPr>
              <w:t>100 IU/ml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5E19EB54"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365D6D9" w14:textId="77777777" w:rsidR="00677FB0" w:rsidRPr="00485F66" w:rsidRDefault="00677FB0" w:rsidP="008333B8">
            <w:pPr>
              <w:spacing w:after="0" w:line="240" w:lineRule="auto"/>
              <w:jc w:val="right"/>
              <w:rPr>
                <w:sz w:val="20"/>
                <w:szCs w:val="20"/>
              </w:rPr>
            </w:pPr>
            <w:r w:rsidRPr="00485F66">
              <w:rPr>
                <w:sz w:val="20"/>
                <w:szCs w:val="20"/>
              </w:rPr>
              <w:t>90</w:t>
            </w:r>
          </w:p>
        </w:tc>
      </w:tr>
      <w:tr w:rsidR="00677FB0" w:rsidRPr="00485F66" w14:paraId="2BA04794"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A40E763" w14:textId="77777777" w:rsidR="00677FB0" w:rsidRPr="00485F66" w:rsidRDefault="00677FB0" w:rsidP="008333B8">
            <w:pPr>
              <w:spacing w:after="0" w:line="240" w:lineRule="auto"/>
              <w:rPr>
                <w:sz w:val="20"/>
                <w:szCs w:val="20"/>
              </w:rPr>
            </w:pPr>
            <w:r w:rsidRPr="00485F66">
              <w:rPr>
                <w:sz w:val="20"/>
                <w:szCs w:val="20"/>
              </w:rPr>
              <w:t xml:space="preserve">Amlodipine </w:t>
            </w:r>
          </w:p>
        </w:tc>
        <w:tc>
          <w:tcPr>
            <w:tcW w:w="3402" w:type="dxa"/>
            <w:tcBorders>
              <w:top w:val="nil"/>
              <w:left w:val="nil"/>
              <w:bottom w:val="single" w:sz="4" w:space="0" w:color="808080"/>
              <w:right w:val="single" w:sz="4" w:space="0" w:color="808080"/>
            </w:tcBorders>
            <w:shd w:val="clear" w:color="auto" w:fill="auto"/>
            <w:noWrap/>
            <w:vAlign w:val="bottom"/>
            <w:hideMark/>
          </w:tcPr>
          <w:p w14:paraId="06F9B4A8" w14:textId="77777777" w:rsidR="00677FB0" w:rsidRPr="00485F66" w:rsidRDefault="00677FB0" w:rsidP="008333B8">
            <w:pPr>
              <w:spacing w:after="0" w:line="240" w:lineRule="auto"/>
              <w:rPr>
                <w:sz w:val="20"/>
                <w:szCs w:val="20"/>
              </w:rPr>
            </w:pPr>
            <w:r w:rsidRPr="00485F66">
              <w:rPr>
                <w:sz w:val="20"/>
                <w:szCs w:val="20"/>
              </w:rPr>
              <w:t>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349455E4"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39AFE2E5"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0472A03C"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EE6D12E" w14:textId="77777777" w:rsidR="00677FB0" w:rsidRPr="00485F66" w:rsidRDefault="00677FB0" w:rsidP="008333B8">
            <w:pPr>
              <w:spacing w:after="0" w:line="240" w:lineRule="auto"/>
              <w:rPr>
                <w:sz w:val="20"/>
                <w:szCs w:val="20"/>
              </w:rPr>
            </w:pPr>
            <w:r w:rsidRPr="00485F66">
              <w:rPr>
                <w:sz w:val="20"/>
                <w:szCs w:val="20"/>
              </w:rPr>
              <w:t xml:space="preserve">Enalapril </w:t>
            </w:r>
          </w:p>
        </w:tc>
        <w:tc>
          <w:tcPr>
            <w:tcW w:w="3402" w:type="dxa"/>
            <w:tcBorders>
              <w:top w:val="nil"/>
              <w:left w:val="nil"/>
              <w:bottom w:val="single" w:sz="4" w:space="0" w:color="808080"/>
              <w:right w:val="single" w:sz="4" w:space="0" w:color="808080"/>
            </w:tcBorders>
            <w:shd w:val="clear" w:color="auto" w:fill="auto"/>
            <w:noWrap/>
            <w:vAlign w:val="bottom"/>
            <w:hideMark/>
          </w:tcPr>
          <w:p w14:paraId="37F3B870" w14:textId="77777777" w:rsidR="00677FB0" w:rsidRPr="00485F66" w:rsidRDefault="00677FB0" w:rsidP="008333B8">
            <w:pPr>
              <w:spacing w:after="0" w:line="240" w:lineRule="auto"/>
              <w:rPr>
                <w:sz w:val="20"/>
                <w:szCs w:val="20"/>
              </w:rPr>
            </w:pPr>
            <w:r w:rsidRPr="00485F66">
              <w:rPr>
                <w:sz w:val="20"/>
                <w:szCs w:val="20"/>
              </w:rPr>
              <w:t>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1BF77BA7"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04F7CC7"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3D54AB8C"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C79CB48" w14:textId="77777777" w:rsidR="00677FB0" w:rsidRPr="00485F66" w:rsidRDefault="00677FB0" w:rsidP="008333B8">
            <w:pPr>
              <w:spacing w:after="0" w:line="240" w:lineRule="auto"/>
              <w:rPr>
                <w:sz w:val="20"/>
                <w:szCs w:val="20"/>
              </w:rPr>
            </w:pPr>
            <w:r w:rsidRPr="00485F66">
              <w:rPr>
                <w:sz w:val="20"/>
                <w:szCs w:val="20"/>
              </w:rPr>
              <w:t xml:space="preserve">Hydrochlorothiazide </w:t>
            </w:r>
          </w:p>
        </w:tc>
        <w:tc>
          <w:tcPr>
            <w:tcW w:w="3402" w:type="dxa"/>
            <w:tcBorders>
              <w:top w:val="nil"/>
              <w:left w:val="nil"/>
              <w:bottom w:val="single" w:sz="4" w:space="0" w:color="808080"/>
              <w:right w:val="single" w:sz="4" w:space="0" w:color="808080"/>
            </w:tcBorders>
            <w:shd w:val="clear" w:color="auto" w:fill="auto"/>
            <w:noWrap/>
            <w:vAlign w:val="bottom"/>
            <w:hideMark/>
          </w:tcPr>
          <w:p w14:paraId="277854D2" w14:textId="77777777" w:rsidR="00677FB0" w:rsidRPr="00485F66" w:rsidRDefault="00677FB0" w:rsidP="008333B8">
            <w:pPr>
              <w:spacing w:after="0" w:line="240" w:lineRule="auto"/>
              <w:rPr>
                <w:sz w:val="20"/>
                <w:szCs w:val="20"/>
              </w:rPr>
            </w:pPr>
            <w:r w:rsidRPr="00485F66">
              <w:rPr>
                <w:sz w:val="20"/>
                <w:szCs w:val="20"/>
              </w:rPr>
              <w:t>25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4E5AD0CF"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D096AD8"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579EF792"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445F3D8" w14:textId="77777777" w:rsidR="00677FB0" w:rsidRPr="00485F66" w:rsidRDefault="00677FB0" w:rsidP="008333B8">
            <w:pPr>
              <w:spacing w:after="0" w:line="240" w:lineRule="auto"/>
              <w:rPr>
                <w:sz w:val="20"/>
                <w:szCs w:val="20"/>
              </w:rPr>
            </w:pPr>
            <w:r w:rsidRPr="00485F66">
              <w:rPr>
                <w:sz w:val="20"/>
                <w:szCs w:val="20"/>
              </w:rPr>
              <w:t xml:space="preserve">Chlorthalidone </w:t>
            </w:r>
          </w:p>
        </w:tc>
        <w:tc>
          <w:tcPr>
            <w:tcW w:w="3402" w:type="dxa"/>
            <w:tcBorders>
              <w:top w:val="nil"/>
              <w:left w:val="nil"/>
              <w:bottom w:val="single" w:sz="4" w:space="0" w:color="808080"/>
              <w:right w:val="single" w:sz="4" w:space="0" w:color="808080"/>
            </w:tcBorders>
            <w:shd w:val="clear" w:color="auto" w:fill="auto"/>
            <w:noWrap/>
            <w:vAlign w:val="bottom"/>
            <w:hideMark/>
          </w:tcPr>
          <w:p w14:paraId="3AA8AB71" w14:textId="77777777" w:rsidR="00677FB0" w:rsidRPr="00485F66" w:rsidRDefault="00677FB0" w:rsidP="008333B8">
            <w:pPr>
              <w:spacing w:after="0" w:line="240" w:lineRule="auto"/>
              <w:rPr>
                <w:sz w:val="20"/>
                <w:szCs w:val="20"/>
              </w:rPr>
            </w:pPr>
            <w:r w:rsidRPr="00485F66">
              <w:rPr>
                <w:sz w:val="20"/>
                <w:szCs w:val="20"/>
              </w:rPr>
              <w:t>25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73C5DF32"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9107681" w14:textId="77777777" w:rsidR="00677FB0" w:rsidRPr="00485F66" w:rsidRDefault="00677FB0" w:rsidP="008333B8">
            <w:pPr>
              <w:spacing w:after="0" w:line="240" w:lineRule="auto"/>
              <w:jc w:val="right"/>
              <w:rPr>
                <w:sz w:val="20"/>
                <w:szCs w:val="20"/>
              </w:rPr>
            </w:pPr>
            <w:r w:rsidRPr="00485F66">
              <w:rPr>
                <w:sz w:val="20"/>
                <w:szCs w:val="20"/>
              </w:rPr>
              <w:t>15</w:t>
            </w:r>
          </w:p>
        </w:tc>
      </w:tr>
      <w:tr w:rsidR="00677FB0" w:rsidRPr="00485F66" w14:paraId="5EA13407"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88C8B89" w14:textId="77777777" w:rsidR="00677FB0" w:rsidRPr="00485F66" w:rsidRDefault="00677FB0" w:rsidP="008333B8">
            <w:pPr>
              <w:spacing w:after="0" w:line="240" w:lineRule="auto"/>
              <w:rPr>
                <w:sz w:val="20"/>
                <w:szCs w:val="20"/>
              </w:rPr>
            </w:pPr>
            <w:r w:rsidRPr="00485F66">
              <w:rPr>
                <w:sz w:val="20"/>
                <w:szCs w:val="20"/>
              </w:rPr>
              <w:t xml:space="preserve">Bisoprolol </w:t>
            </w:r>
          </w:p>
        </w:tc>
        <w:tc>
          <w:tcPr>
            <w:tcW w:w="3402" w:type="dxa"/>
            <w:tcBorders>
              <w:top w:val="nil"/>
              <w:left w:val="nil"/>
              <w:bottom w:val="single" w:sz="4" w:space="0" w:color="808080"/>
              <w:right w:val="single" w:sz="4" w:space="0" w:color="808080"/>
            </w:tcBorders>
            <w:shd w:val="clear" w:color="auto" w:fill="auto"/>
            <w:noWrap/>
            <w:vAlign w:val="bottom"/>
            <w:hideMark/>
          </w:tcPr>
          <w:p w14:paraId="12D1C50A" w14:textId="77777777" w:rsidR="00677FB0" w:rsidRPr="00485F66" w:rsidRDefault="00677FB0" w:rsidP="008333B8">
            <w:pPr>
              <w:spacing w:after="0" w:line="240" w:lineRule="auto"/>
              <w:rPr>
                <w:sz w:val="20"/>
                <w:szCs w:val="20"/>
              </w:rPr>
            </w:pPr>
            <w:r w:rsidRPr="00485F66">
              <w:rPr>
                <w:sz w:val="20"/>
                <w:szCs w:val="20"/>
              </w:rPr>
              <w:t>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1480C1F0"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A9CDB99"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4E3E50EF"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6955DA44" w14:textId="77777777" w:rsidR="00677FB0" w:rsidRPr="00485F66" w:rsidRDefault="00677FB0" w:rsidP="008333B8">
            <w:pPr>
              <w:spacing w:after="0" w:line="240" w:lineRule="auto"/>
              <w:rPr>
                <w:sz w:val="20"/>
                <w:szCs w:val="20"/>
              </w:rPr>
            </w:pPr>
            <w:r w:rsidRPr="00485F66">
              <w:rPr>
                <w:sz w:val="20"/>
                <w:szCs w:val="20"/>
              </w:rPr>
              <w:t xml:space="preserve">Simvastatin </w:t>
            </w:r>
          </w:p>
        </w:tc>
        <w:tc>
          <w:tcPr>
            <w:tcW w:w="3402" w:type="dxa"/>
            <w:tcBorders>
              <w:top w:val="nil"/>
              <w:left w:val="nil"/>
              <w:bottom w:val="single" w:sz="4" w:space="0" w:color="808080"/>
              <w:right w:val="single" w:sz="4" w:space="0" w:color="808080"/>
            </w:tcBorders>
            <w:shd w:val="clear" w:color="auto" w:fill="auto"/>
            <w:noWrap/>
            <w:vAlign w:val="bottom"/>
            <w:hideMark/>
          </w:tcPr>
          <w:p w14:paraId="1DA347DC" w14:textId="77777777" w:rsidR="00677FB0" w:rsidRPr="00485F66" w:rsidRDefault="00677FB0" w:rsidP="008333B8">
            <w:pPr>
              <w:spacing w:after="0" w:line="240" w:lineRule="auto"/>
              <w:rPr>
                <w:sz w:val="20"/>
                <w:szCs w:val="20"/>
              </w:rPr>
            </w:pPr>
            <w:r w:rsidRPr="00485F66">
              <w:rPr>
                <w:sz w:val="20"/>
                <w:szCs w:val="20"/>
              </w:rPr>
              <w:t>20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1C087EA4"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CEF2A81"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0CE7AB51"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47B3B1E6" w14:textId="77777777" w:rsidR="00677FB0" w:rsidRPr="00485F66" w:rsidRDefault="00677FB0" w:rsidP="008333B8">
            <w:pPr>
              <w:spacing w:after="0" w:line="240" w:lineRule="auto"/>
              <w:rPr>
                <w:sz w:val="20"/>
                <w:szCs w:val="20"/>
              </w:rPr>
            </w:pPr>
            <w:r w:rsidRPr="00485F66">
              <w:rPr>
                <w:sz w:val="20"/>
                <w:szCs w:val="20"/>
              </w:rPr>
              <w:t>Acetylsalicylic acid (aspirin)</w:t>
            </w:r>
          </w:p>
        </w:tc>
        <w:tc>
          <w:tcPr>
            <w:tcW w:w="3402" w:type="dxa"/>
            <w:tcBorders>
              <w:top w:val="nil"/>
              <w:left w:val="nil"/>
              <w:bottom w:val="single" w:sz="4" w:space="0" w:color="808080"/>
              <w:right w:val="single" w:sz="4" w:space="0" w:color="808080"/>
            </w:tcBorders>
            <w:shd w:val="clear" w:color="auto" w:fill="auto"/>
            <w:noWrap/>
            <w:vAlign w:val="bottom"/>
            <w:hideMark/>
          </w:tcPr>
          <w:p w14:paraId="53BC8C8F" w14:textId="77777777" w:rsidR="00677FB0" w:rsidRPr="00485F66" w:rsidRDefault="00677FB0" w:rsidP="008333B8">
            <w:pPr>
              <w:spacing w:after="0" w:line="240" w:lineRule="auto"/>
              <w:rPr>
                <w:sz w:val="20"/>
                <w:szCs w:val="20"/>
              </w:rPr>
            </w:pPr>
            <w:r w:rsidRPr="00485F66">
              <w:rPr>
                <w:sz w:val="20"/>
                <w:szCs w:val="20"/>
              </w:rPr>
              <w:t>100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03693926"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76C20932"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630EF60F"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EA40856" w14:textId="77777777" w:rsidR="00677FB0" w:rsidRPr="00485F66" w:rsidRDefault="00677FB0" w:rsidP="008333B8">
            <w:pPr>
              <w:spacing w:after="0" w:line="240" w:lineRule="auto"/>
              <w:rPr>
                <w:sz w:val="20"/>
                <w:szCs w:val="20"/>
              </w:rPr>
            </w:pPr>
            <w:r w:rsidRPr="00485F66">
              <w:rPr>
                <w:sz w:val="20"/>
                <w:szCs w:val="20"/>
              </w:rPr>
              <w:t xml:space="preserve">Morphine </w:t>
            </w:r>
          </w:p>
        </w:tc>
        <w:tc>
          <w:tcPr>
            <w:tcW w:w="3402" w:type="dxa"/>
            <w:tcBorders>
              <w:top w:val="nil"/>
              <w:left w:val="nil"/>
              <w:bottom w:val="single" w:sz="4" w:space="0" w:color="808080"/>
              <w:right w:val="single" w:sz="4" w:space="0" w:color="808080"/>
            </w:tcBorders>
            <w:shd w:val="clear" w:color="auto" w:fill="auto"/>
            <w:noWrap/>
            <w:vAlign w:val="bottom"/>
            <w:hideMark/>
          </w:tcPr>
          <w:p w14:paraId="65E090C6" w14:textId="77777777" w:rsidR="00677FB0" w:rsidRPr="00485F66" w:rsidRDefault="00677FB0" w:rsidP="008333B8">
            <w:pPr>
              <w:spacing w:after="0" w:line="240" w:lineRule="auto"/>
              <w:rPr>
                <w:sz w:val="20"/>
                <w:szCs w:val="20"/>
              </w:rPr>
            </w:pPr>
            <w:r w:rsidRPr="00485F66">
              <w:rPr>
                <w:sz w:val="20"/>
                <w:szCs w:val="20"/>
              </w:rPr>
              <w:t>10mg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731EEB58"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43792FF" w14:textId="77777777" w:rsidR="00677FB0" w:rsidRPr="00485F66" w:rsidRDefault="00677FB0" w:rsidP="008333B8">
            <w:pPr>
              <w:spacing w:after="0" w:line="240" w:lineRule="auto"/>
              <w:jc w:val="right"/>
              <w:rPr>
                <w:sz w:val="20"/>
                <w:szCs w:val="20"/>
              </w:rPr>
            </w:pPr>
            <w:r w:rsidRPr="00485F66">
              <w:rPr>
                <w:sz w:val="20"/>
                <w:szCs w:val="20"/>
              </w:rPr>
              <w:t>180</w:t>
            </w:r>
          </w:p>
        </w:tc>
      </w:tr>
      <w:tr w:rsidR="00677FB0" w:rsidRPr="00485F66" w14:paraId="30920B6C"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0028AD8" w14:textId="77777777" w:rsidR="00677FB0" w:rsidRPr="00485F66" w:rsidRDefault="00677FB0" w:rsidP="008333B8">
            <w:pPr>
              <w:spacing w:after="0" w:line="240" w:lineRule="auto"/>
              <w:rPr>
                <w:sz w:val="20"/>
                <w:szCs w:val="20"/>
              </w:rPr>
            </w:pPr>
            <w:r w:rsidRPr="00485F66">
              <w:rPr>
                <w:sz w:val="20"/>
                <w:szCs w:val="20"/>
              </w:rPr>
              <w:t xml:space="preserve">Paracetamol </w:t>
            </w:r>
          </w:p>
        </w:tc>
        <w:tc>
          <w:tcPr>
            <w:tcW w:w="3402" w:type="dxa"/>
            <w:tcBorders>
              <w:top w:val="nil"/>
              <w:left w:val="nil"/>
              <w:bottom w:val="single" w:sz="4" w:space="0" w:color="808080"/>
              <w:right w:val="single" w:sz="4" w:space="0" w:color="808080"/>
            </w:tcBorders>
            <w:shd w:val="clear" w:color="auto" w:fill="auto"/>
            <w:noWrap/>
            <w:vAlign w:val="bottom"/>
            <w:hideMark/>
          </w:tcPr>
          <w:p w14:paraId="0C9561CE" w14:textId="77777777" w:rsidR="00677FB0" w:rsidRPr="00485F66" w:rsidRDefault="00677FB0" w:rsidP="008333B8">
            <w:pPr>
              <w:spacing w:after="0" w:line="240" w:lineRule="auto"/>
              <w:rPr>
                <w:sz w:val="20"/>
                <w:szCs w:val="20"/>
              </w:rPr>
            </w:pPr>
            <w:r w:rsidRPr="00485F66">
              <w:rPr>
                <w:sz w:val="20"/>
                <w:szCs w:val="20"/>
              </w:rPr>
              <w:t>500 mg tab/cap</w:t>
            </w:r>
          </w:p>
        </w:tc>
        <w:tc>
          <w:tcPr>
            <w:tcW w:w="1418" w:type="dxa"/>
            <w:tcBorders>
              <w:top w:val="nil"/>
              <w:left w:val="nil"/>
              <w:bottom w:val="single" w:sz="4" w:space="0" w:color="808080"/>
              <w:right w:val="single" w:sz="4" w:space="0" w:color="808080"/>
            </w:tcBorders>
            <w:shd w:val="clear" w:color="auto" w:fill="auto"/>
            <w:noWrap/>
            <w:vAlign w:val="bottom"/>
            <w:hideMark/>
          </w:tcPr>
          <w:p w14:paraId="59D5CD70"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7A3724F7" w14:textId="77777777" w:rsidR="00677FB0" w:rsidRPr="00485F66" w:rsidRDefault="00677FB0" w:rsidP="008333B8">
            <w:pPr>
              <w:spacing w:after="0" w:line="240" w:lineRule="auto"/>
              <w:jc w:val="right"/>
              <w:rPr>
                <w:sz w:val="20"/>
                <w:szCs w:val="20"/>
              </w:rPr>
            </w:pPr>
            <w:r w:rsidRPr="00485F66">
              <w:rPr>
                <w:sz w:val="20"/>
                <w:szCs w:val="20"/>
              </w:rPr>
              <w:t>180</w:t>
            </w:r>
          </w:p>
        </w:tc>
      </w:tr>
      <w:tr w:rsidR="00677FB0" w:rsidRPr="00485F66" w14:paraId="56EBFBE4"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6DCCF317" w14:textId="77777777" w:rsidR="00677FB0" w:rsidRPr="00485F66" w:rsidRDefault="00677FB0" w:rsidP="008333B8">
            <w:pPr>
              <w:spacing w:after="0" w:line="240" w:lineRule="auto"/>
              <w:rPr>
                <w:sz w:val="20"/>
                <w:szCs w:val="20"/>
              </w:rPr>
            </w:pPr>
            <w:r w:rsidRPr="00485F66">
              <w:rPr>
                <w:sz w:val="20"/>
                <w:szCs w:val="20"/>
              </w:rPr>
              <w:t xml:space="preserve">Fluoxetine </w:t>
            </w:r>
          </w:p>
        </w:tc>
        <w:tc>
          <w:tcPr>
            <w:tcW w:w="3402" w:type="dxa"/>
            <w:tcBorders>
              <w:top w:val="nil"/>
              <w:left w:val="nil"/>
              <w:bottom w:val="single" w:sz="4" w:space="0" w:color="808080"/>
              <w:right w:val="single" w:sz="4" w:space="0" w:color="808080"/>
            </w:tcBorders>
            <w:shd w:val="clear" w:color="auto" w:fill="auto"/>
            <w:noWrap/>
            <w:vAlign w:val="bottom"/>
            <w:hideMark/>
          </w:tcPr>
          <w:p w14:paraId="6A96B6C8" w14:textId="77777777" w:rsidR="00677FB0" w:rsidRPr="00485F66" w:rsidRDefault="00677FB0" w:rsidP="008333B8">
            <w:pPr>
              <w:spacing w:after="0" w:line="240" w:lineRule="auto"/>
              <w:rPr>
                <w:sz w:val="20"/>
                <w:szCs w:val="20"/>
              </w:rPr>
            </w:pPr>
            <w:r w:rsidRPr="00485F66">
              <w:rPr>
                <w:sz w:val="20"/>
                <w:szCs w:val="20"/>
              </w:rPr>
              <w:t>20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32EF1968"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19AE8333"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71AFE8D6" w14:textId="77777777" w:rsidTr="00731BB6">
        <w:trPr>
          <w:trHeight w:val="300"/>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62B34CB" w14:textId="77777777" w:rsidR="00677FB0" w:rsidRPr="00485F66" w:rsidRDefault="00677FB0" w:rsidP="008333B8">
            <w:pPr>
              <w:spacing w:after="0" w:line="240" w:lineRule="auto"/>
              <w:rPr>
                <w:sz w:val="20"/>
                <w:szCs w:val="20"/>
              </w:rPr>
            </w:pPr>
            <w:r w:rsidRPr="00485F66">
              <w:rPr>
                <w:sz w:val="20"/>
                <w:szCs w:val="20"/>
              </w:rPr>
              <w:t xml:space="preserve">Phenytoin </w:t>
            </w:r>
          </w:p>
        </w:tc>
        <w:tc>
          <w:tcPr>
            <w:tcW w:w="3402" w:type="dxa"/>
            <w:tcBorders>
              <w:top w:val="nil"/>
              <w:left w:val="nil"/>
              <w:bottom w:val="single" w:sz="4" w:space="0" w:color="808080"/>
              <w:right w:val="single" w:sz="4" w:space="0" w:color="808080"/>
            </w:tcBorders>
            <w:shd w:val="clear" w:color="auto" w:fill="auto"/>
            <w:noWrap/>
            <w:vAlign w:val="bottom"/>
            <w:hideMark/>
          </w:tcPr>
          <w:p w14:paraId="329516DB" w14:textId="77777777" w:rsidR="00677FB0" w:rsidRPr="00485F66" w:rsidRDefault="00677FB0" w:rsidP="008333B8">
            <w:pPr>
              <w:spacing w:after="0" w:line="240" w:lineRule="auto"/>
              <w:rPr>
                <w:sz w:val="20"/>
                <w:szCs w:val="20"/>
              </w:rPr>
            </w:pPr>
            <w:r w:rsidRPr="00485F66">
              <w:rPr>
                <w:sz w:val="20"/>
                <w:szCs w:val="20"/>
              </w:rPr>
              <w:t>100mg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1C9A917F"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70CC88FB" w14:textId="77777777" w:rsidR="00677FB0" w:rsidRPr="00485F66" w:rsidRDefault="00677FB0" w:rsidP="008333B8">
            <w:pPr>
              <w:spacing w:after="0" w:line="240" w:lineRule="auto"/>
              <w:jc w:val="right"/>
              <w:rPr>
                <w:sz w:val="20"/>
                <w:szCs w:val="20"/>
              </w:rPr>
            </w:pPr>
            <w:r w:rsidRPr="00485F66">
              <w:rPr>
                <w:sz w:val="20"/>
                <w:szCs w:val="20"/>
              </w:rPr>
              <w:t>90</w:t>
            </w:r>
          </w:p>
        </w:tc>
      </w:tr>
      <w:tr w:rsidR="00677FB0" w:rsidRPr="00485F66" w14:paraId="70AA6281" w14:textId="77777777" w:rsidTr="00731BB6">
        <w:trPr>
          <w:trHeight w:val="300"/>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48449EA" w14:textId="77777777" w:rsidR="00677FB0" w:rsidRPr="00485F66" w:rsidRDefault="00677FB0" w:rsidP="008333B8">
            <w:pPr>
              <w:spacing w:after="0" w:line="240" w:lineRule="auto"/>
              <w:rPr>
                <w:sz w:val="20"/>
                <w:szCs w:val="20"/>
              </w:rPr>
            </w:pPr>
            <w:r w:rsidRPr="00485F66">
              <w:rPr>
                <w:sz w:val="20"/>
                <w:szCs w:val="20"/>
              </w:rPr>
              <w:t xml:space="preserve">Carbamazepine </w:t>
            </w:r>
          </w:p>
        </w:tc>
        <w:tc>
          <w:tcPr>
            <w:tcW w:w="3402" w:type="dxa"/>
            <w:tcBorders>
              <w:top w:val="nil"/>
              <w:left w:val="nil"/>
              <w:bottom w:val="single" w:sz="4" w:space="0" w:color="808080"/>
              <w:right w:val="single" w:sz="4" w:space="0" w:color="808080"/>
            </w:tcBorders>
            <w:shd w:val="clear" w:color="auto" w:fill="auto"/>
            <w:noWrap/>
            <w:vAlign w:val="bottom"/>
            <w:hideMark/>
          </w:tcPr>
          <w:p w14:paraId="62144656" w14:textId="77777777" w:rsidR="00677FB0" w:rsidRPr="00485F66" w:rsidRDefault="00677FB0" w:rsidP="008333B8">
            <w:pPr>
              <w:spacing w:after="0" w:line="240" w:lineRule="auto"/>
              <w:rPr>
                <w:sz w:val="20"/>
                <w:szCs w:val="20"/>
              </w:rPr>
            </w:pPr>
            <w:r w:rsidRPr="00485F66">
              <w:rPr>
                <w:sz w:val="20"/>
                <w:szCs w:val="20"/>
              </w:rPr>
              <w:t>200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3EDB3127"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79F96BD2" w14:textId="77777777" w:rsidR="00677FB0" w:rsidRPr="00485F66" w:rsidRDefault="00677FB0" w:rsidP="008333B8">
            <w:pPr>
              <w:spacing w:after="0" w:line="240" w:lineRule="auto"/>
              <w:jc w:val="right"/>
              <w:rPr>
                <w:sz w:val="20"/>
                <w:szCs w:val="20"/>
              </w:rPr>
            </w:pPr>
            <w:r w:rsidRPr="00485F66">
              <w:rPr>
                <w:sz w:val="20"/>
                <w:szCs w:val="20"/>
              </w:rPr>
              <w:t>150</w:t>
            </w:r>
          </w:p>
        </w:tc>
      </w:tr>
      <w:tr w:rsidR="00677FB0" w:rsidRPr="00485F66" w14:paraId="4EF8381A" w14:textId="77777777" w:rsidTr="00731BB6">
        <w:trPr>
          <w:trHeight w:val="300"/>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391DB6F" w14:textId="77777777" w:rsidR="00677FB0" w:rsidRPr="00485F66" w:rsidRDefault="00677FB0" w:rsidP="008333B8">
            <w:pPr>
              <w:spacing w:after="0" w:line="240" w:lineRule="auto"/>
              <w:rPr>
                <w:sz w:val="20"/>
                <w:szCs w:val="20"/>
              </w:rPr>
            </w:pPr>
            <w:r w:rsidRPr="00485F66">
              <w:rPr>
                <w:sz w:val="20"/>
                <w:szCs w:val="20"/>
              </w:rPr>
              <w:t xml:space="preserve">Gentamicin </w:t>
            </w:r>
          </w:p>
        </w:tc>
        <w:tc>
          <w:tcPr>
            <w:tcW w:w="3402" w:type="dxa"/>
            <w:tcBorders>
              <w:top w:val="nil"/>
              <w:left w:val="nil"/>
              <w:bottom w:val="single" w:sz="4" w:space="0" w:color="808080"/>
              <w:right w:val="single" w:sz="4" w:space="0" w:color="808080"/>
            </w:tcBorders>
            <w:shd w:val="clear" w:color="auto" w:fill="auto"/>
            <w:noWrap/>
            <w:vAlign w:val="bottom"/>
            <w:hideMark/>
          </w:tcPr>
          <w:p w14:paraId="1D9C12CF" w14:textId="77777777" w:rsidR="00677FB0" w:rsidRPr="00485F66" w:rsidRDefault="00677FB0" w:rsidP="008333B8">
            <w:pPr>
              <w:spacing w:after="0" w:line="240" w:lineRule="auto"/>
              <w:rPr>
                <w:sz w:val="20"/>
                <w:szCs w:val="20"/>
              </w:rPr>
            </w:pPr>
            <w:r w:rsidRPr="00485F66">
              <w:rPr>
                <w:sz w:val="20"/>
                <w:szCs w:val="20"/>
              </w:rPr>
              <w:t>40 mg/mL in 2mL vial</w:t>
            </w:r>
          </w:p>
        </w:tc>
        <w:tc>
          <w:tcPr>
            <w:tcW w:w="1418" w:type="dxa"/>
            <w:tcBorders>
              <w:top w:val="nil"/>
              <w:left w:val="nil"/>
              <w:bottom w:val="single" w:sz="4" w:space="0" w:color="808080"/>
              <w:right w:val="single" w:sz="4" w:space="0" w:color="808080"/>
            </w:tcBorders>
            <w:shd w:val="clear" w:color="auto" w:fill="auto"/>
            <w:noWrap/>
            <w:vAlign w:val="bottom"/>
            <w:hideMark/>
          </w:tcPr>
          <w:p w14:paraId="078A4EBE" w14:textId="77777777" w:rsidR="00677FB0" w:rsidRPr="00485F66" w:rsidRDefault="00677FB0" w:rsidP="008333B8">
            <w:pPr>
              <w:spacing w:after="0" w:line="240" w:lineRule="auto"/>
              <w:jc w:val="right"/>
              <w:rPr>
                <w:sz w:val="20"/>
                <w:szCs w:val="20"/>
              </w:rPr>
            </w:pPr>
            <w:r w:rsidRPr="00485F66">
              <w:rPr>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5FFB83B2" w14:textId="77777777" w:rsidR="00677FB0" w:rsidRPr="00485F66" w:rsidRDefault="00677FB0" w:rsidP="008333B8">
            <w:pPr>
              <w:spacing w:after="0" w:line="240" w:lineRule="auto"/>
              <w:jc w:val="right"/>
              <w:rPr>
                <w:sz w:val="20"/>
                <w:szCs w:val="20"/>
              </w:rPr>
            </w:pPr>
            <w:r w:rsidRPr="00485F66">
              <w:rPr>
                <w:sz w:val="20"/>
                <w:szCs w:val="20"/>
              </w:rPr>
              <w:t>15</w:t>
            </w:r>
          </w:p>
        </w:tc>
      </w:tr>
      <w:tr w:rsidR="00677FB0" w:rsidRPr="00485F66" w14:paraId="6339A916"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38D21A0" w14:textId="77777777" w:rsidR="00677FB0" w:rsidRPr="00485F66" w:rsidRDefault="00677FB0" w:rsidP="008333B8">
            <w:pPr>
              <w:spacing w:after="0" w:line="240" w:lineRule="auto"/>
              <w:rPr>
                <w:sz w:val="20"/>
                <w:szCs w:val="20"/>
              </w:rPr>
            </w:pPr>
            <w:r w:rsidRPr="00485F66">
              <w:rPr>
                <w:sz w:val="20"/>
                <w:szCs w:val="20"/>
              </w:rPr>
              <w:t xml:space="preserve">Amoxicillin for adults </w:t>
            </w:r>
          </w:p>
        </w:tc>
        <w:tc>
          <w:tcPr>
            <w:tcW w:w="3402" w:type="dxa"/>
            <w:tcBorders>
              <w:top w:val="nil"/>
              <w:left w:val="nil"/>
              <w:bottom w:val="single" w:sz="4" w:space="0" w:color="808080"/>
              <w:right w:val="single" w:sz="4" w:space="0" w:color="808080"/>
            </w:tcBorders>
            <w:shd w:val="clear" w:color="auto" w:fill="auto"/>
            <w:noWrap/>
            <w:vAlign w:val="bottom"/>
            <w:hideMark/>
          </w:tcPr>
          <w:p w14:paraId="784FCB57" w14:textId="77777777" w:rsidR="00677FB0" w:rsidRPr="00485F66" w:rsidRDefault="00677FB0" w:rsidP="008333B8">
            <w:pPr>
              <w:spacing w:after="0" w:line="240" w:lineRule="auto"/>
              <w:rPr>
                <w:sz w:val="20"/>
                <w:szCs w:val="20"/>
              </w:rPr>
            </w:pPr>
            <w:r w:rsidRPr="00485F66">
              <w:rPr>
                <w:sz w:val="20"/>
                <w:szCs w:val="20"/>
              </w:rPr>
              <w:t>500mg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2838CF1B" w14:textId="77777777" w:rsidR="00677FB0" w:rsidRPr="00485F66" w:rsidRDefault="00677FB0" w:rsidP="008333B8">
            <w:pPr>
              <w:spacing w:after="0" w:line="240" w:lineRule="auto"/>
              <w:jc w:val="right"/>
              <w:rPr>
                <w:sz w:val="20"/>
                <w:szCs w:val="20"/>
              </w:rPr>
            </w:pPr>
            <w:r w:rsidRPr="00485F66">
              <w:rPr>
                <w:sz w:val="20"/>
                <w:szCs w:val="20"/>
              </w:rPr>
              <w:t>7</w:t>
            </w:r>
          </w:p>
        </w:tc>
        <w:tc>
          <w:tcPr>
            <w:tcW w:w="1768" w:type="dxa"/>
            <w:tcBorders>
              <w:top w:val="nil"/>
              <w:left w:val="nil"/>
              <w:bottom w:val="single" w:sz="4" w:space="0" w:color="808080"/>
              <w:right w:val="single" w:sz="8" w:space="0" w:color="808080"/>
            </w:tcBorders>
            <w:shd w:val="clear" w:color="auto" w:fill="auto"/>
            <w:noWrap/>
            <w:vAlign w:val="bottom"/>
            <w:hideMark/>
          </w:tcPr>
          <w:p w14:paraId="266DF416" w14:textId="77777777" w:rsidR="00677FB0" w:rsidRPr="00485F66" w:rsidRDefault="00677FB0" w:rsidP="008333B8">
            <w:pPr>
              <w:spacing w:after="0" w:line="240" w:lineRule="auto"/>
              <w:jc w:val="right"/>
              <w:rPr>
                <w:sz w:val="20"/>
                <w:szCs w:val="20"/>
              </w:rPr>
            </w:pPr>
            <w:r w:rsidRPr="00485F66">
              <w:rPr>
                <w:sz w:val="20"/>
                <w:szCs w:val="20"/>
              </w:rPr>
              <w:t>21</w:t>
            </w:r>
          </w:p>
        </w:tc>
      </w:tr>
      <w:tr w:rsidR="00677FB0" w:rsidRPr="00485F66" w14:paraId="574A0515"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6189A91" w14:textId="77777777" w:rsidR="00677FB0" w:rsidRPr="00485F66" w:rsidRDefault="00677FB0" w:rsidP="008333B8">
            <w:pPr>
              <w:spacing w:after="0" w:line="240" w:lineRule="auto"/>
              <w:rPr>
                <w:sz w:val="20"/>
                <w:szCs w:val="20"/>
              </w:rPr>
            </w:pPr>
            <w:r w:rsidRPr="00485F66">
              <w:rPr>
                <w:sz w:val="20"/>
                <w:szCs w:val="20"/>
              </w:rPr>
              <w:t xml:space="preserve">Ceftriaxone </w:t>
            </w:r>
          </w:p>
        </w:tc>
        <w:tc>
          <w:tcPr>
            <w:tcW w:w="3402" w:type="dxa"/>
            <w:tcBorders>
              <w:top w:val="nil"/>
              <w:left w:val="nil"/>
              <w:bottom w:val="single" w:sz="4" w:space="0" w:color="808080"/>
              <w:right w:val="single" w:sz="4" w:space="0" w:color="808080"/>
            </w:tcBorders>
            <w:shd w:val="clear" w:color="auto" w:fill="auto"/>
            <w:noWrap/>
            <w:vAlign w:val="bottom"/>
            <w:hideMark/>
          </w:tcPr>
          <w:p w14:paraId="68EE83E4" w14:textId="77777777" w:rsidR="00677FB0" w:rsidRPr="00485F66" w:rsidRDefault="00677FB0" w:rsidP="008333B8">
            <w:pPr>
              <w:spacing w:after="0" w:line="240" w:lineRule="auto"/>
              <w:rPr>
                <w:sz w:val="20"/>
                <w:szCs w:val="20"/>
              </w:rPr>
            </w:pPr>
            <w:r w:rsidRPr="00485F66">
              <w:rPr>
                <w:sz w:val="20"/>
                <w:szCs w:val="20"/>
              </w:rPr>
              <w:t>1g/vial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2146AC27"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2F472458" w14:textId="77777777" w:rsidR="00677FB0" w:rsidRPr="00485F66" w:rsidRDefault="00677FB0" w:rsidP="008333B8">
            <w:pPr>
              <w:spacing w:after="0" w:line="240" w:lineRule="auto"/>
              <w:jc w:val="right"/>
              <w:rPr>
                <w:sz w:val="20"/>
                <w:szCs w:val="20"/>
              </w:rPr>
            </w:pPr>
            <w:r w:rsidRPr="00485F66">
              <w:rPr>
                <w:sz w:val="20"/>
                <w:szCs w:val="20"/>
              </w:rPr>
              <w:t>1</w:t>
            </w:r>
          </w:p>
        </w:tc>
      </w:tr>
      <w:tr w:rsidR="00677FB0" w:rsidRPr="00485F66" w14:paraId="18BD5298"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4DB1CA8C" w14:textId="77777777" w:rsidR="00677FB0" w:rsidRPr="00485F66" w:rsidRDefault="00677FB0" w:rsidP="008333B8">
            <w:pPr>
              <w:spacing w:after="0" w:line="240" w:lineRule="auto"/>
              <w:rPr>
                <w:sz w:val="20"/>
                <w:szCs w:val="20"/>
              </w:rPr>
            </w:pPr>
            <w:r w:rsidRPr="00485F66">
              <w:rPr>
                <w:sz w:val="20"/>
                <w:szCs w:val="20"/>
              </w:rPr>
              <w:t xml:space="preserve">Procaine benzylpenicillin </w:t>
            </w:r>
          </w:p>
        </w:tc>
        <w:tc>
          <w:tcPr>
            <w:tcW w:w="3402" w:type="dxa"/>
            <w:tcBorders>
              <w:top w:val="nil"/>
              <w:left w:val="nil"/>
              <w:bottom w:val="single" w:sz="4" w:space="0" w:color="808080"/>
              <w:right w:val="single" w:sz="4" w:space="0" w:color="808080"/>
            </w:tcBorders>
            <w:shd w:val="clear" w:color="auto" w:fill="auto"/>
            <w:noWrap/>
            <w:vAlign w:val="bottom"/>
            <w:hideMark/>
          </w:tcPr>
          <w:p w14:paraId="38B4477C" w14:textId="77777777" w:rsidR="00677FB0" w:rsidRPr="00485F66" w:rsidRDefault="00677FB0" w:rsidP="008333B8">
            <w:pPr>
              <w:spacing w:after="0" w:line="240" w:lineRule="auto"/>
              <w:rPr>
                <w:sz w:val="20"/>
                <w:szCs w:val="20"/>
              </w:rPr>
            </w:pPr>
            <w:r w:rsidRPr="00485F66">
              <w:rPr>
                <w:sz w:val="20"/>
                <w:szCs w:val="20"/>
              </w:rPr>
              <w:t>1G = 1MU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772725BA" w14:textId="77777777" w:rsidR="00677FB0" w:rsidRPr="00485F66" w:rsidRDefault="00677FB0" w:rsidP="008333B8">
            <w:pPr>
              <w:spacing w:after="0" w:line="240" w:lineRule="auto"/>
              <w:jc w:val="right"/>
              <w:rPr>
                <w:sz w:val="20"/>
                <w:szCs w:val="20"/>
              </w:rPr>
            </w:pPr>
            <w:r w:rsidRPr="00485F66">
              <w:rPr>
                <w:sz w:val="20"/>
                <w:szCs w:val="20"/>
              </w:rPr>
              <w:t>10</w:t>
            </w:r>
          </w:p>
        </w:tc>
        <w:tc>
          <w:tcPr>
            <w:tcW w:w="1768" w:type="dxa"/>
            <w:tcBorders>
              <w:top w:val="nil"/>
              <w:left w:val="nil"/>
              <w:bottom w:val="single" w:sz="4" w:space="0" w:color="808080"/>
              <w:right w:val="single" w:sz="8" w:space="0" w:color="808080"/>
            </w:tcBorders>
            <w:shd w:val="clear" w:color="auto" w:fill="auto"/>
            <w:noWrap/>
            <w:vAlign w:val="bottom"/>
            <w:hideMark/>
          </w:tcPr>
          <w:p w14:paraId="33DF4DED" w14:textId="77777777" w:rsidR="00677FB0" w:rsidRPr="00485F66" w:rsidRDefault="00677FB0" w:rsidP="008333B8">
            <w:pPr>
              <w:spacing w:after="0" w:line="240" w:lineRule="auto"/>
              <w:jc w:val="right"/>
              <w:rPr>
                <w:sz w:val="20"/>
                <w:szCs w:val="20"/>
              </w:rPr>
            </w:pPr>
            <w:r w:rsidRPr="00485F66">
              <w:rPr>
                <w:sz w:val="20"/>
                <w:szCs w:val="20"/>
              </w:rPr>
              <w:t>10</w:t>
            </w:r>
          </w:p>
        </w:tc>
      </w:tr>
      <w:tr w:rsidR="00677FB0" w:rsidRPr="00485F66" w14:paraId="7072889E"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2164E5D" w14:textId="77777777" w:rsidR="00677FB0" w:rsidRPr="00485F66" w:rsidRDefault="00677FB0" w:rsidP="008333B8">
            <w:pPr>
              <w:spacing w:after="0" w:line="240" w:lineRule="auto"/>
              <w:rPr>
                <w:sz w:val="20"/>
                <w:szCs w:val="20"/>
              </w:rPr>
            </w:pPr>
            <w:r w:rsidRPr="00485F66">
              <w:rPr>
                <w:sz w:val="20"/>
                <w:szCs w:val="20"/>
              </w:rPr>
              <w:t xml:space="preserve">Benzathine benzylpenicillin </w:t>
            </w:r>
          </w:p>
        </w:tc>
        <w:tc>
          <w:tcPr>
            <w:tcW w:w="3402" w:type="dxa"/>
            <w:tcBorders>
              <w:top w:val="nil"/>
              <w:left w:val="nil"/>
              <w:bottom w:val="single" w:sz="4" w:space="0" w:color="808080"/>
              <w:right w:val="single" w:sz="4" w:space="0" w:color="808080"/>
            </w:tcBorders>
            <w:shd w:val="clear" w:color="auto" w:fill="auto"/>
            <w:noWrap/>
            <w:vAlign w:val="bottom"/>
            <w:hideMark/>
          </w:tcPr>
          <w:p w14:paraId="1CC901A8" w14:textId="77777777" w:rsidR="00677FB0" w:rsidRPr="00485F66" w:rsidRDefault="00677FB0" w:rsidP="008333B8">
            <w:pPr>
              <w:spacing w:after="0" w:line="240" w:lineRule="auto"/>
              <w:rPr>
                <w:sz w:val="20"/>
                <w:szCs w:val="20"/>
              </w:rPr>
            </w:pPr>
            <w:r w:rsidRPr="00485F66">
              <w:rPr>
                <w:sz w:val="20"/>
                <w:szCs w:val="20"/>
              </w:rPr>
              <w:t xml:space="preserve">900mg=1.2 MIU </w:t>
            </w:r>
            <w:r w:rsidRPr="00485F66">
              <w:rPr>
                <w:b/>
                <w:bCs/>
                <w:sz w:val="20"/>
                <w:szCs w:val="20"/>
                <w:u w:val="single"/>
              </w:rPr>
              <w:t>OR</w:t>
            </w:r>
            <w:r w:rsidRPr="00485F66">
              <w:rPr>
                <w:sz w:val="20"/>
                <w:szCs w:val="20"/>
              </w:rPr>
              <w:t xml:space="preserve"> 1.44g = 2.4MIU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66514286"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56720D3C" w14:textId="77777777" w:rsidR="00677FB0" w:rsidRPr="00485F66" w:rsidRDefault="00677FB0" w:rsidP="008333B8">
            <w:pPr>
              <w:spacing w:after="0" w:line="240" w:lineRule="auto"/>
              <w:jc w:val="right"/>
              <w:rPr>
                <w:sz w:val="20"/>
                <w:szCs w:val="20"/>
              </w:rPr>
            </w:pPr>
            <w:r w:rsidRPr="00485F66">
              <w:rPr>
                <w:sz w:val="20"/>
                <w:szCs w:val="20"/>
              </w:rPr>
              <w:t>1 or 2</w:t>
            </w:r>
          </w:p>
        </w:tc>
      </w:tr>
      <w:tr w:rsidR="00677FB0" w:rsidRPr="00485F66" w14:paraId="7A425303"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4EFFCB9" w14:textId="77777777" w:rsidR="00677FB0" w:rsidRPr="00485F66" w:rsidRDefault="00677FB0" w:rsidP="008333B8">
            <w:pPr>
              <w:spacing w:after="0" w:line="240" w:lineRule="auto"/>
              <w:rPr>
                <w:sz w:val="20"/>
                <w:szCs w:val="20"/>
              </w:rPr>
            </w:pPr>
            <w:r w:rsidRPr="00485F66">
              <w:rPr>
                <w:sz w:val="20"/>
                <w:szCs w:val="20"/>
              </w:rPr>
              <w:t>Ethinylestradiol + levonorgestrel</w:t>
            </w:r>
          </w:p>
        </w:tc>
        <w:tc>
          <w:tcPr>
            <w:tcW w:w="3402" w:type="dxa"/>
            <w:tcBorders>
              <w:top w:val="nil"/>
              <w:left w:val="nil"/>
              <w:bottom w:val="single" w:sz="4" w:space="0" w:color="808080"/>
              <w:right w:val="single" w:sz="4" w:space="0" w:color="808080"/>
            </w:tcBorders>
            <w:shd w:val="clear" w:color="auto" w:fill="auto"/>
            <w:noWrap/>
            <w:vAlign w:val="bottom"/>
            <w:hideMark/>
          </w:tcPr>
          <w:p w14:paraId="35BF31A1" w14:textId="77777777" w:rsidR="00677FB0" w:rsidRPr="00485F66" w:rsidRDefault="00677FB0" w:rsidP="008333B8">
            <w:pPr>
              <w:spacing w:after="0" w:line="240" w:lineRule="auto"/>
              <w:rPr>
                <w:sz w:val="20"/>
                <w:szCs w:val="20"/>
              </w:rPr>
            </w:pPr>
            <w:r w:rsidRPr="00485F66">
              <w:rPr>
                <w:sz w:val="20"/>
                <w:szCs w:val="20"/>
              </w:rPr>
              <w:t>30 mcg cap/tab + 150 mcg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02DFC10A" w14:textId="77777777" w:rsidR="00677FB0" w:rsidRPr="00485F66" w:rsidRDefault="00677FB0" w:rsidP="008333B8">
            <w:pPr>
              <w:spacing w:after="0" w:line="240" w:lineRule="auto"/>
              <w:jc w:val="right"/>
              <w:rPr>
                <w:sz w:val="20"/>
                <w:szCs w:val="20"/>
              </w:rPr>
            </w:pPr>
            <w:r w:rsidRPr="00485F66">
              <w:rPr>
                <w:sz w:val="20"/>
                <w:szCs w:val="20"/>
              </w:rPr>
              <w:t>28</w:t>
            </w:r>
          </w:p>
        </w:tc>
        <w:tc>
          <w:tcPr>
            <w:tcW w:w="1768" w:type="dxa"/>
            <w:tcBorders>
              <w:top w:val="nil"/>
              <w:left w:val="nil"/>
              <w:bottom w:val="single" w:sz="4" w:space="0" w:color="808080"/>
              <w:right w:val="single" w:sz="8" w:space="0" w:color="808080"/>
            </w:tcBorders>
            <w:shd w:val="clear" w:color="auto" w:fill="auto"/>
            <w:noWrap/>
            <w:vAlign w:val="bottom"/>
            <w:hideMark/>
          </w:tcPr>
          <w:p w14:paraId="5CFD3E0D" w14:textId="77777777" w:rsidR="00677FB0" w:rsidRPr="00485F66" w:rsidRDefault="00677FB0" w:rsidP="008333B8">
            <w:pPr>
              <w:spacing w:after="0" w:line="240" w:lineRule="auto"/>
              <w:jc w:val="right"/>
              <w:rPr>
                <w:sz w:val="20"/>
                <w:szCs w:val="20"/>
              </w:rPr>
            </w:pPr>
            <w:r w:rsidRPr="00485F66">
              <w:rPr>
                <w:sz w:val="20"/>
                <w:szCs w:val="20"/>
              </w:rPr>
              <w:t>21</w:t>
            </w:r>
          </w:p>
        </w:tc>
      </w:tr>
      <w:tr w:rsidR="00677FB0" w:rsidRPr="00485F66" w14:paraId="17D84C3E"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D778636" w14:textId="77777777" w:rsidR="00677FB0" w:rsidRPr="00485F66" w:rsidRDefault="00677FB0" w:rsidP="008333B8">
            <w:pPr>
              <w:spacing w:after="0" w:line="240" w:lineRule="auto"/>
              <w:rPr>
                <w:sz w:val="20"/>
                <w:szCs w:val="20"/>
              </w:rPr>
            </w:pPr>
            <w:r w:rsidRPr="00485F66">
              <w:rPr>
                <w:sz w:val="20"/>
                <w:szCs w:val="20"/>
              </w:rPr>
              <w:t>Levonorgestrel</w:t>
            </w:r>
          </w:p>
        </w:tc>
        <w:tc>
          <w:tcPr>
            <w:tcW w:w="3402" w:type="dxa"/>
            <w:tcBorders>
              <w:top w:val="nil"/>
              <w:left w:val="nil"/>
              <w:bottom w:val="single" w:sz="4" w:space="0" w:color="808080"/>
              <w:right w:val="single" w:sz="4" w:space="0" w:color="808080"/>
            </w:tcBorders>
            <w:shd w:val="clear" w:color="auto" w:fill="auto"/>
            <w:noWrap/>
            <w:vAlign w:val="bottom"/>
            <w:hideMark/>
          </w:tcPr>
          <w:p w14:paraId="4D64A3A7" w14:textId="77777777" w:rsidR="00677FB0" w:rsidRPr="00485F66" w:rsidRDefault="00677FB0" w:rsidP="008333B8">
            <w:pPr>
              <w:spacing w:after="0" w:line="240" w:lineRule="auto"/>
              <w:rPr>
                <w:sz w:val="20"/>
                <w:szCs w:val="20"/>
              </w:rPr>
            </w:pPr>
            <w:r w:rsidRPr="00485F66">
              <w:rPr>
                <w:sz w:val="20"/>
                <w:szCs w:val="20"/>
              </w:rPr>
              <w:t>30 mcg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28E715EF" w14:textId="77777777" w:rsidR="00677FB0" w:rsidRPr="00485F66" w:rsidRDefault="00677FB0" w:rsidP="008333B8">
            <w:pPr>
              <w:spacing w:after="0" w:line="240" w:lineRule="auto"/>
              <w:jc w:val="right"/>
              <w:rPr>
                <w:sz w:val="20"/>
                <w:szCs w:val="20"/>
              </w:rPr>
            </w:pPr>
            <w:r w:rsidRPr="00485F66">
              <w:rPr>
                <w:sz w:val="20"/>
                <w:szCs w:val="20"/>
              </w:rPr>
              <w:t>28</w:t>
            </w:r>
          </w:p>
        </w:tc>
        <w:tc>
          <w:tcPr>
            <w:tcW w:w="1768" w:type="dxa"/>
            <w:tcBorders>
              <w:top w:val="nil"/>
              <w:left w:val="nil"/>
              <w:bottom w:val="single" w:sz="4" w:space="0" w:color="808080"/>
              <w:right w:val="single" w:sz="8" w:space="0" w:color="808080"/>
            </w:tcBorders>
            <w:shd w:val="clear" w:color="auto" w:fill="auto"/>
            <w:noWrap/>
            <w:vAlign w:val="bottom"/>
            <w:hideMark/>
          </w:tcPr>
          <w:p w14:paraId="44414A9D" w14:textId="77777777" w:rsidR="00677FB0" w:rsidRPr="00485F66" w:rsidRDefault="00677FB0" w:rsidP="008333B8">
            <w:pPr>
              <w:spacing w:after="0" w:line="240" w:lineRule="auto"/>
              <w:jc w:val="right"/>
              <w:rPr>
                <w:sz w:val="20"/>
                <w:szCs w:val="20"/>
              </w:rPr>
            </w:pPr>
            <w:r w:rsidRPr="00485F66">
              <w:rPr>
                <w:sz w:val="20"/>
                <w:szCs w:val="20"/>
              </w:rPr>
              <w:t>28</w:t>
            </w:r>
          </w:p>
        </w:tc>
      </w:tr>
      <w:tr w:rsidR="00677FB0" w:rsidRPr="00485F66" w14:paraId="6FDD09AF"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FF1ACE1" w14:textId="77777777" w:rsidR="00677FB0" w:rsidRPr="00485F66" w:rsidRDefault="00677FB0" w:rsidP="008333B8">
            <w:pPr>
              <w:spacing w:after="0" w:line="240" w:lineRule="auto"/>
              <w:rPr>
                <w:sz w:val="20"/>
                <w:szCs w:val="20"/>
              </w:rPr>
            </w:pPr>
            <w:r w:rsidRPr="00485F66">
              <w:rPr>
                <w:sz w:val="20"/>
                <w:szCs w:val="20"/>
              </w:rPr>
              <w:t xml:space="preserve">Medroxyprogesterone acetate injection </w:t>
            </w:r>
          </w:p>
        </w:tc>
        <w:tc>
          <w:tcPr>
            <w:tcW w:w="3402" w:type="dxa"/>
            <w:tcBorders>
              <w:top w:val="nil"/>
              <w:left w:val="nil"/>
              <w:bottom w:val="single" w:sz="4" w:space="0" w:color="808080"/>
              <w:right w:val="single" w:sz="4" w:space="0" w:color="808080"/>
            </w:tcBorders>
            <w:shd w:val="clear" w:color="auto" w:fill="auto"/>
            <w:noWrap/>
            <w:vAlign w:val="bottom"/>
            <w:hideMark/>
          </w:tcPr>
          <w:p w14:paraId="55822315" w14:textId="77777777" w:rsidR="00677FB0" w:rsidRPr="00485F66" w:rsidRDefault="00677FB0" w:rsidP="008333B8">
            <w:pPr>
              <w:spacing w:after="0" w:line="240" w:lineRule="auto"/>
              <w:rPr>
                <w:sz w:val="20"/>
                <w:szCs w:val="20"/>
              </w:rPr>
            </w:pPr>
            <w:r w:rsidRPr="00485F66">
              <w:rPr>
                <w:sz w:val="20"/>
                <w:szCs w:val="20"/>
              </w:rPr>
              <w:t xml:space="preserve">IM 150 mg/mL </w:t>
            </w:r>
            <w:r w:rsidRPr="00485F66">
              <w:rPr>
                <w:b/>
                <w:bCs/>
                <w:sz w:val="20"/>
                <w:szCs w:val="20"/>
                <w:u w:val="single"/>
              </w:rPr>
              <w:t>OR</w:t>
            </w:r>
            <w:r w:rsidRPr="00485F66">
              <w:rPr>
                <w:sz w:val="20"/>
                <w:szCs w:val="20"/>
              </w:rPr>
              <w:t xml:space="preserve"> SC 104 mg/0.65mL</w:t>
            </w:r>
          </w:p>
        </w:tc>
        <w:tc>
          <w:tcPr>
            <w:tcW w:w="1418" w:type="dxa"/>
            <w:tcBorders>
              <w:top w:val="nil"/>
              <w:left w:val="nil"/>
              <w:bottom w:val="single" w:sz="4" w:space="0" w:color="808080"/>
              <w:right w:val="single" w:sz="4" w:space="0" w:color="808080"/>
            </w:tcBorders>
            <w:shd w:val="clear" w:color="auto" w:fill="auto"/>
            <w:noWrap/>
            <w:vAlign w:val="bottom"/>
            <w:hideMark/>
          </w:tcPr>
          <w:p w14:paraId="7C88B351" w14:textId="77777777" w:rsidR="00677FB0" w:rsidRPr="00485F66" w:rsidRDefault="00677FB0" w:rsidP="008333B8">
            <w:pPr>
              <w:spacing w:after="0" w:line="240" w:lineRule="auto"/>
              <w:jc w:val="right"/>
              <w:rPr>
                <w:sz w:val="20"/>
                <w:szCs w:val="20"/>
              </w:rPr>
            </w:pPr>
            <w:r w:rsidRPr="00485F66">
              <w:rPr>
                <w:sz w:val="20"/>
                <w:szCs w:val="20"/>
              </w:rPr>
              <w:t>84</w:t>
            </w:r>
          </w:p>
        </w:tc>
        <w:tc>
          <w:tcPr>
            <w:tcW w:w="1768" w:type="dxa"/>
            <w:tcBorders>
              <w:top w:val="nil"/>
              <w:left w:val="nil"/>
              <w:bottom w:val="single" w:sz="4" w:space="0" w:color="808080"/>
              <w:right w:val="single" w:sz="8" w:space="0" w:color="808080"/>
            </w:tcBorders>
            <w:shd w:val="clear" w:color="auto" w:fill="auto"/>
            <w:noWrap/>
            <w:vAlign w:val="bottom"/>
            <w:hideMark/>
          </w:tcPr>
          <w:p w14:paraId="235430B3" w14:textId="77777777" w:rsidR="00677FB0" w:rsidRPr="00485F66" w:rsidRDefault="00677FB0" w:rsidP="008333B8">
            <w:pPr>
              <w:spacing w:after="0" w:line="240" w:lineRule="auto"/>
              <w:jc w:val="right"/>
              <w:rPr>
                <w:sz w:val="20"/>
                <w:szCs w:val="20"/>
              </w:rPr>
            </w:pPr>
            <w:r w:rsidRPr="00485F66">
              <w:rPr>
                <w:sz w:val="20"/>
                <w:szCs w:val="20"/>
              </w:rPr>
              <w:t>1</w:t>
            </w:r>
          </w:p>
        </w:tc>
      </w:tr>
      <w:tr w:rsidR="00677FB0" w:rsidRPr="00485F66" w14:paraId="64E3E57B"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DC9636E" w14:textId="77777777" w:rsidR="00677FB0" w:rsidRPr="00485F66" w:rsidRDefault="00677FB0" w:rsidP="008333B8">
            <w:pPr>
              <w:spacing w:after="0" w:line="240" w:lineRule="auto"/>
              <w:rPr>
                <w:sz w:val="20"/>
                <w:szCs w:val="20"/>
              </w:rPr>
            </w:pPr>
            <w:r w:rsidRPr="00485F66">
              <w:rPr>
                <w:sz w:val="20"/>
                <w:szCs w:val="20"/>
              </w:rPr>
              <w:t>Progesterone-releasing implant: Etonogestrel OR Levonorgestrel</w:t>
            </w:r>
          </w:p>
        </w:tc>
        <w:tc>
          <w:tcPr>
            <w:tcW w:w="3402" w:type="dxa"/>
            <w:tcBorders>
              <w:top w:val="nil"/>
              <w:left w:val="nil"/>
              <w:bottom w:val="single" w:sz="4" w:space="0" w:color="808080"/>
              <w:right w:val="single" w:sz="4" w:space="0" w:color="808080"/>
            </w:tcBorders>
            <w:shd w:val="clear" w:color="auto" w:fill="auto"/>
            <w:noWrap/>
            <w:vAlign w:val="bottom"/>
            <w:hideMark/>
          </w:tcPr>
          <w:p w14:paraId="01F8392C" w14:textId="77777777" w:rsidR="00677FB0" w:rsidRPr="00485F66" w:rsidRDefault="00677FB0" w:rsidP="008333B8">
            <w:pPr>
              <w:spacing w:after="0" w:line="240" w:lineRule="auto"/>
              <w:rPr>
                <w:sz w:val="20"/>
                <w:szCs w:val="20"/>
              </w:rPr>
            </w:pPr>
            <w:r w:rsidRPr="00485F66">
              <w:rPr>
                <w:sz w:val="20"/>
                <w:szCs w:val="20"/>
              </w:rPr>
              <w:t>Etonogestrel 68 mg OR Levonorgestrel 150 mg</w:t>
            </w:r>
          </w:p>
        </w:tc>
        <w:tc>
          <w:tcPr>
            <w:tcW w:w="1418" w:type="dxa"/>
            <w:tcBorders>
              <w:top w:val="nil"/>
              <w:left w:val="nil"/>
              <w:bottom w:val="single" w:sz="4" w:space="0" w:color="808080"/>
              <w:right w:val="single" w:sz="4" w:space="0" w:color="808080"/>
            </w:tcBorders>
            <w:shd w:val="clear" w:color="auto" w:fill="auto"/>
            <w:noWrap/>
            <w:vAlign w:val="bottom"/>
            <w:hideMark/>
          </w:tcPr>
          <w:p w14:paraId="2AB60808" w14:textId="77777777" w:rsidR="00677FB0" w:rsidRPr="00485F66" w:rsidRDefault="00677FB0" w:rsidP="008333B8">
            <w:pPr>
              <w:spacing w:after="0" w:line="240" w:lineRule="auto"/>
              <w:jc w:val="right"/>
              <w:rPr>
                <w:sz w:val="20"/>
                <w:szCs w:val="20"/>
              </w:rPr>
            </w:pPr>
            <w:r w:rsidRPr="00485F66">
              <w:rPr>
                <w:sz w:val="20"/>
                <w:szCs w:val="20"/>
              </w:rPr>
              <w:t>3 or 5 years</w:t>
            </w:r>
          </w:p>
        </w:tc>
        <w:tc>
          <w:tcPr>
            <w:tcW w:w="1768" w:type="dxa"/>
            <w:tcBorders>
              <w:top w:val="nil"/>
              <w:left w:val="nil"/>
              <w:bottom w:val="single" w:sz="4" w:space="0" w:color="808080"/>
              <w:right w:val="single" w:sz="8" w:space="0" w:color="808080"/>
            </w:tcBorders>
            <w:shd w:val="clear" w:color="auto" w:fill="auto"/>
            <w:noWrap/>
            <w:vAlign w:val="bottom"/>
            <w:hideMark/>
          </w:tcPr>
          <w:p w14:paraId="245ED37B" w14:textId="77777777" w:rsidR="00677FB0" w:rsidRPr="00485F66" w:rsidRDefault="00677FB0" w:rsidP="008333B8">
            <w:pPr>
              <w:spacing w:after="0" w:line="240" w:lineRule="auto"/>
              <w:jc w:val="right"/>
              <w:rPr>
                <w:sz w:val="20"/>
                <w:szCs w:val="20"/>
              </w:rPr>
            </w:pPr>
            <w:r w:rsidRPr="00485F66">
              <w:rPr>
                <w:sz w:val="20"/>
                <w:szCs w:val="20"/>
              </w:rPr>
              <w:t>1</w:t>
            </w:r>
          </w:p>
        </w:tc>
      </w:tr>
      <w:tr w:rsidR="00677FB0" w:rsidRPr="00485F66" w14:paraId="15D41699"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5E78AAF" w14:textId="77777777" w:rsidR="00677FB0" w:rsidRPr="00485F66" w:rsidRDefault="00677FB0" w:rsidP="008333B8">
            <w:pPr>
              <w:spacing w:after="0" w:line="240" w:lineRule="auto"/>
              <w:rPr>
                <w:sz w:val="20"/>
                <w:szCs w:val="20"/>
              </w:rPr>
            </w:pPr>
            <w:r w:rsidRPr="00485F66">
              <w:rPr>
                <w:sz w:val="20"/>
                <w:szCs w:val="20"/>
              </w:rPr>
              <w:t xml:space="preserve">Levonorgestrel </w:t>
            </w:r>
          </w:p>
        </w:tc>
        <w:tc>
          <w:tcPr>
            <w:tcW w:w="3402" w:type="dxa"/>
            <w:tcBorders>
              <w:top w:val="nil"/>
              <w:left w:val="nil"/>
              <w:bottom w:val="single" w:sz="4" w:space="0" w:color="808080"/>
              <w:right w:val="single" w:sz="4" w:space="0" w:color="808080"/>
            </w:tcBorders>
            <w:shd w:val="clear" w:color="auto" w:fill="auto"/>
            <w:noWrap/>
            <w:vAlign w:val="bottom"/>
            <w:hideMark/>
          </w:tcPr>
          <w:p w14:paraId="6EC01DBC" w14:textId="77777777" w:rsidR="00677FB0" w:rsidRPr="00485F66" w:rsidRDefault="00677FB0" w:rsidP="008333B8">
            <w:pPr>
              <w:spacing w:after="0" w:line="240" w:lineRule="auto"/>
              <w:rPr>
                <w:sz w:val="20"/>
                <w:szCs w:val="20"/>
              </w:rPr>
            </w:pPr>
            <w:r w:rsidRPr="00485F66">
              <w:rPr>
                <w:sz w:val="20"/>
                <w:szCs w:val="20"/>
              </w:rPr>
              <w:t xml:space="preserve">750 mcg </w:t>
            </w:r>
            <w:r w:rsidRPr="00485F66">
              <w:rPr>
                <w:b/>
                <w:bCs/>
                <w:sz w:val="20"/>
                <w:szCs w:val="20"/>
                <w:u w:val="single"/>
              </w:rPr>
              <w:t>OR</w:t>
            </w:r>
            <w:r w:rsidRPr="00485F66">
              <w:rPr>
                <w:sz w:val="20"/>
                <w:szCs w:val="20"/>
              </w:rPr>
              <w:t xml:space="preserve"> 1.5 mg tablet</w:t>
            </w:r>
          </w:p>
        </w:tc>
        <w:tc>
          <w:tcPr>
            <w:tcW w:w="1418" w:type="dxa"/>
            <w:tcBorders>
              <w:top w:val="nil"/>
              <w:left w:val="nil"/>
              <w:bottom w:val="single" w:sz="4" w:space="0" w:color="808080"/>
              <w:right w:val="single" w:sz="4" w:space="0" w:color="808080"/>
            </w:tcBorders>
            <w:shd w:val="clear" w:color="auto" w:fill="auto"/>
            <w:noWrap/>
            <w:vAlign w:val="bottom"/>
            <w:hideMark/>
          </w:tcPr>
          <w:p w14:paraId="5B419E0C"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7F5909A6" w14:textId="75169280" w:rsidR="00677FB0" w:rsidRPr="00485F66" w:rsidRDefault="00677FB0" w:rsidP="008333B8">
            <w:pPr>
              <w:spacing w:after="0" w:line="240" w:lineRule="auto"/>
              <w:jc w:val="right"/>
              <w:rPr>
                <w:sz w:val="20"/>
                <w:szCs w:val="20"/>
              </w:rPr>
            </w:pPr>
            <w:r w:rsidRPr="00485F66">
              <w:rPr>
                <w:sz w:val="20"/>
                <w:szCs w:val="20"/>
              </w:rPr>
              <w:t xml:space="preserve">2 or 1 </w:t>
            </w:r>
          </w:p>
        </w:tc>
      </w:tr>
      <w:tr w:rsidR="00677FB0" w:rsidRPr="00485F66" w14:paraId="172C23FA"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473B7A3" w14:textId="77777777" w:rsidR="00677FB0" w:rsidRPr="00485F66" w:rsidRDefault="00677FB0" w:rsidP="008333B8">
            <w:pPr>
              <w:spacing w:after="0" w:line="240" w:lineRule="auto"/>
              <w:rPr>
                <w:sz w:val="20"/>
                <w:szCs w:val="20"/>
              </w:rPr>
            </w:pPr>
            <w:r w:rsidRPr="00485F66">
              <w:rPr>
                <w:sz w:val="20"/>
                <w:szCs w:val="20"/>
              </w:rPr>
              <w:t>Oral rehydration salts</w:t>
            </w:r>
          </w:p>
        </w:tc>
        <w:tc>
          <w:tcPr>
            <w:tcW w:w="3402" w:type="dxa"/>
            <w:tcBorders>
              <w:top w:val="nil"/>
              <w:left w:val="nil"/>
              <w:bottom w:val="single" w:sz="4" w:space="0" w:color="808080"/>
              <w:right w:val="single" w:sz="4" w:space="0" w:color="808080"/>
            </w:tcBorders>
            <w:shd w:val="clear" w:color="auto" w:fill="auto"/>
            <w:noWrap/>
            <w:vAlign w:val="bottom"/>
            <w:hideMark/>
          </w:tcPr>
          <w:p w14:paraId="6658A9B3" w14:textId="77777777" w:rsidR="00677FB0" w:rsidRPr="00485F66" w:rsidRDefault="00677FB0" w:rsidP="008333B8">
            <w:pPr>
              <w:spacing w:after="0" w:line="240" w:lineRule="auto"/>
              <w:rPr>
                <w:sz w:val="20"/>
                <w:szCs w:val="20"/>
              </w:rPr>
            </w:pPr>
            <w:r w:rsidRPr="00485F66">
              <w:rPr>
                <w:sz w:val="20"/>
                <w:szCs w:val="20"/>
              </w:rPr>
              <w:t>1 litre</w:t>
            </w:r>
          </w:p>
        </w:tc>
        <w:tc>
          <w:tcPr>
            <w:tcW w:w="1418" w:type="dxa"/>
            <w:tcBorders>
              <w:top w:val="nil"/>
              <w:left w:val="nil"/>
              <w:bottom w:val="single" w:sz="4" w:space="0" w:color="808080"/>
              <w:right w:val="single" w:sz="4" w:space="0" w:color="808080"/>
            </w:tcBorders>
            <w:shd w:val="clear" w:color="auto" w:fill="auto"/>
            <w:noWrap/>
            <w:vAlign w:val="bottom"/>
            <w:hideMark/>
          </w:tcPr>
          <w:p w14:paraId="72732EC9"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47D6D166" w14:textId="77777777" w:rsidR="00677FB0" w:rsidRPr="00485F66" w:rsidRDefault="00677FB0" w:rsidP="008333B8">
            <w:pPr>
              <w:spacing w:after="0" w:line="240" w:lineRule="auto"/>
              <w:jc w:val="right"/>
              <w:rPr>
                <w:sz w:val="20"/>
                <w:szCs w:val="20"/>
              </w:rPr>
            </w:pPr>
            <w:r w:rsidRPr="00485F66">
              <w:rPr>
                <w:sz w:val="20"/>
                <w:szCs w:val="20"/>
              </w:rPr>
              <w:t>3</w:t>
            </w:r>
          </w:p>
        </w:tc>
      </w:tr>
      <w:tr w:rsidR="00677FB0" w:rsidRPr="00485F66" w14:paraId="6A86E2EF"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36CF335" w14:textId="77777777" w:rsidR="00677FB0" w:rsidRPr="00485F66" w:rsidRDefault="00677FB0" w:rsidP="008333B8">
            <w:pPr>
              <w:spacing w:after="0" w:line="240" w:lineRule="auto"/>
              <w:rPr>
                <w:sz w:val="20"/>
                <w:szCs w:val="20"/>
              </w:rPr>
            </w:pPr>
            <w:r w:rsidRPr="00485F66">
              <w:rPr>
                <w:sz w:val="20"/>
                <w:szCs w:val="20"/>
              </w:rPr>
              <w:t xml:space="preserve">Zinc sulphate </w:t>
            </w:r>
          </w:p>
        </w:tc>
        <w:tc>
          <w:tcPr>
            <w:tcW w:w="3402" w:type="dxa"/>
            <w:tcBorders>
              <w:top w:val="nil"/>
              <w:left w:val="nil"/>
              <w:bottom w:val="single" w:sz="4" w:space="0" w:color="808080"/>
              <w:right w:val="single" w:sz="4" w:space="0" w:color="808080"/>
            </w:tcBorders>
            <w:shd w:val="clear" w:color="auto" w:fill="auto"/>
            <w:noWrap/>
            <w:vAlign w:val="bottom"/>
            <w:hideMark/>
          </w:tcPr>
          <w:p w14:paraId="55BAF35F" w14:textId="77777777" w:rsidR="00677FB0" w:rsidRPr="00485F66" w:rsidRDefault="00677FB0" w:rsidP="008333B8">
            <w:pPr>
              <w:spacing w:after="0" w:line="240" w:lineRule="auto"/>
              <w:rPr>
                <w:sz w:val="20"/>
                <w:szCs w:val="20"/>
              </w:rPr>
            </w:pPr>
            <w:r w:rsidRPr="00485F66">
              <w:rPr>
                <w:sz w:val="20"/>
                <w:szCs w:val="20"/>
              </w:rPr>
              <w:t>20mg dispersible tablet</w:t>
            </w:r>
          </w:p>
        </w:tc>
        <w:tc>
          <w:tcPr>
            <w:tcW w:w="1418" w:type="dxa"/>
            <w:tcBorders>
              <w:top w:val="nil"/>
              <w:left w:val="nil"/>
              <w:bottom w:val="single" w:sz="4" w:space="0" w:color="808080"/>
              <w:right w:val="single" w:sz="4" w:space="0" w:color="808080"/>
            </w:tcBorders>
            <w:shd w:val="clear" w:color="auto" w:fill="auto"/>
            <w:noWrap/>
            <w:vAlign w:val="bottom"/>
            <w:hideMark/>
          </w:tcPr>
          <w:p w14:paraId="0017696B" w14:textId="77777777" w:rsidR="00677FB0" w:rsidRPr="00485F66" w:rsidRDefault="00677FB0" w:rsidP="008333B8">
            <w:pPr>
              <w:spacing w:after="0" w:line="240" w:lineRule="auto"/>
              <w:jc w:val="right"/>
              <w:rPr>
                <w:sz w:val="20"/>
                <w:szCs w:val="20"/>
              </w:rPr>
            </w:pPr>
            <w:r w:rsidRPr="00485F66">
              <w:rPr>
                <w:sz w:val="20"/>
                <w:szCs w:val="20"/>
              </w:rPr>
              <w:t>14</w:t>
            </w:r>
          </w:p>
        </w:tc>
        <w:tc>
          <w:tcPr>
            <w:tcW w:w="1768" w:type="dxa"/>
            <w:tcBorders>
              <w:top w:val="nil"/>
              <w:left w:val="nil"/>
              <w:bottom w:val="single" w:sz="4" w:space="0" w:color="808080"/>
              <w:right w:val="single" w:sz="8" w:space="0" w:color="808080"/>
            </w:tcBorders>
            <w:shd w:val="clear" w:color="auto" w:fill="auto"/>
            <w:noWrap/>
            <w:vAlign w:val="bottom"/>
            <w:hideMark/>
          </w:tcPr>
          <w:p w14:paraId="1D33E28C" w14:textId="77777777" w:rsidR="00677FB0" w:rsidRPr="00485F66" w:rsidRDefault="00677FB0" w:rsidP="008333B8">
            <w:pPr>
              <w:spacing w:after="0" w:line="240" w:lineRule="auto"/>
              <w:jc w:val="right"/>
              <w:rPr>
                <w:sz w:val="20"/>
                <w:szCs w:val="20"/>
              </w:rPr>
            </w:pPr>
            <w:r w:rsidRPr="00485F66">
              <w:rPr>
                <w:sz w:val="20"/>
                <w:szCs w:val="20"/>
              </w:rPr>
              <w:t>14</w:t>
            </w:r>
          </w:p>
        </w:tc>
      </w:tr>
      <w:tr w:rsidR="00677FB0" w:rsidRPr="00485F66" w14:paraId="13DE7992" w14:textId="77777777" w:rsidTr="00731BB6">
        <w:trPr>
          <w:trHeight w:val="71"/>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3BCDCA4" w14:textId="77777777" w:rsidR="00677FB0" w:rsidRPr="00485F66" w:rsidRDefault="00677FB0" w:rsidP="008333B8">
            <w:pPr>
              <w:spacing w:after="0" w:line="240" w:lineRule="auto"/>
              <w:rPr>
                <w:sz w:val="20"/>
                <w:szCs w:val="20"/>
              </w:rPr>
            </w:pPr>
            <w:r w:rsidRPr="00485F66">
              <w:rPr>
                <w:sz w:val="20"/>
                <w:szCs w:val="20"/>
              </w:rPr>
              <w:t xml:space="preserve">Oxytocin </w:t>
            </w:r>
          </w:p>
        </w:tc>
        <w:tc>
          <w:tcPr>
            <w:tcW w:w="3402" w:type="dxa"/>
            <w:tcBorders>
              <w:top w:val="nil"/>
              <w:left w:val="nil"/>
              <w:bottom w:val="single" w:sz="4" w:space="0" w:color="808080"/>
              <w:right w:val="single" w:sz="4" w:space="0" w:color="808080"/>
            </w:tcBorders>
            <w:shd w:val="clear" w:color="auto" w:fill="auto"/>
            <w:noWrap/>
            <w:vAlign w:val="bottom"/>
            <w:hideMark/>
          </w:tcPr>
          <w:p w14:paraId="0F69560C" w14:textId="77777777" w:rsidR="00677FB0" w:rsidRPr="00485F66" w:rsidRDefault="00677FB0" w:rsidP="008333B8">
            <w:pPr>
              <w:spacing w:after="0" w:line="240" w:lineRule="auto"/>
              <w:rPr>
                <w:sz w:val="20"/>
                <w:szCs w:val="20"/>
              </w:rPr>
            </w:pPr>
            <w:r w:rsidRPr="00485F66">
              <w:rPr>
                <w:sz w:val="20"/>
                <w:szCs w:val="20"/>
              </w:rPr>
              <w:t>5iu or 10iu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5716D55D"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220423CF" w14:textId="77777777" w:rsidR="00677FB0" w:rsidRPr="00485F66" w:rsidRDefault="00677FB0" w:rsidP="008333B8">
            <w:pPr>
              <w:spacing w:after="0" w:line="240" w:lineRule="auto"/>
              <w:jc w:val="right"/>
              <w:rPr>
                <w:sz w:val="20"/>
                <w:szCs w:val="20"/>
              </w:rPr>
            </w:pPr>
            <w:r w:rsidRPr="00485F66">
              <w:rPr>
                <w:sz w:val="20"/>
                <w:szCs w:val="20"/>
              </w:rPr>
              <w:t>1</w:t>
            </w:r>
          </w:p>
        </w:tc>
      </w:tr>
      <w:tr w:rsidR="00677FB0" w:rsidRPr="00485F66" w14:paraId="459CE3D1"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8EA8073" w14:textId="77777777" w:rsidR="00677FB0" w:rsidRPr="00485F66" w:rsidRDefault="00677FB0" w:rsidP="008333B8">
            <w:pPr>
              <w:spacing w:after="0" w:line="240" w:lineRule="auto"/>
              <w:rPr>
                <w:sz w:val="20"/>
                <w:szCs w:val="20"/>
              </w:rPr>
            </w:pPr>
            <w:r w:rsidRPr="00485F66">
              <w:rPr>
                <w:sz w:val="20"/>
                <w:szCs w:val="20"/>
              </w:rPr>
              <w:t xml:space="preserve">Magnesium sulphate </w:t>
            </w:r>
          </w:p>
        </w:tc>
        <w:tc>
          <w:tcPr>
            <w:tcW w:w="3402" w:type="dxa"/>
            <w:tcBorders>
              <w:top w:val="nil"/>
              <w:left w:val="nil"/>
              <w:bottom w:val="single" w:sz="4" w:space="0" w:color="808080"/>
              <w:right w:val="single" w:sz="4" w:space="0" w:color="808080"/>
            </w:tcBorders>
            <w:shd w:val="clear" w:color="auto" w:fill="auto"/>
            <w:noWrap/>
            <w:vAlign w:val="bottom"/>
            <w:hideMark/>
          </w:tcPr>
          <w:p w14:paraId="374E8E46" w14:textId="77777777" w:rsidR="00677FB0" w:rsidRPr="00485F66" w:rsidRDefault="00677FB0" w:rsidP="008333B8">
            <w:pPr>
              <w:spacing w:after="0" w:line="240" w:lineRule="auto"/>
              <w:rPr>
                <w:sz w:val="20"/>
                <w:szCs w:val="20"/>
              </w:rPr>
            </w:pPr>
            <w:r w:rsidRPr="00485F66">
              <w:rPr>
                <w:sz w:val="20"/>
                <w:szCs w:val="20"/>
              </w:rPr>
              <w:t>50% 10ml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5BB4ECBE"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46EB22A5" w14:textId="77777777" w:rsidR="00677FB0" w:rsidRPr="00485F66" w:rsidRDefault="00677FB0" w:rsidP="008333B8">
            <w:pPr>
              <w:spacing w:after="0" w:line="240" w:lineRule="auto"/>
              <w:jc w:val="right"/>
              <w:rPr>
                <w:sz w:val="20"/>
                <w:szCs w:val="20"/>
              </w:rPr>
            </w:pPr>
            <w:r w:rsidRPr="00485F66">
              <w:rPr>
                <w:sz w:val="20"/>
                <w:szCs w:val="20"/>
              </w:rPr>
              <w:t>2</w:t>
            </w:r>
          </w:p>
        </w:tc>
      </w:tr>
      <w:tr w:rsidR="00677FB0" w:rsidRPr="00485F66" w14:paraId="5712349A"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EDC9488" w14:textId="77777777" w:rsidR="00677FB0" w:rsidRPr="00485F66" w:rsidRDefault="00677FB0" w:rsidP="008333B8">
            <w:pPr>
              <w:spacing w:after="0" w:line="240" w:lineRule="auto"/>
              <w:rPr>
                <w:sz w:val="20"/>
                <w:szCs w:val="20"/>
              </w:rPr>
            </w:pPr>
            <w:r w:rsidRPr="00485F66">
              <w:rPr>
                <w:sz w:val="20"/>
                <w:szCs w:val="20"/>
              </w:rPr>
              <w:t>Folic acid</w:t>
            </w:r>
          </w:p>
        </w:tc>
        <w:tc>
          <w:tcPr>
            <w:tcW w:w="3402" w:type="dxa"/>
            <w:tcBorders>
              <w:top w:val="nil"/>
              <w:left w:val="nil"/>
              <w:bottom w:val="single" w:sz="4" w:space="0" w:color="808080"/>
              <w:right w:val="single" w:sz="4" w:space="0" w:color="808080"/>
            </w:tcBorders>
            <w:shd w:val="clear" w:color="auto" w:fill="auto"/>
            <w:noWrap/>
            <w:vAlign w:val="bottom"/>
            <w:hideMark/>
          </w:tcPr>
          <w:p w14:paraId="5F3AE372" w14:textId="77777777" w:rsidR="00677FB0" w:rsidRPr="00485F66" w:rsidRDefault="00677FB0" w:rsidP="008333B8">
            <w:pPr>
              <w:spacing w:after="0" w:line="240" w:lineRule="auto"/>
              <w:rPr>
                <w:sz w:val="20"/>
                <w:szCs w:val="20"/>
              </w:rPr>
            </w:pPr>
            <w:r w:rsidRPr="00485F66">
              <w:rPr>
                <w:sz w:val="20"/>
                <w:szCs w:val="20"/>
              </w:rPr>
              <w:t>400 mcg tablet</w:t>
            </w:r>
          </w:p>
        </w:tc>
        <w:tc>
          <w:tcPr>
            <w:tcW w:w="1418" w:type="dxa"/>
            <w:tcBorders>
              <w:top w:val="nil"/>
              <w:left w:val="nil"/>
              <w:bottom w:val="single" w:sz="4" w:space="0" w:color="808080"/>
              <w:right w:val="single" w:sz="4" w:space="0" w:color="808080"/>
            </w:tcBorders>
            <w:shd w:val="clear" w:color="auto" w:fill="auto"/>
            <w:noWrap/>
            <w:vAlign w:val="bottom"/>
            <w:hideMark/>
          </w:tcPr>
          <w:p w14:paraId="71347589"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48E02E8"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170ED5F2"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078EC3B" w14:textId="77777777" w:rsidR="00677FB0" w:rsidRPr="00485F66" w:rsidRDefault="00677FB0" w:rsidP="008333B8">
            <w:pPr>
              <w:spacing w:after="0" w:line="240" w:lineRule="auto"/>
              <w:rPr>
                <w:sz w:val="20"/>
                <w:szCs w:val="20"/>
              </w:rPr>
            </w:pPr>
            <w:r w:rsidRPr="00485F66">
              <w:rPr>
                <w:sz w:val="20"/>
                <w:szCs w:val="20"/>
              </w:rPr>
              <w:t xml:space="preserve">Artemether+lumefantrine  </w:t>
            </w:r>
          </w:p>
        </w:tc>
        <w:tc>
          <w:tcPr>
            <w:tcW w:w="3402" w:type="dxa"/>
            <w:tcBorders>
              <w:top w:val="nil"/>
              <w:left w:val="nil"/>
              <w:bottom w:val="single" w:sz="4" w:space="0" w:color="808080"/>
              <w:right w:val="single" w:sz="4" w:space="0" w:color="808080"/>
            </w:tcBorders>
            <w:shd w:val="clear" w:color="auto" w:fill="auto"/>
            <w:noWrap/>
            <w:vAlign w:val="bottom"/>
            <w:hideMark/>
          </w:tcPr>
          <w:p w14:paraId="6A0B9009" w14:textId="77777777" w:rsidR="00677FB0" w:rsidRPr="00485F66" w:rsidRDefault="00677FB0" w:rsidP="008333B8">
            <w:pPr>
              <w:spacing w:after="0" w:line="240" w:lineRule="auto"/>
              <w:rPr>
                <w:sz w:val="20"/>
                <w:szCs w:val="20"/>
              </w:rPr>
            </w:pPr>
            <w:r w:rsidRPr="00485F66">
              <w:rPr>
                <w:sz w:val="20"/>
                <w:szCs w:val="20"/>
              </w:rPr>
              <w:t>20/120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58A1AC2B" w14:textId="77777777" w:rsidR="00677FB0" w:rsidRPr="00485F66" w:rsidRDefault="00677FB0" w:rsidP="008333B8">
            <w:pPr>
              <w:spacing w:after="0" w:line="240" w:lineRule="auto"/>
              <w:jc w:val="right"/>
              <w:rPr>
                <w:sz w:val="20"/>
                <w:szCs w:val="20"/>
              </w:rPr>
            </w:pPr>
            <w:r w:rsidRPr="00485F66">
              <w:rPr>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4D56D3F9" w14:textId="77777777" w:rsidR="00677FB0" w:rsidRPr="00485F66" w:rsidRDefault="00677FB0" w:rsidP="008333B8">
            <w:pPr>
              <w:spacing w:after="0" w:line="240" w:lineRule="auto"/>
              <w:jc w:val="right"/>
              <w:rPr>
                <w:sz w:val="20"/>
                <w:szCs w:val="20"/>
              </w:rPr>
            </w:pPr>
            <w:r w:rsidRPr="00485F66">
              <w:rPr>
                <w:sz w:val="20"/>
                <w:szCs w:val="20"/>
              </w:rPr>
              <w:t>24</w:t>
            </w:r>
          </w:p>
        </w:tc>
      </w:tr>
      <w:tr w:rsidR="00677FB0" w:rsidRPr="00485F66" w14:paraId="2E33BC91"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F325A44" w14:textId="77777777" w:rsidR="00677FB0" w:rsidRPr="00485F66" w:rsidRDefault="00677FB0" w:rsidP="008333B8">
            <w:pPr>
              <w:spacing w:after="0" w:line="240" w:lineRule="auto"/>
              <w:rPr>
                <w:sz w:val="20"/>
                <w:szCs w:val="20"/>
              </w:rPr>
            </w:pPr>
            <w:r w:rsidRPr="00485F66">
              <w:rPr>
                <w:sz w:val="20"/>
                <w:szCs w:val="20"/>
              </w:rPr>
              <w:t xml:space="preserve">Artesunate+amodiaquine  </w:t>
            </w:r>
          </w:p>
        </w:tc>
        <w:tc>
          <w:tcPr>
            <w:tcW w:w="3402" w:type="dxa"/>
            <w:tcBorders>
              <w:top w:val="nil"/>
              <w:left w:val="nil"/>
              <w:bottom w:val="single" w:sz="4" w:space="0" w:color="808080"/>
              <w:right w:val="single" w:sz="4" w:space="0" w:color="808080"/>
            </w:tcBorders>
            <w:shd w:val="clear" w:color="auto" w:fill="auto"/>
            <w:noWrap/>
            <w:vAlign w:val="bottom"/>
            <w:hideMark/>
          </w:tcPr>
          <w:p w14:paraId="39BDA2C4" w14:textId="77777777" w:rsidR="00677FB0" w:rsidRPr="00485F66" w:rsidRDefault="00677FB0" w:rsidP="008333B8">
            <w:pPr>
              <w:spacing w:after="0" w:line="240" w:lineRule="auto"/>
              <w:rPr>
                <w:sz w:val="20"/>
                <w:szCs w:val="20"/>
              </w:rPr>
            </w:pPr>
            <w:r w:rsidRPr="00485F66">
              <w:rPr>
                <w:sz w:val="20"/>
                <w:szCs w:val="20"/>
              </w:rPr>
              <w:t>100 mg + 270 mg</w:t>
            </w:r>
          </w:p>
        </w:tc>
        <w:tc>
          <w:tcPr>
            <w:tcW w:w="1418" w:type="dxa"/>
            <w:tcBorders>
              <w:top w:val="nil"/>
              <w:left w:val="nil"/>
              <w:bottom w:val="single" w:sz="4" w:space="0" w:color="808080"/>
              <w:right w:val="single" w:sz="4" w:space="0" w:color="808080"/>
            </w:tcBorders>
            <w:shd w:val="clear" w:color="auto" w:fill="auto"/>
            <w:noWrap/>
            <w:vAlign w:val="bottom"/>
            <w:hideMark/>
          </w:tcPr>
          <w:p w14:paraId="3B1A1EA8" w14:textId="77777777" w:rsidR="00677FB0" w:rsidRPr="00485F66" w:rsidRDefault="00677FB0" w:rsidP="008333B8">
            <w:pPr>
              <w:spacing w:after="0" w:line="240" w:lineRule="auto"/>
              <w:jc w:val="right"/>
              <w:rPr>
                <w:sz w:val="20"/>
                <w:szCs w:val="20"/>
              </w:rPr>
            </w:pPr>
            <w:r w:rsidRPr="00485F66">
              <w:rPr>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7416EA9F" w14:textId="77777777" w:rsidR="00677FB0" w:rsidRPr="00485F66" w:rsidRDefault="00677FB0" w:rsidP="008333B8">
            <w:pPr>
              <w:spacing w:after="0" w:line="240" w:lineRule="auto"/>
              <w:jc w:val="right"/>
              <w:rPr>
                <w:sz w:val="20"/>
                <w:szCs w:val="20"/>
              </w:rPr>
            </w:pPr>
            <w:r w:rsidRPr="00485F66">
              <w:rPr>
                <w:sz w:val="20"/>
                <w:szCs w:val="20"/>
              </w:rPr>
              <w:t>6</w:t>
            </w:r>
          </w:p>
        </w:tc>
      </w:tr>
      <w:tr w:rsidR="00677FB0" w:rsidRPr="00485F66" w14:paraId="79F1D563"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1D5C23F" w14:textId="77777777" w:rsidR="00677FB0" w:rsidRPr="00485F66" w:rsidRDefault="00677FB0" w:rsidP="008333B8">
            <w:pPr>
              <w:spacing w:after="0" w:line="240" w:lineRule="auto"/>
              <w:rPr>
                <w:sz w:val="20"/>
                <w:szCs w:val="20"/>
              </w:rPr>
            </w:pPr>
            <w:r w:rsidRPr="00485F66">
              <w:rPr>
                <w:sz w:val="20"/>
                <w:szCs w:val="20"/>
              </w:rPr>
              <w:t xml:space="preserve">Artesunate+mefloquine </w:t>
            </w:r>
          </w:p>
        </w:tc>
        <w:tc>
          <w:tcPr>
            <w:tcW w:w="3402" w:type="dxa"/>
            <w:tcBorders>
              <w:top w:val="nil"/>
              <w:left w:val="nil"/>
              <w:bottom w:val="single" w:sz="4" w:space="0" w:color="808080"/>
              <w:right w:val="single" w:sz="4" w:space="0" w:color="808080"/>
            </w:tcBorders>
            <w:shd w:val="clear" w:color="auto" w:fill="auto"/>
            <w:noWrap/>
            <w:vAlign w:val="bottom"/>
            <w:hideMark/>
          </w:tcPr>
          <w:p w14:paraId="5089ADDF" w14:textId="77777777" w:rsidR="00677FB0" w:rsidRPr="00485F66" w:rsidRDefault="00677FB0" w:rsidP="008333B8">
            <w:pPr>
              <w:spacing w:after="0" w:line="240" w:lineRule="auto"/>
              <w:rPr>
                <w:sz w:val="20"/>
                <w:szCs w:val="20"/>
              </w:rPr>
            </w:pPr>
            <w:r w:rsidRPr="00485F66">
              <w:rPr>
                <w:sz w:val="20"/>
                <w:szCs w:val="20"/>
              </w:rPr>
              <w:t>100 mg + 220 mg</w:t>
            </w:r>
          </w:p>
        </w:tc>
        <w:tc>
          <w:tcPr>
            <w:tcW w:w="1418" w:type="dxa"/>
            <w:tcBorders>
              <w:top w:val="nil"/>
              <w:left w:val="nil"/>
              <w:bottom w:val="single" w:sz="4" w:space="0" w:color="808080"/>
              <w:right w:val="single" w:sz="4" w:space="0" w:color="808080"/>
            </w:tcBorders>
            <w:shd w:val="clear" w:color="auto" w:fill="auto"/>
            <w:noWrap/>
            <w:vAlign w:val="bottom"/>
            <w:hideMark/>
          </w:tcPr>
          <w:p w14:paraId="4CE02CB0" w14:textId="77777777" w:rsidR="00677FB0" w:rsidRPr="00485F66" w:rsidRDefault="00677FB0" w:rsidP="008333B8">
            <w:pPr>
              <w:spacing w:after="0" w:line="240" w:lineRule="auto"/>
              <w:jc w:val="right"/>
              <w:rPr>
                <w:sz w:val="20"/>
                <w:szCs w:val="20"/>
              </w:rPr>
            </w:pPr>
            <w:r w:rsidRPr="00485F66">
              <w:rPr>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4F1F2C43" w14:textId="77777777" w:rsidR="00677FB0" w:rsidRPr="00485F66" w:rsidRDefault="00677FB0" w:rsidP="008333B8">
            <w:pPr>
              <w:spacing w:after="0" w:line="240" w:lineRule="auto"/>
              <w:jc w:val="right"/>
              <w:rPr>
                <w:sz w:val="20"/>
                <w:szCs w:val="20"/>
              </w:rPr>
            </w:pPr>
            <w:r w:rsidRPr="00485F66">
              <w:rPr>
                <w:sz w:val="20"/>
                <w:szCs w:val="20"/>
              </w:rPr>
              <w:t>6</w:t>
            </w:r>
          </w:p>
        </w:tc>
      </w:tr>
      <w:tr w:rsidR="00677FB0" w:rsidRPr="00485F66" w14:paraId="36A8A510"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4D942901" w14:textId="77777777" w:rsidR="00677FB0" w:rsidRPr="00485F66" w:rsidRDefault="00677FB0" w:rsidP="008333B8">
            <w:pPr>
              <w:spacing w:after="0" w:line="240" w:lineRule="auto"/>
              <w:rPr>
                <w:sz w:val="20"/>
                <w:szCs w:val="20"/>
              </w:rPr>
            </w:pPr>
            <w:r w:rsidRPr="00485F66">
              <w:rPr>
                <w:sz w:val="20"/>
                <w:szCs w:val="20"/>
              </w:rPr>
              <w:t xml:space="preserve">Dihydroartemisinin+piperaquine </w:t>
            </w:r>
          </w:p>
        </w:tc>
        <w:tc>
          <w:tcPr>
            <w:tcW w:w="3402" w:type="dxa"/>
            <w:tcBorders>
              <w:top w:val="nil"/>
              <w:left w:val="nil"/>
              <w:bottom w:val="single" w:sz="4" w:space="0" w:color="808080"/>
              <w:right w:val="single" w:sz="4" w:space="0" w:color="808080"/>
            </w:tcBorders>
            <w:shd w:val="clear" w:color="auto" w:fill="auto"/>
            <w:noWrap/>
            <w:vAlign w:val="bottom"/>
            <w:hideMark/>
          </w:tcPr>
          <w:p w14:paraId="47F5F6BC" w14:textId="77777777" w:rsidR="00677FB0" w:rsidRPr="00485F66" w:rsidRDefault="00677FB0" w:rsidP="008333B8">
            <w:pPr>
              <w:spacing w:after="0" w:line="240" w:lineRule="auto"/>
              <w:rPr>
                <w:sz w:val="20"/>
                <w:szCs w:val="20"/>
              </w:rPr>
            </w:pPr>
            <w:r w:rsidRPr="00485F66">
              <w:rPr>
                <w:sz w:val="20"/>
                <w:szCs w:val="20"/>
              </w:rPr>
              <w:t>40 mg + 320 mg</w:t>
            </w:r>
          </w:p>
        </w:tc>
        <w:tc>
          <w:tcPr>
            <w:tcW w:w="1418" w:type="dxa"/>
            <w:tcBorders>
              <w:top w:val="nil"/>
              <w:left w:val="nil"/>
              <w:bottom w:val="single" w:sz="4" w:space="0" w:color="808080"/>
              <w:right w:val="single" w:sz="4" w:space="0" w:color="808080"/>
            </w:tcBorders>
            <w:shd w:val="clear" w:color="auto" w:fill="auto"/>
            <w:noWrap/>
            <w:vAlign w:val="bottom"/>
            <w:hideMark/>
          </w:tcPr>
          <w:p w14:paraId="42076F4D" w14:textId="77777777" w:rsidR="00677FB0" w:rsidRPr="00485F66" w:rsidRDefault="00677FB0" w:rsidP="008333B8">
            <w:pPr>
              <w:spacing w:after="0" w:line="240" w:lineRule="auto"/>
              <w:jc w:val="right"/>
              <w:rPr>
                <w:sz w:val="20"/>
                <w:szCs w:val="20"/>
              </w:rPr>
            </w:pPr>
            <w:r w:rsidRPr="00485F66">
              <w:rPr>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3245B11E" w14:textId="77777777" w:rsidR="00677FB0" w:rsidRPr="00485F66" w:rsidRDefault="00677FB0" w:rsidP="008333B8">
            <w:pPr>
              <w:spacing w:after="0" w:line="240" w:lineRule="auto"/>
              <w:jc w:val="right"/>
              <w:rPr>
                <w:sz w:val="20"/>
                <w:szCs w:val="20"/>
              </w:rPr>
            </w:pPr>
            <w:r w:rsidRPr="00485F66">
              <w:rPr>
                <w:sz w:val="20"/>
                <w:szCs w:val="20"/>
              </w:rPr>
              <w:t>9</w:t>
            </w:r>
          </w:p>
        </w:tc>
      </w:tr>
      <w:tr w:rsidR="00677FB0" w:rsidRPr="00485F66" w14:paraId="6911D6D2"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ED1367E" w14:textId="77777777" w:rsidR="00677FB0" w:rsidRPr="00485F66" w:rsidRDefault="00677FB0" w:rsidP="008333B8">
            <w:pPr>
              <w:spacing w:after="0" w:line="240" w:lineRule="auto"/>
              <w:rPr>
                <w:sz w:val="20"/>
                <w:szCs w:val="20"/>
              </w:rPr>
            </w:pPr>
            <w:r w:rsidRPr="00485F66">
              <w:rPr>
                <w:sz w:val="20"/>
                <w:szCs w:val="20"/>
              </w:rPr>
              <w:t xml:space="preserve">Artesunate+sulfadoxine-pyrimethamine </w:t>
            </w:r>
          </w:p>
        </w:tc>
        <w:tc>
          <w:tcPr>
            <w:tcW w:w="3402" w:type="dxa"/>
            <w:tcBorders>
              <w:top w:val="nil"/>
              <w:left w:val="nil"/>
              <w:bottom w:val="single" w:sz="4" w:space="0" w:color="808080"/>
              <w:right w:val="single" w:sz="4" w:space="0" w:color="808080"/>
            </w:tcBorders>
            <w:shd w:val="clear" w:color="auto" w:fill="auto"/>
            <w:noWrap/>
            <w:vAlign w:val="bottom"/>
            <w:hideMark/>
          </w:tcPr>
          <w:p w14:paraId="3B247E41" w14:textId="77777777" w:rsidR="00677FB0" w:rsidRPr="00485F66" w:rsidRDefault="00677FB0" w:rsidP="008333B8">
            <w:pPr>
              <w:spacing w:after="0" w:line="240" w:lineRule="auto"/>
              <w:rPr>
                <w:sz w:val="20"/>
                <w:szCs w:val="20"/>
              </w:rPr>
            </w:pPr>
            <w:r w:rsidRPr="00485F66">
              <w:rPr>
                <w:sz w:val="20"/>
                <w:szCs w:val="20"/>
              </w:rPr>
              <w:t>200 mg + 1500mg + 75mg</w:t>
            </w:r>
          </w:p>
        </w:tc>
        <w:tc>
          <w:tcPr>
            <w:tcW w:w="1418" w:type="dxa"/>
            <w:tcBorders>
              <w:top w:val="nil"/>
              <w:left w:val="nil"/>
              <w:bottom w:val="single" w:sz="4" w:space="0" w:color="808080"/>
              <w:right w:val="single" w:sz="4" w:space="0" w:color="808080"/>
            </w:tcBorders>
            <w:shd w:val="clear" w:color="auto" w:fill="auto"/>
            <w:noWrap/>
            <w:vAlign w:val="bottom"/>
            <w:hideMark/>
          </w:tcPr>
          <w:p w14:paraId="020C4E79" w14:textId="77777777" w:rsidR="00677FB0" w:rsidRPr="00485F66" w:rsidRDefault="00677FB0" w:rsidP="008333B8">
            <w:pPr>
              <w:spacing w:after="0" w:line="240" w:lineRule="auto"/>
              <w:jc w:val="right"/>
              <w:rPr>
                <w:sz w:val="20"/>
                <w:szCs w:val="20"/>
              </w:rPr>
            </w:pPr>
            <w:r w:rsidRPr="00485F66">
              <w:rPr>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2D2B16AE" w14:textId="77777777" w:rsidR="00677FB0" w:rsidRPr="00485F66" w:rsidRDefault="00677FB0" w:rsidP="008333B8">
            <w:pPr>
              <w:spacing w:after="0" w:line="240" w:lineRule="auto"/>
              <w:jc w:val="right"/>
              <w:rPr>
                <w:sz w:val="20"/>
                <w:szCs w:val="20"/>
              </w:rPr>
            </w:pPr>
            <w:r w:rsidRPr="00485F66">
              <w:rPr>
                <w:sz w:val="20"/>
                <w:szCs w:val="20"/>
              </w:rPr>
              <w:t>3 + 1</w:t>
            </w:r>
          </w:p>
        </w:tc>
      </w:tr>
      <w:tr w:rsidR="00677FB0" w:rsidRPr="00485F66" w14:paraId="726DD194"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6C6B1D50" w14:textId="77777777" w:rsidR="00677FB0" w:rsidRPr="00485F66" w:rsidRDefault="00677FB0" w:rsidP="008333B8">
            <w:pPr>
              <w:spacing w:after="0" w:line="240" w:lineRule="auto"/>
              <w:rPr>
                <w:sz w:val="20"/>
                <w:szCs w:val="20"/>
              </w:rPr>
            </w:pPr>
            <w:r w:rsidRPr="00485F66">
              <w:rPr>
                <w:sz w:val="20"/>
                <w:szCs w:val="20"/>
              </w:rPr>
              <w:t xml:space="preserve">Artesunate </w:t>
            </w:r>
          </w:p>
        </w:tc>
        <w:tc>
          <w:tcPr>
            <w:tcW w:w="3402" w:type="dxa"/>
            <w:tcBorders>
              <w:top w:val="nil"/>
              <w:left w:val="nil"/>
              <w:bottom w:val="single" w:sz="4" w:space="0" w:color="808080"/>
              <w:right w:val="single" w:sz="4" w:space="0" w:color="808080"/>
            </w:tcBorders>
            <w:shd w:val="clear" w:color="auto" w:fill="auto"/>
            <w:noWrap/>
            <w:vAlign w:val="bottom"/>
            <w:hideMark/>
          </w:tcPr>
          <w:p w14:paraId="64507CE6" w14:textId="77777777" w:rsidR="00677FB0" w:rsidRPr="00485F66" w:rsidRDefault="00677FB0" w:rsidP="008333B8">
            <w:pPr>
              <w:spacing w:after="0" w:line="240" w:lineRule="auto"/>
              <w:rPr>
                <w:sz w:val="20"/>
                <w:szCs w:val="20"/>
              </w:rPr>
            </w:pPr>
            <w:r w:rsidRPr="00485F66">
              <w:rPr>
                <w:sz w:val="20"/>
                <w:szCs w:val="20"/>
              </w:rPr>
              <w:t xml:space="preserve">60 mg injection </w:t>
            </w:r>
            <w:r w:rsidRPr="00485F66">
              <w:rPr>
                <w:b/>
                <w:bCs/>
                <w:sz w:val="20"/>
                <w:szCs w:val="20"/>
                <w:u w:val="single"/>
              </w:rPr>
              <w:t>OR</w:t>
            </w:r>
            <w:r w:rsidRPr="00485F66">
              <w:rPr>
                <w:sz w:val="20"/>
                <w:szCs w:val="20"/>
              </w:rPr>
              <w:t xml:space="preserve"> 100 mg rectal dose form</w:t>
            </w:r>
          </w:p>
        </w:tc>
        <w:tc>
          <w:tcPr>
            <w:tcW w:w="1418" w:type="dxa"/>
            <w:tcBorders>
              <w:top w:val="nil"/>
              <w:left w:val="nil"/>
              <w:bottom w:val="single" w:sz="4" w:space="0" w:color="808080"/>
              <w:right w:val="single" w:sz="4" w:space="0" w:color="808080"/>
            </w:tcBorders>
            <w:shd w:val="clear" w:color="auto" w:fill="auto"/>
            <w:noWrap/>
            <w:vAlign w:val="bottom"/>
            <w:hideMark/>
          </w:tcPr>
          <w:p w14:paraId="7ED4608A"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348877EF" w14:textId="77777777" w:rsidR="00677FB0" w:rsidRPr="00485F66" w:rsidRDefault="00677FB0" w:rsidP="008333B8">
            <w:pPr>
              <w:spacing w:after="0" w:line="240" w:lineRule="auto"/>
              <w:jc w:val="right"/>
              <w:rPr>
                <w:sz w:val="20"/>
                <w:szCs w:val="20"/>
              </w:rPr>
            </w:pPr>
            <w:r w:rsidRPr="00485F66">
              <w:rPr>
                <w:sz w:val="20"/>
                <w:szCs w:val="20"/>
              </w:rPr>
              <w:t>1</w:t>
            </w:r>
          </w:p>
        </w:tc>
      </w:tr>
      <w:tr w:rsidR="00677FB0" w:rsidRPr="00485F66" w14:paraId="6886CA5A"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bottom"/>
            <w:hideMark/>
          </w:tcPr>
          <w:p w14:paraId="7A0E1F16" w14:textId="77777777" w:rsidR="00677FB0" w:rsidRPr="00485F66" w:rsidRDefault="00677FB0" w:rsidP="008333B8">
            <w:pPr>
              <w:spacing w:after="0" w:line="240" w:lineRule="auto"/>
              <w:rPr>
                <w:sz w:val="20"/>
                <w:szCs w:val="20"/>
              </w:rPr>
            </w:pPr>
            <w:r w:rsidRPr="00485F66">
              <w:rPr>
                <w:sz w:val="20"/>
                <w:szCs w:val="20"/>
              </w:rPr>
              <w:t>Efavirenz + Emtricitabine + Tenofovir disoproxil fumarate</w:t>
            </w:r>
          </w:p>
        </w:tc>
        <w:tc>
          <w:tcPr>
            <w:tcW w:w="3402" w:type="dxa"/>
            <w:tcBorders>
              <w:top w:val="nil"/>
              <w:left w:val="nil"/>
              <w:bottom w:val="single" w:sz="4" w:space="0" w:color="808080"/>
              <w:right w:val="single" w:sz="4" w:space="0" w:color="808080"/>
            </w:tcBorders>
            <w:shd w:val="clear" w:color="auto" w:fill="auto"/>
            <w:noWrap/>
            <w:vAlign w:val="bottom"/>
            <w:hideMark/>
          </w:tcPr>
          <w:p w14:paraId="0ACB86A8" w14:textId="77777777" w:rsidR="00677FB0" w:rsidRPr="00485F66" w:rsidRDefault="00677FB0" w:rsidP="008333B8">
            <w:pPr>
              <w:spacing w:after="0" w:line="240" w:lineRule="auto"/>
              <w:rPr>
                <w:sz w:val="20"/>
                <w:szCs w:val="20"/>
              </w:rPr>
            </w:pPr>
            <w:r w:rsidRPr="00485F66">
              <w:rPr>
                <w:sz w:val="20"/>
                <w:szCs w:val="20"/>
              </w:rPr>
              <w:t xml:space="preserve"> 400 mg OR 600 mg +  200 mg + 300 mg</w:t>
            </w:r>
          </w:p>
        </w:tc>
        <w:tc>
          <w:tcPr>
            <w:tcW w:w="1418" w:type="dxa"/>
            <w:tcBorders>
              <w:top w:val="nil"/>
              <w:left w:val="nil"/>
              <w:bottom w:val="single" w:sz="4" w:space="0" w:color="808080"/>
              <w:right w:val="single" w:sz="4" w:space="0" w:color="808080"/>
            </w:tcBorders>
            <w:shd w:val="clear" w:color="auto" w:fill="auto"/>
            <w:noWrap/>
            <w:vAlign w:val="bottom"/>
            <w:hideMark/>
          </w:tcPr>
          <w:p w14:paraId="3CF991A8"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4D559D77"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40F55AD7"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bottom"/>
            <w:hideMark/>
          </w:tcPr>
          <w:p w14:paraId="160DBCA9" w14:textId="77777777" w:rsidR="00677FB0" w:rsidRPr="00485F66" w:rsidRDefault="00677FB0" w:rsidP="008333B8">
            <w:pPr>
              <w:spacing w:after="0" w:line="240" w:lineRule="auto"/>
              <w:rPr>
                <w:sz w:val="20"/>
                <w:szCs w:val="20"/>
              </w:rPr>
            </w:pPr>
            <w:r w:rsidRPr="00485F66">
              <w:rPr>
                <w:sz w:val="20"/>
                <w:szCs w:val="20"/>
              </w:rPr>
              <w:t xml:space="preserve">Efavirenz  + Lamivudine + Tenofovir </w:t>
            </w:r>
            <w:r w:rsidRPr="00485F66">
              <w:rPr>
                <w:sz w:val="20"/>
                <w:szCs w:val="20"/>
              </w:rPr>
              <w:lastRenderedPageBreak/>
              <w:t>disoproxil fumarate</w:t>
            </w:r>
          </w:p>
        </w:tc>
        <w:tc>
          <w:tcPr>
            <w:tcW w:w="3402" w:type="dxa"/>
            <w:tcBorders>
              <w:top w:val="nil"/>
              <w:left w:val="nil"/>
              <w:bottom w:val="single" w:sz="4" w:space="0" w:color="808080"/>
              <w:right w:val="single" w:sz="4" w:space="0" w:color="808080"/>
            </w:tcBorders>
            <w:shd w:val="clear" w:color="auto" w:fill="auto"/>
            <w:noWrap/>
            <w:vAlign w:val="bottom"/>
            <w:hideMark/>
          </w:tcPr>
          <w:p w14:paraId="280B4A55" w14:textId="77777777" w:rsidR="00677FB0" w:rsidRPr="00485F66" w:rsidRDefault="00677FB0" w:rsidP="008333B8">
            <w:pPr>
              <w:spacing w:after="0" w:line="240" w:lineRule="auto"/>
              <w:rPr>
                <w:sz w:val="20"/>
                <w:szCs w:val="20"/>
              </w:rPr>
            </w:pPr>
            <w:r w:rsidRPr="00485F66">
              <w:rPr>
                <w:sz w:val="20"/>
                <w:szCs w:val="20"/>
              </w:rPr>
              <w:lastRenderedPageBreak/>
              <w:t>400 mg or 600 mg + 300 mg + 300 mg</w:t>
            </w:r>
          </w:p>
        </w:tc>
        <w:tc>
          <w:tcPr>
            <w:tcW w:w="1418" w:type="dxa"/>
            <w:tcBorders>
              <w:top w:val="nil"/>
              <w:left w:val="nil"/>
              <w:bottom w:val="single" w:sz="4" w:space="0" w:color="808080"/>
              <w:right w:val="single" w:sz="4" w:space="0" w:color="808080"/>
            </w:tcBorders>
            <w:shd w:val="clear" w:color="auto" w:fill="auto"/>
            <w:noWrap/>
            <w:vAlign w:val="bottom"/>
            <w:hideMark/>
          </w:tcPr>
          <w:p w14:paraId="542F556D"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36ED196E"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22419597"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FAAC7B1" w14:textId="77777777" w:rsidR="00677FB0" w:rsidRPr="00485F66" w:rsidRDefault="00677FB0" w:rsidP="008333B8">
            <w:pPr>
              <w:spacing w:after="0" w:line="240" w:lineRule="auto"/>
              <w:rPr>
                <w:sz w:val="20"/>
                <w:szCs w:val="20"/>
              </w:rPr>
            </w:pPr>
            <w:r w:rsidRPr="00485F66">
              <w:rPr>
                <w:sz w:val="20"/>
                <w:szCs w:val="20"/>
              </w:rPr>
              <w:t xml:space="preserve">Ibuprofen for adults </w:t>
            </w:r>
          </w:p>
        </w:tc>
        <w:tc>
          <w:tcPr>
            <w:tcW w:w="3402" w:type="dxa"/>
            <w:tcBorders>
              <w:top w:val="nil"/>
              <w:left w:val="nil"/>
              <w:bottom w:val="single" w:sz="4" w:space="0" w:color="808080"/>
              <w:right w:val="single" w:sz="4" w:space="0" w:color="808080"/>
            </w:tcBorders>
            <w:shd w:val="clear" w:color="auto" w:fill="auto"/>
            <w:noWrap/>
            <w:vAlign w:val="bottom"/>
            <w:hideMark/>
          </w:tcPr>
          <w:p w14:paraId="75BBA61E" w14:textId="77777777" w:rsidR="00677FB0" w:rsidRPr="00485F66" w:rsidRDefault="00677FB0" w:rsidP="008333B8">
            <w:pPr>
              <w:spacing w:after="0" w:line="240" w:lineRule="auto"/>
              <w:rPr>
                <w:sz w:val="20"/>
                <w:szCs w:val="20"/>
              </w:rPr>
            </w:pPr>
            <w:r w:rsidRPr="00485F66">
              <w:rPr>
                <w:sz w:val="20"/>
                <w:szCs w:val="20"/>
              </w:rPr>
              <w:t>200mg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3AE0BE6A"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5AF5C98A" w14:textId="77777777" w:rsidR="00677FB0" w:rsidRPr="00485F66" w:rsidRDefault="00677FB0" w:rsidP="008333B8">
            <w:pPr>
              <w:spacing w:after="0" w:line="240" w:lineRule="auto"/>
              <w:jc w:val="right"/>
              <w:rPr>
                <w:sz w:val="20"/>
                <w:szCs w:val="20"/>
              </w:rPr>
            </w:pPr>
            <w:r w:rsidRPr="00485F66">
              <w:rPr>
                <w:sz w:val="20"/>
                <w:szCs w:val="20"/>
              </w:rPr>
              <w:t>60</w:t>
            </w:r>
          </w:p>
        </w:tc>
      </w:tr>
      <w:tr w:rsidR="00677FB0" w:rsidRPr="00485F66" w14:paraId="47C061C4"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49148F42" w14:textId="77777777" w:rsidR="00677FB0" w:rsidRPr="00485F66" w:rsidRDefault="00677FB0" w:rsidP="008333B8">
            <w:pPr>
              <w:spacing w:after="0" w:line="240" w:lineRule="auto"/>
              <w:rPr>
                <w:sz w:val="20"/>
                <w:szCs w:val="20"/>
              </w:rPr>
            </w:pPr>
            <w:r w:rsidRPr="00485F66">
              <w:rPr>
                <w:sz w:val="20"/>
                <w:szCs w:val="20"/>
              </w:rPr>
              <w:t xml:space="preserve">Furosemide </w:t>
            </w:r>
          </w:p>
        </w:tc>
        <w:tc>
          <w:tcPr>
            <w:tcW w:w="3402" w:type="dxa"/>
            <w:tcBorders>
              <w:top w:val="nil"/>
              <w:left w:val="nil"/>
              <w:bottom w:val="single" w:sz="4" w:space="0" w:color="808080"/>
              <w:right w:val="single" w:sz="4" w:space="0" w:color="808080"/>
            </w:tcBorders>
            <w:shd w:val="clear" w:color="auto" w:fill="auto"/>
            <w:noWrap/>
            <w:vAlign w:val="bottom"/>
            <w:hideMark/>
          </w:tcPr>
          <w:p w14:paraId="34C8A2CE" w14:textId="77777777" w:rsidR="00677FB0" w:rsidRPr="00485F66" w:rsidRDefault="00677FB0" w:rsidP="008333B8">
            <w:pPr>
              <w:spacing w:after="0" w:line="240" w:lineRule="auto"/>
              <w:rPr>
                <w:sz w:val="20"/>
                <w:szCs w:val="20"/>
              </w:rPr>
            </w:pPr>
            <w:r w:rsidRPr="00485F66">
              <w:rPr>
                <w:sz w:val="20"/>
                <w:szCs w:val="20"/>
              </w:rPr>
              <w:t>40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101A8BC9"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6571546A" w14:textId="77777777" w:rsidR="00677FB0" w:rsidRPr="00485F66" w:rsidRDefault="00677FB0" w:rsidP="008333B8">
            <w:pPr>
              <w:spacing w:after="0" w:line="240" w:lineRule="auto"/>
              <w:jc w:val="right"/>
              <w:rPr>
                <w:sz w:val="20"/>
                <w:szCs w:val="20"/>
              </w:rPr>
            </w:pPr>
            <w:r w:rsidRPr="00485F66">
              <w:rPr>
                <w:sz w:val="20"/>
                <w:szCs w:val="20"/>
              </w:rPr>
              <w:t>30</w:t>
            </w:r>
          </w:p>
        </w:tc>
      </w:tr>
      <w:tr w:rsidR="00677FB0" w:rsidRPr="00485F66" w14:paraId="713F73AB"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A736E53" w14:textId="77777777" w:rsidR="00677FB0" w:rsidRPr="00485F66" w:rsidRDefault="00677FB0" w:rsidP="008333B8">
            <w:pPr>
              <w:spacing w:after="0" w:line="240" w:lineRule="auto"/>
              <w:rPr>
                <w:sz w:val="20"/>
                <w:szCs w:val="20"/>
              </w:rPr>
            </w:pPr>
            <w:r w:rsidRPr="00485F66">
              <w:rPr>
                <w:sz w:val="20"/>
                <w:szCs w:val="20"/>
              </w:rPr>
              <w:t>Epinephrine</w:t>
            </w:r>
          </w:p>
        </w:tc>
        <w:tc>
          <w:tcPr>
            <w:tcW w:w="3402" w:type="dxa"/>
            <w:tcBorders>
              <w:top w:val="nil"/>
              <w:left w:val="nil"/>
              <w:bottom w:val="single" w:sz="4" w:space="0" w:color="808080"/>
              <w:right w:val="single" w:sz="4" w:space="0" w:color="808080"/>
            </w:tcBorders>
            <w:shd w:val="clear" w:color="auto" w:fill="auto"/>
            <w:noWrap/>
            <w:vAlign w:val="bottom"/>
            <w:hideMark/>
          </w:tcPr>
          <w:p w14:paraId="795C42FC" w14:textId="77777777" w:rsidR="00677FB0" w:rsidRPr="00485F66" w:rsidRDefault="00677FB0" w:rsidP="008333B8">
            <w:pPr>
              <w:spacing w:after="0" w:line="240" w:lineRule="auto"/>
              <w:rPr>
                <w:sz w:val="20"/>
                <w:szCs w:val="20"/>
              </w:rPr>
            </w:pPr>
            <w:r w:rsidRPr="00485F66">
              <w:rPr>
                <w:sz w:val="20"/>
                <w:szCs w:val="20"/>
              </w:rPr>
              <w:t>1 mg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6382BFC5"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2A03DCEF" w14:textId="77777777" w:rsidR="00677FB0" w:rsidRPr="00485F66" w:rsidRDefault="00677FB0" w:rsidP="008333B8">
            <w:pPr>
              <w:spacing w:after="0" w:line="240" w:lineRule="auto"/>
              <w:jc w:val="right"/>
              <w:rPr>
                <w:sz w:val="20"/>
                <w:szCs w:val="20"/>
              </w:rPr>
            </w:pPr>
            <w:r w:rsidRPr="00485F66">
              <w:rPr>
                <w:sz w:val="20"/>
                <w:szCs w:val="20"/>
              </w:rPr>
              <w:t>0.5</w:t>
            </w:r>
          </w:p>
        </w:tc>
      </w:tr>
      <w:tr w:rsidR="00677FB0" w:rsidRPr="00485F66" w14:paraId="6A2B8B48"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A4565D4" w14:textId="77777777" w:rsidR="00677FB0" w:rsidRPr="00485F66" w:rsidRDefault="00677FB0" w:rsidP="008333B8">
            <w:pPr>
              <w:spacing w:after="0" w:line="240" w:lineRule="auto"/>
              <w:rPr>
                <w:sz w:val="20"/>
                <w:szCs w:val="20"/>
              </w:rPr>
            </w:pPr>
            <w:r w:rsidRPr="00485F66">
              <w:rPr>
                <w:sz w:val="20"/>
                <w:szCs w:val="20"/>
              </w:rPr>
              <w:t>Dexamethasone</w:t>
            </w:r>
          </w:p>
        </w:tc>
        <w:tc>
          <w:tcPr>
            <w:tcW w:w="3402" w:type="dxa"/>
            <w:tcBorders>
              <w:top w:val="nil"/>
              <w:left w:val="nil"/>
              <w:bottom w:val="single" w:sz="4" w:space="0" w:color="808080"/>
              <w:right w:val="single" w:sz="4" w:space="0" w:color="808080"/>
            </w:tcBorders>
            <w:shd w:val="clear" w:color="auto" w:fill="auto"/>
            <w:noWrap/>
            <w:vAlign w:val="bottom"/>
            <w:hideMark/>
          </w:tcPr>
          <w:p w14:paraId="43602F7C" w14:textId="77777777" w:rsidR="00677FB0" w:rsidRPr="00485F66" w:rsidRDefault="00677FB0" w:rsidP="008333B8">
            <w:pPr>
              <w:spacing w:after="0" w:line="240" w:lineRule="auto"/>
              <w:rPr>
                <w:sz w:val="20"/>
                <w:szCs w:val="20"/>
              </w:rPr>
            </w:pPr>
            <w:r w:rsidRPr="00485F66">
              <w:rPr>
                <w:sz w:val="20"/>
                <w:szCs w:val="20"/>
              </w:rPr>
              <w:t>injection  4 mg/ mL in 1- mL ampoule (as disodium phosphate salt)</w:t>
            </w:r>
          </w:p>
        </w:tc>
        <w:tc>
          <w:tcPr>
            <w:tcW w:w="1418" w:type="dxa"/>
            <w:tcBorders>
              <w:top w:val="nil"/>
              <w:left w:val="nil"/>
              <w:bottom w:val="single" w:sz="4" w:space="0" w:color="808080"/>
              <w:right w:val="single" w:sz="4" w:space="0" w:color="808080"/>
            </w:tcBorders>
            <w:shd w:val="clear" w:color="auto" w:fill="auto"/>
            <w:noWrap/>
            <w:vAlign w:val="bottom"/>
            <w:hideMark/>
          </w:tcPr>
          <w:p w14:paraId="5C0A8E19" w14:textId="77777777" w:rsidR="00677FB0" w:rsidRPr="00485F66" w:rsidRDefault="00677FB0" w:rsidP="008333B8">
            <w:pPr>
              <w:spacing w:after="0" w:line="240" w:lineRule="auto"/>
              <w:jc w:val="right"/>
              <w:rPr>
                <w:sz w:val="20"/>
                <w:szCs w:val="20"/>
              </w:rPr>
            </w:pPr>
            <w:r w:rsidRPr="00485F66">
              <w:rPr>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1BFA3E0F" w14:textId="77777777" w:rsidR="00677FB0" w:rsidRPr="00485F66" w:rsidRDefault="00677FB0" w:rsidP="008333B8">
            <w:pPr>
              <w:spacing w:after="0" w:line="240" w:lineRule="auto"/>
              <w:jc w:val="right"/>
              <w:rPr>
                <w:sz w:val="20"/>
                <w:szCs w:val="20"/>
              </w:rPr>
            </w:pPr>
            <w:r w:rsidRPr="00485F66">
              <w:rPr>
                <w:sz w:val="20"/>
                <w:szCs w:val="20"/>
              </w:rPr>
              <w:t>1</w:t>
            </w:r>
          </w:p>
        </w:tc>
      </w:tr>
      <w:tr w:rsidR="00677FB0" w:rsidRPr="00485F66" w14:paraId="3C5CFC7E"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38B2E16" w14:textId="77777777" w:rsidR="00677FB0" w:rsidRPr="00485F66" w:rsidRDefault="00677FB0" w:rsidP="008333B8">
            <w:pPr>
              <w:spacing w:after="0" w:line="240" w:lineRule="auto"/>
              <w:rPr>
                <w:sz w:val="20"/>
                <w:szCs w:val="20"/>
              </w:rPr>
            </w:pPr>
            <w:r w:rsidRPr="00485F66">
              <w:rPr>
                <w:sz w:val="20"/>
                <w:szCs w:val="20"/>
              </w:rPr>
              <w:t xml:space="preserve">Fluconazole </w:t>
            </w:r>
          </w:p>
        </w:tc>
        <w:tc>
          <w:tcPr>
            <w:tcW w:w="3402" w:type="dxa"/>
            <w:tcBorders>
              <w:top w:val="nil"/>
              <w:left w:val="nil"/>
              <w:bottom w:val="single" w:sz="4" w:space="0" w:color="808080"/>
              <w:right w:val="single" w:sz="4" w:space="0" w:color="808080"/>
            </w:tcBorders>
            <w:shd w:val="clear" w:color="auto" w:fill="auto"/>
            <w:noWrap/>
            <w:vAlign w:val="bottom"/>
            <w:hideMark/>
          </w:tcPr>
          <w:p w14:paraId="2D73CF2B" w14:textId="2C5BA197" w:rsidR="00677FB0" w:rsidRPr="00485F66" w:rsidRDefault="00677FB0" w:rsidP="008333B8">
            <w:pPr>
              <w:spacing w:after="0" w:line="240" w:lineRule="auto"/>
              <w:rPr>
                <w:sz w:val="20"/>
                <w:szCs w:val="20"/>
              </w:rPr>
            </w:pPr>
            <w:r w:rsidRPr="00485F66">
              <w:rPr>
                <w:sz w:val="20"/>
                <w:szCs w:val="20"/>
              </w:rPr>
              <w:t>50 mg cap/tab</w:t>
            </w:r>
            <w:r w:rsidR="00D447C5" w:rsidRPr="00485F66">
              <w:rPr>
                <w:sz w:val="20"/>
                <w:szCs w:val="20"/>
              </w:rPr>
              <w:t xml:space="preserve"> (depending on indication)</w:t>
            </w:r>
          </w:p>
        </w:tc>
        <w:tc>
          <w:tcPr>
            <w:tcW w:w="1418" w:type="dxa"/>
            <w:tcBorders>
              <w:top w:val="nil"/>
              <w:left w:val="nil"/>
              <w:bottom w:val="single" w:sz="4" w:space="0" w:color="808080"/>
              <w:right w:val="single" w:sz="4" w:space="0" w:color="808080"/>
            </w:tcBorders>
            <w:shd w:val="clear" w:color="auto" w:fill="auto"/>
            <w:noWrap/>
            <w:vAlign w:val="bottom"/>
            <w:hideMark/>
          </w:tcPr>
          <w:p w14:paraId="4EDF81E8" w14:textId="77777777" w:rsidR="00677FB0" w:rsidRPr="00485F66" w:rsidRDefault="00677FB0" w:rsidP="008333B8">
            <w:pPr>
              <w:spacing w:after="0" w:line="240" w:lineRule="auto"/>
              <w:jc w:val="right"/>
              <w:rPr>
                <w:sz w:val="20"/>
                <w:szCs w:val="20"/>
              </w:rPr>
            </w:pPr>
            <w:r w:rsidRPr="00485F66">
              <w:rPr>
                <w:sz w:val="20"/>
                <w:szCs w:val="20"/>
              </w:rPr>
              <w:t> </w:t>
            </w:r>
          </w:p>
        </w:tc>
        <w:tc>
          <w:tcPr>
            <w:tcW w:w="1768" w:type="dxa"/>
            <w:tcBorders>
              <w:top w:val="nil"/>
              <w:left w:val="nil"/>
              <w:bottom w:val="single" w:sz="4" w:space="0" w:color="808080"/>
              <w:right w:val="single" w:sz="8" w:space="0" w:color="808080"/>
            </w:tcBorders>
            <w:shd w:val="clear" w:color="auto" w:fill="auto"/>
            <w:noWrap/>
            <w:vAlign w:val="bottom"/>
            <w:hideMark/>
          </w:tcPr>
          <w:p w14:paraId="6F878096" w14:textId="77777777" w:rsidR="00677FB0" w:rsidRPr="00485F66" w:rsidRDefault="00677FB0" w:rsidP="008333B8">
            <w:pPr>
              <w:spacing w:after="0" w:line="240" w:lineRule="auto"/>
              <w:jc w:val="right"/>
              <w:rPr>
                <w:sz w:val="20"/>
                <w:szCs w:val="20"/>
              </w:rPr>
            </w:pPr>
            <w:r w:rsidRPr="00485F66">
              <w:rPr>
                <w:sz w:val="20"/>
                <w:szCs w:val="20"/>
              </w:rPr>
              <w:t> </w:t>
            </w:r>
          </w:p>
        </w:tc>
      </w:tr>
      <w:tr w:rsidR="00677FB0" w:rsidRPr="00485F66" w14:paraId="6EBDE0EA"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64F4D4E" w14:textId="77777777" w:rsidR="00677FB0" w:rsidRPr="00485F66" w:rsidRDefault="00677FB0" w:rsidP="008333B8">
            <w:pPr>
              <w:spacing w:after="0" w:line="240" w:lineRule="auto"/>
              <w:rPr>
                <w:sz w:val="20"/>
                <w:szCs w:val="20"/>
              </w:rPr>
            </w:pPr>
            <w:r w:rsidRPr="00485F66">
              <w:rPr>
                <w:sz w:val="20"/>
                <w:szCs w:val="20"/>
              </w:rPr>
              <w:t xml:space="preserve">Nystatin </w:t>
            </w:r>
          </w:p>
        </w:tc>
        <w:tc>
          <w:tcPr>
            <w:tcW w:w="3402" w:type="dxa"/>
            <w:tcBorders>
              <w:top w:val="nil"/>
              <w:left w:val="nil"/>
              <w:bottom w:val="single" w:sz="4" w:space="0" w:color="808080"/>
              <w:right w:val="single" w:sz="4" w:space="0" w:color="808080"/>
            </w:tcBorders>
            <w:shd w:val="clear" w:color="auto" w:fill="auto"/>
            <w:noWrap/>
            <w:vAlign w:val="bottom"/>
            <w:hideMark/>
          </w:tcPr>
          <w:p w14:paraId="3B5599E1" w14:textId="77777777" w:rsidR="00677FB0" w:rsidRPr="00485F66" w:rsidRDefault="00677FB0" w:rsidP="008333B8">
            <w:pPr>
              <w:spacing w:after="0" w:line="240" w:lineRule="auto"/>
              <w:rPr>
                <w:sz w:val="20"/>
                <w:szCs w:val="20"/>
              </w:rPr>
            </w:pPr>
            <w:r w:rsidRPr="00485F66">
              <w:rPr>
                <w:sz w:val="20"/>
                <w:szCs w:val="20"/>
              </w:rPr>
              <w:t>tablet 500 000 IU</w:t>
            </w:r>
          </w:p>
        </w:tc>
        <w:tc>
          <w:tcPr>
            <w:tcW w:w="1418" w:type="dxa"/>
            <w:tcBorders>
              <w:top w:val="nil"/>
              <w:left w:val="nil"/>
              <w:bottom w:val="single" w:sz="4" w:space="0" w:color="808080"/>
              <w:right w:val="single" w:sz="4" w:space="0" w:color="808080"/>
            </w:tcBorders>
            <w:shd w:val="clear" w:color="auto" w:fill="auto"/>
            <w:noWrap/>
            <w:vAlign w:val="bottom"/>
            <w:hideMark/>
          </w:tcPr>
          <w:p w14:paraId="5DFD1FD5" w14:textId="77777777" w:rsidR="00677FB0" w:rsidRPr="00485F66" w:rsidRDefault="00677FB0" w:rsidP="008333B8">
            <w:pPr>
              <w:spacing w:after="0" w:line="240" w:lineRule="auto"/>
              <w:jc w:val="right"/>
              <w:rPr>
                <w:sz w:val="20"/>
                <w:szCs w:val="20"/>
              </w:rPr>
            </w:pPr>
            <w:r w:rsidRPr="00485F66">
              <w:rPr>
                <w:sz w:val="20"/>
                <w:szCs w:val="20"/>
              </w:rPr>
              <w:t>2</w:t>
            </w:r>
          </w:p>
        </w:tc>
        <w:tc>
          <w:tcPr>
            <w:tcW w:w="1768" w:type="dxa"/>
            <w:tcBorders>
              <w:top w:val="nil"/>
              <w:left w:val="nil"/>
              <w:bottom w:val="single" w:sz="4" w:space="0" w:color="808080"/>
              <w:right w:val="single" w:sz="8" w:space="0" w:color="808080"/>
            </w:tcBorders>
            <w:shd w:val="clear" w:color="auto" w:fill="auto"/>
            <w:noWrap/>
            <w:vAlign w:val="bottom"/>
            <w:hideMark/>
          </w:tcPr>
          <w:p w14:paraId="52BB1913" w14:textId="77777777" w:rsidR="00677FB0" w:rsidRPr="00485F66" w:rsidRDefault="00677FB0" w:rsidP="008333B8">
            <w:pPr>
              <w:spacing w:after="0" w:line="240" w:lineRule="auto"/>
              <w:jc w:val="right"/>
              <w:rPr>
                <w:sz w:val="20"/>
                <w:szCs w:val="20"/>
              </w:rPr>
            </w:pPr>
            <w:r w:rsidRPr="00485F66">
              <w:rPr>
                <w:sz w:val="20"/>
                <w:szCs w:val="20"/>
              </w:rPr>
              <w:t>8</w:t>
            </w:r>
          </w:p>
        </w:tc>
      </w:tr>
      <w:tr w:rsidR="00677FB0" w:rsidRPr="00485F66" w14:paraId="49193878" w14:textId="77777777" w:rsidTr="00731BB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56A6A3F" w14:textId="77777777" w:rsidR="00677FB0" w:rsidRPr="00485F66" w:rsidRDefault="00677FB0" w:rsidP="008333B8">
            <w:pPr>
              <w:spacing w:after="0" w:line="240" w:lineRule="auto"/>
              <w:rPr>
                <w:sz w:val="20"/>
                <w:szCs w:val="20"/>
              </w:rPr>
            </w:pPr>
            <w:r w:rsidRPr="00485F66">
              <w:rPr>
                <w:sz w:val="20"/>
                <w:szCs w:val="20"/>
              </w:rPr>
              <w:t xml:space="preserve">Levothyroxine </w:t>
            </w:r>
          </w:p>
        </w:tc>
        <w:tc>
          <w:tcPr>
            <w:tcW w:w="3402" w:type="dxa"/>
            <w:tcBorders>
              <w:top w:val="nil"/>
              <w:left w:val="nil"/>
              <w:bottom w:val="single" w:sz="4" w:space="0" w:color="808080"/>
              <w:right w:val="single" w:sz="4" w:space="0" w:color="808080"/>
            </w:tcBorders>
            <w:shd w:val="clear" w:color="auto" w:fill="auto"/>
            <w:noWrap/>
            <w:vAlign w:val="bottom"/>
            <w:hideMark/>
          </w:tcPr>
          <w:p w14:paraId="5E7AA251" w14:textId="77777777" w:rsidR="00677FB0" w:rsidRPr="00485F66" w:rsidRDefault="00677FB0" w:rsidP="008333B8">
            <w:pPr>
              <w:spacing w:after="0" w:line="240" w:lineRule="auto"/>
              <w:rPr>
                <w:sz w:val="20"/>
                <w:szCs w:val="20"/>
              </w:rPr>
            </w:pPr>
            <w:r w:rsidRPr="00485F66">
              <w:rPr>
                <w:sz w:val="20"/>
                <w:szCs w:val="20"/>
              </w:rPr>
              <w:t>tablet 50 micrograms</w:t>
            </w:r>
          </w:p>
        </w:tc>
        <w:tc>
          <w:tcPr>
            <w:tcW w:w="1418" w:type="dxa"/>
            <w:tcBorders>
              <w:top w:val="nil"/>
              <w:left w:val="nil"/>
              <w:bottom w:val="single" w:sz="4" w:space="0" w:color="808080"/>
              <w:right w:val="single" w:sz="4" w:space="0" w:color="808080"/>
            </w:tcBorders>
            <w:shd w:val="clear" w:color="auto" w:fill="auto"/>
            <w:noWrap/>
            <w:vAlign w:val="bottom"/>
            <w:hideMark/>
          </w:tcPr>
          <w:p w14:paraId="21B1D671" w14:textId="77777777" w:rsidR="00677FB0" w:rsidRPr="00485F66" w:rsidRDefault="00677FB0" w:rsidP="008333B8">
            <w:pPr>
              <w:spacing w:after="0" w:line="240" w:lineRule="auto"/>
              <w:jc w:val="right"/>
              <w:rPr>
                <w:sz w:val="20"/>
                <w:szCs w:val="20"/>
              </w:rPr>
            </w:pPr>
            <w:r w:rsidRPr="00485F66">
              <w:rPr>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3E7C7ECC" w14:textId="77777777" w:rsidR="00677FB0" w:rsidRPr="00485F66" w:rsidRDefault="00677FB0" w:rsidP="008333B8">
            <w:pPr>
              <w:spacing w:after="0" w:line="240" w:lineRule="auto"/>
              <w:jc w:val="right"/>
              <w:rPr>
                <w:sz w:val="20"/>
                <w:szCs w:val="20"/>
              </w:rPr>
            </w:pPr>
            <w:r w:rsidRPr="00485F66">
              <w:rPr>
                <w:sz w:val="20"/>
                <w:szCs w:val="20"/>
              </w:rPr>
              <w:t>60</w:t>
            </w:r>
          </w:p>
        </w:tc>
      </w:tr>
      <w:tr w:rsidR="00496A98" w:rsidRPr="00485F66" w14:paraId="6FD81035" w14:textId="77777777" w:rsidTr="001D1126">
        <w:trPr>
          <w:trHeight w:val="67"/>
        </w:trPr>
        <w:tc>
          <w:tcPr>
            <w:tcW w:w="3417" w:type="dxa"/>
            <w:tcBorders>
              <w:top w:val="single" w:sz="4" w:space="0" w:color="808080"/>
              <w:left w:val="single" w:sz="8" w:space="0" w:color="808080"/>
              <w:bottom w:val="single" w:sz="4" w:space="0" w:color="808080"/>
              <w:right w:val="single" w:sz="4" w:space="0" w:color="808080"/>
            </w:tcBorders>
            <w:shd w:val="clear" w:color="auto" w:fill="auto"/>
            <w:noWrap/>
            <w:vAlign w:val="center"/>
          </w:tcPr>
          <w:p w14:paraId="01352CD5" w14:textId="53AA0AA1" w:rsidR="00496A98" w:rsidRPr="00485F66" w:rsidRDefault="00496A98" w:rsidP="008333B8">
            <w:pPr>
              <w:spacing w:after="0" w:line="240" w:lineRule="auto"/>
              <w:rPr>
                <w:sz w:val="20"/>
                <w:szCs w:val="20"/>
              </w:rPr>
            </w:pPr>
            <w:r w:rsidRPr="00485F66">
              <w:rPr>
                <w:sz w:val="20"/>
                <w:szCs w:val="20"/>
              </w:rPr>
              <w:t>Chlorhexidine</w:t>
            </w:r>
          </w:p>
        </w:tc>
        <w:tc>
          <w:tcPr>
            <w:tcW w:w="3402" w:type="dxa"/>
            <w:tcBorders>
              <w:top w:val="single" w:sz="4" w:space="0" w:color="808080"/>
              <w:left w:val="nil"/>
              <w:bottom w:val="single" w:sz="4" w:space="0" w:color="808080"/>
              <w:right w:val="single" w:sz="4" w:space="0" w:color="808080"/>
            </w:tcBorders>
            <w:shd w:val="clear" w:color="auto" w:fill="auto"/>
            <w:noWrap/>
            <w:vAlign w:val="center"/>
          </w:tcPr>
          <w:p w14:paraId="700598AE" w14:textId="25D2A551" w:rsidR="00496A98" w:rsidRPr="00485F66" w:rsidRDefault="00496A98" w:rsidP="008B3C80">
            <w:pPr>
              <w:spacing w:after="0" w:line="240" w:lineRule="auto"/>
              <w:rPr>
                <w:sz w:val="20"/>
                <w:szCs w:val="20"/>
              </w:rPr>
            </w:pPr>
            <w:r w:rsidRPr="00485F66">
              <w:rPr>
                <w:sz w:val="20"/>
                <w:szCs w:val="20"/>
              </w:rPr>
              <w:t>Solution  or gel: 7.1% (digluconate) delivering 4% chlorhexidine</w:t>
            </w:r>
          </w:p>
        </w:tc>
        <w:tc>
          <w:tcPr>
            <w:tcW w:w="1418" w:type="dxa"/>
            <w:tcBorders>
              <w:top w:val="single" w:sz="4" w:space="0" w:color="808080"/>
              <w:left w:val="nil"/>
              <w:bottom w:val="single" w:sz="4" w:space="0" w:color="808080"/>
              <w:right w:val="single" w:sz="4" w:space="0" w:color="808080"/>
            </w:tcBorders>
            <w:shd w:val="clear" w:color="auto" w:fill="auto"/>
            <w:noWrap/>
            <w:vAlign w:val="center"/>
          </w:tcPr>
          <w:p w14:paraId="21BF38FC" w14:textId="77D3F08E" w:rsidR="00496A98" w:rsidRPr="00485F66" w:rsidRDefault="00496A98" w:rsidP="008333B8">
            <w:pPr>
              <w:spacing w:after="0" w:line="240" w:lineRule="auto"/>
              <w:jc w:val="right"/>
              <w:rPr>
                <w:sz w:val="20"/>
                <w:szCs w:val="20"/>
              </w:rPr>
            </w:pPr>
            <w:r w:rsidRPr="00485F66">
              <w:rPr>
                <w:sz w:val="20"/>
                <w:szCs w:val="20"/>
              </w:rPr>
              <w:t>7</w:t>
            </w:r>
          </w:p>
        </w:tc>
        <w:tc>
          <w:tcPr>
            <w:tcW w:w="1768" w:type="dxa"/>
            <w:tcBorders>
              <w:top w:val="single" w:sz="4" w:space="0" w:color="808080"/>
              <w:left w:val="nil"/>
              <w:bottom w:val="single" w:sz="4" w:space="0" w:color="808080"/>
              <w:right w:val="single" w:sz="8" w:space="0" w:color="808080"/>
            </w:tcBorders>
            <w:shd w:val="clear" w:color="auto" w:fill="auto"/>
            <w:noWrap/>
            <w:vAlign w:val="center"/>
          </w:tcPr>
          <w:p w14:paraId="3FF9DE75" w14:textId="2B306D03" w:rsidR="00496A98" w:rsidRPr="00485F66" w:rsidRDefault="00496A98" w:rsidP="00527F5D">
            <w:pPr>
              <w:spacing w:after="0" w:line="240" w:lineRule="auto"/>
              <w:jc w:val="right"/>
              <w:rPr>
                <w:sz w:val="20"/>
                <w:szCs w:val="20"/>
              </w:rPr>
            </w:pPr>
            <w:r w:rsidRPr="00485F66">
              <w:rPr>
                <w:sz w:val="20"/>
                <w:szCs w:val="20"/>
              </w:rPr>
              <w:t>1</w:t>
            </w:r>
          </w:p>
        </w:tc>
      </w:tr>
      <w:tr w:rsidR="00496A98" w:rsidRPr="00485F66" w14:paraId="458D327C" w14:textId="77777777" w:rsidTr="001D1126">
        <w:trPr>
          <w:trHeight w:val="67"/>
        </w:trPr>
        <w:tc>
          <w:tcPr>
            <w:tcW w:w="3417" w:type="dxa"/>
            <w:tcBorders>
              <w:top w:val="single" w:sz="4" w:space="0" w:color="808080"/>
              <w:left w:val="single" w:sz="8" w:space="0" w:color="808080"/>
              <w:bottom w:val="single" w:sz="4" w:space="0" w:color="808080"/>
              <w:right w:val="single" w:sz="4" w:space="0" w:color="808080"/>
            </w:tcBorders>
            <w:shd w:val="clear" w:color="auto" w:fill="auto"/>
            <w:noWrap/>
            <w:vAlign w:val="center"/>
          </w:tcPr>
          <w:p w14:paraId="478A0FDA" w14:textId="63A39A74" w:rsidR="00496A98" w:rsidRPr="00485F66" w:rsidRDefault="00496A98" w:rsidP="008333B8">
            <w:pPr>
              <w:spacing w:after="0" w:line="240" w:lineRule="auto"/>
              <w:rPr>
                <w:sz w:val="20"/>
                <w:szCs w:val="20"/>
              </w:rPr>
            </w:pPr>
            <w:r w:rsidRPr="00485F66">
              <w:rPr>
                <w:sz w:val="20"/>
                <w:szCs w:val="20"/>
              </w:rPr>
              <w:t>Ready-to-use therapeutic food (RUTF)</w:t>
            </w:r>
          </w:p>
        </w:tc>
        <w:tc>
          <w:tcPr>
            <w:tcW w:w="3402" w:type="dxa"/>
            <w:tcBorders>
              <w:top w:val="single" w:sz="4" w:space="0" w:color="808080"/>
              <w:left w:val="nil"/>
              <w:bottom w:val="single" w:sz="4" w:space="0" w:color="808080"/>
              <w:right w:val="single" w:sz="4" w:space="0" w:color="808080"/>
            </w:tcBorders>
            <w:shd w:val="clear" w:color="auto" w:fill="auto"/>
            <w:noWrap/>
            <w:vAlign w:val="center"/>
          </w:tcPr>
          <w:p w14:paraId="5EE564F9" w14:textId="09821071" w:rsidR="00496A98" w:rsidRDefault="00470709" w:rsidP="00470709">
            <w:pPr>
              <w:spacing w:after="0" w:line="240" w:lineRule="auto"/>
              <w:rPr>
                <w:sz w:val="20"/>
                <w:szCs w:val="20"/>
              </w:rPr>
            </w:pPr>
            <w:r w:rsidRPr="00470709">
              <w:rPr>
                <w:sz w:val="20"/>
                <w:szCs w:val="20"/>
              </w:rPr>
              <w:t xml:space="preserve">paste or spread </w:t>
            </w:r>
            <w:r>
              <w:rPr>
                <w:sz w:val="20"/>
                <w:szCs w:val="20"/>
              </w:rPr>
              <w:t>(</w:t>
            </w:r>
            <w:r w:rsidR="00257527" w:rsidRPr="00257527">
              <w:rPr>
                <w:sz w:val="20"/>
                <w:szCs w:val="20"/>
              </w:rPr>
              <w:t>1 sachet = 92 g [</w:t>
            </w:r>
            <w:r w:rsidR="00257527">
              <w:rPr>
                <w:sz w:val="20"/>
                <w:szCs w:val="20"/>
              </w:rPr>
              <w:t>500 Kcal]</w:t>
            </w:r>
            <w:r>
              <w:rPr>
                <w:sz w:val="20"/>
                <w:szCs w:val="20"/>
              </w:rPr>
              <w:t>)</w:t>
            </w:r>
            <w:r w:rsidR="00257527">
              <w:rPr>
                <w:sz w:val="20"/>
                <w:szCs w:val="20"/>
              </w:rPr>
              <w:t xml:space="preserve"> </w:t>
            </w:r>
            <w:r w:rsidR="00257527" w:rsidRPr="00257527">
              <w:rPr>
                <w:b/>
                <w:bCs/>
                <w:sz w:val="20"/>
                <w:szCs w:val="20"/>
                <w:u w:val="single"/>
              </w:rPr>
              <w:t>OR</w:t>
            </w:r>
          </w:p>
          <w:p w14:paraId="168F006E" w14:textId="5DBD7F43" w:rsidR="00257527" w:rsidRPr="00485F66" w:rsidRDefault="00257527" w:rsidP="00470709">
            <w:pPr>
              <w:spacing w:after="0" w:line="240" w:lineRule="auto"/>
              <w:rPr>
                <w:sz w:val="20"/>
                <w:szCs w:val="20"/>
              </w:rPr>
            </w:pPr>
            <w:r w:rsidRPr="00257527">
              <w:rPr>
                <w:sz w:val="20"/>
                <w:szCs w:val="20"/>
              </w:rPr>
              <w:t>biscuit</w:t>
            </w:r>
            <w:r>
              <w:rPr>
                <w:sz w:val="20"/>
                <w:szCs w:val="20"/>
              </w:rPr>
              <w:t xml:space="preserve"> (</w:t>
            </w:r>
            <w:r w:rsidRPr="00257527">
              <w:rPr>
                <w:sz w:val="20"/>
                <w:szCs w:val="20"/>
              </w:rPr>
              <w:t>28.4g</w:t>
            </w:r>
            <w:r>
              <w:rPr>
                <w:sz w:val="20"/>
                <w:szCs w:val="20"/>
              </w:rPr>
              <w:t xml:space="preserve">, </w:t>
            </w:r>
            <w:r w:rsidRPr="00257527">
              <w:rPr>
                <w:sz w:val="20"/>
                <w:szCs w:val="20"/>
              </w:rPr>
              <w:t>500 kcal per 100g</w:t>
            </w:r>
            <w:r>
              <w:rPr>
                <w:sz w:val="20"/>
                <w:szCs w:val="20"/>
              </w:rPr>
              <w:t>)</w:t>
            </w:r>
          </w:p>
        </w:tc>
        <w:tc>
          <w:tcPr>
            <w:tcW w:w="1418" w:type="dxa"/>
            <w:tcBorders>
              <w:top w:val="single" w:sz="4" w:space="0" w:color="808080"/>
              <w:left w:val="nil"/>
              <w:bottom w:val="single" w:sz="4" w:space="0" w:color="808080"/>
              <w:right w:val="single" w:sz="4" w:space="0" w:color="808080"/>
            </w:tcBorders>
            <w:shd w:val="clear" w:color="auto" w:fill="auto"/>
            <w:noWrap/>
            <w:vAlign w:val="center"/>
          </w:tcPr>
          <w:p w14:paraId="07103476" w14:textId="043C912F" w:rsidR="00496A98" w:rsidRPr="00485F66" w:rsidRDefault="00485F66" w:rsidP="008333B8">
            <w:pPr>
              <w:spacing w:after="0" w:line="240" w:lineRule="auto"/>
              <w:jc w:val="right"/>
              <w:rPr>
                <w:sz w:val="20"/>
                <w:szCs w:val="20"/>
              </w:rPr>
            </w:pPr>
            <w:r w:rsidRPr="00485F66">
              <w:rPr>
                <w:sz w:val="20"/>
                <w:szCs w:val="20"/>
              </w:rPr>
              <w:t>30</w:t>
            </w:r>
          </w:p>
        </w:tc>
        <w:tc>
          <w:tcPr>
            <w:tcW w:w="1768" w:type="dxa"/>
            <w:tcBorders>
              <w:top w:val="single" w:sz="4" w:space="0" w:color="808080"/>
              <w:left w:val="nil"/>
              <w:bottom w:val="single" w:sz="4" w:space="0" w:color="808080"/>
              <w:right w:val="single" w:sz="8" w:space="0" w:color="808080"/>
            </w:tcBorders>
            <w:shd w:val="clear" w:color="auto" w:fill="auto"/>
            <w:noWrap/>
            <w:vAlign w:val="center"/>
          </w:tcPr>
          <w:p w14:paraId="13B944B3" w14:textId="1FFDA868" w:rsidR="00496A98" w:rsidRPr="00485F66" w:rsidRDefault="00485F66" w:rsidP="00470709">
            <w:pPr>
              <w:spacing w:after="0" w:line="240" w:lineRule="auto"/>
              <w:jc w:val="right"/>
              <w:rPr>
                <w:sz w:val="20"/>
                <w:szCs w:val="20"/>
              </w:rPr>
            </w:pPr>
            <w:r w:rsidRPr="00485F66">
              <w:rPr>
                <w:sz w:val="20"/>
                <w:szCs w:val="20"/>
              </w:rPr>
              <w:t xml:space="preserve">150 </w:t>
            </w:r>
            <w:r w:rsidR="00470709">
              <w:rPr>
                <w:sz w:val="20"/>
                <w:szCs w:val="20"/>
              </w:rPr>
              <w:t>-</w:t>
            </w:r>
            <w:r w:rsidRPr="00485F66">
              <w:rPr>
                <w:sz w:val="20"/>
                <w:szCs w:val="20"/>
              </w:rPr>
              <w:t xml:space="preserve"> 220 kcal/kg per day</w:t>
            </w:r>
          </w:p>
        </w:tc>
      </w:tr>
      <w:tr w:rsidR="00496A98" w:rsidRPr="00485F66" w14:paraId="1F3FE6AB" w14:textId="77777777" w:rsidTr="001D1126">
        <w:trPr>
          <w:trHeight w:val="67"/>
        </w:trPr>
        <w:tc>
          <w:tcPr>
            <w:tcW w:w="3417" w:type="dxa"/>
            <w:tcBorders>
              <w:top w:val="single" w:sz="4" w:space="0" w:color="808080"/>
              <w:left w:val="single" w:sz="8" w:space="0" w:color="808080"/>
              <w:bottom w:val="single" w:sz="4" w:space="0" w:color="808080"/>
              <w:right w:val="single" w:sz="4" w:space="0" w:color="808080"/>
            </w:tcBorders>
            <w:shd w:val="clear" w:color="auto" w:fill="auto"/>
            <w:noWrap/>
            <w:vAlign w:val="center"/>
          </w:tcPr>
          <w:p w14:paraId="3A01E371" w14:textId="41492BD5" w:rsidR="00496A98" w:rsidRPr="00485F66" w:rsidRDefault="00496A98" w:rsidP="008333B8">
            <w:pPr>
              <w:spacing w:after="0" w:line="240" w:lineRule="auto"/>
              <w:rPr>
                <w:sz w:val="20"/>
                <w:szCs w:val="20"/>
              </w:rPr>
            </w:pPr>
            <w:r w:rsidRPr="00485F66">
              <w:rPr>
                <w:sz w:val="20"/>
                <w:szCs w:val="20"/>
              </w:rPr>
              <w:t>Isoniazid + pyrazinamide + rifampicin</w:t>
            </w:r>
          </w:p>
        </w:tc>
        <w:tc>
          <w:tcPr>
            <w:tcW w:w="3402" w:type="dxa"/>
            <w:tcBorders>
              <w:top w:val="single" w:sz="4" w:space="0" w:color="808080"/>
              <w:left w:val="nil"/>
              <w:bottom w:val="single" w:sz="4" w:space="0" w:color="808080"/>
              <w:right w:val="single" w:sz="4" w:space="0" w:color="808080"/>
            </w:tcBorders>
            <w:shd w:val="clear" w:color="auto" w:fill="auto"/>
            <w:noWrap/>
            <w:vAlign w:val="center"/>
          </w:tcPr>
          <w:p w14:paraId="757F3E50" w14:textId="7A3EBBBB" w:rsidR="00496A98" w:rsidRPr="00485F66" w:rsidRDefault="00496A98" w:rsidP="008333B8">
            <w:pPr>
              <w:spacing w:after="0" w:line="240" w:lineRule="auto"/>
              <w:rPr>
                <w:sz w:val="20"/>
                <w:szCs w:val="20"/>
              </w:rPr>
            </w:pPr>
            <w:r w:rsidRPr="00485F66">
              <w:rPr>
                <w:sz w:val="20"/>
                <w:szCs w:val="20"/>
              </w:rPr>
              <w:t>50 mg + 150 mg + 75 mg</w:t>
            </w:r>
          </w:p>
        </w:tc>
        <w:tc>
          <w:tcPr>
            <w:tcW w:w="1418" w:type="dxa"/>
            <w:tcBorders>
              <w:top w:val="single" w:sz="4" w:space="0" w:color="808080"/>
              <w:left w:val="nil"/>
              <w:bottom w:val="single" w:sz="4" w:space="0" w:color="808080"/>
              <w:right w:val="single" w:sz="4" w:space="0" w:color="808080"/>
            </w:tcBorders>
            <w:shd w:val="clear" w:color="auto" w:fill="auto"/>
            <w:noWrap/>
            <w:vAlign w:val="center"/>
          </w:tcPr>
          <w:p w14:paraId="2D868238" w14:textId="5E7B04EA" w:rsidR="00496A98" w:rsidRPr="00485F66" w:rsidRDefault="00496A98" w:rsidP="008333B8">
            <w:pPr>
              <w:spacing w:after="0" w:line="240" w:lineRule="auto"/>
              <w:jc w:val="right"/>
              <w:rPr>
                <w:sz w:val="20"/>
                <w:szCs w:val="20"/>
              </w:rPr>
            </w:pPr>
            <w:r w:rsidRPr="00485F66">
              <w:rPr>
                <w:sz w:val="20"/>
                <w:szCs w:val="20"/>
              </w:rPr>
              <w:t>30</w:t>
            </w:r>
          </w:p>
        </w:tc>
        <w:tc>
          <w:tcPr>
            <w:tcW w:w="1768" w:type="dxa"/>
            <w:tcBorders>
              <w:top w:val="single" w:sz="4" w:space="0" w:color="808080"/>
              <w:left w:val="nil"/>
              <w:bottom w:val="single" w:sz="4" w:space="0" w:color="808080"/>
              <w:right w:val="single" w:sz="8" w:space="0" w:color="808080"/>
            </w:tcBorders>
            <w:shd w:val="clear" w:color="auto" w:fill="auto"/>
            <w:noWrap/>
            <w:vAlign w:val="center"/>
          </w:tcPr>
          <w:p w14:paraId="1C3E5B43" w14:textId="160F0EAB" w:rsidR="00496A98" w:rsidRPr="00485F66" w:rsidRDefault="00496A98" w:rsidP="008333B8">
            <w:pPr>
              <w:spacing w:after="0" w:line="240" w:lineRule="auto"/>
              <w:jc w:val="right"/>
              <w:rPr>
                <w:sz w:val="20"/>
                <w:szCs w:val="20"/>
              </w:rPr>
            </w:pPr>
            <w:r w:rsidRPr="00485F66">
              <w:rPr>
                <w:sz w:val="20"/>
                <w:szCs w:val="20"/>
              </w:rPr>
              <w:t>30 (60, 90 or 120)</w:t>
            </w:r>
          </w:p>
        </w:tc>
      </w:tr>
      <w:tr w:rsidR="00496A98" w:rsidRPr="00485F66" w14:paraId="4E7FAB8A" w14:textId="77777777" w:rsidTr="001D1126">
        <w:trPr>
          <w:trHeight w:val="67"/>
        </w:trPr>
        <w:tc>
          <w:tcPr>
            <w:tcW w:w="3417" w:type="dxa"/>
            <w:tcBorders>
              <w:top w:val="single" w:sz="4" w:space="0" w:color="808080"/>
              <w:left w:val="single" w:sz="8" w:space="0" w:color="808080"/>
              <w:bottom w:val="single" w:sz="8" w:space="0" w:color="808080"/>
              <w:right w:val="single" w:sz="4" w:space="0" w:color="808080"/>
            </w:tcBorders>
            <w:shd w:val="clear" w:color="auto" w:fill="auto"/>
            <w:noWrap/>
            <w:vAlign w:val="center"/>
          </w:tcPr>
          <w:p w14:paraId="7EB71915" w14:textId="0C61238A" w:rsidR="00496A98" w:rsidRPr="00485F66" w:rsidRDefault="00496A98" w:rsidP="008333B8">
            <w:pPr>
              <w:spacing w:after="0" w:line="240" w:lineRule="auto"/>
              <w:rPr>
                <w:sz w:val="20"/>
                <w:szCs w:val="20"/>
              </w:rPr>
            </w:pPr>
            <w:r w:rsidRPr="00485F66">
              <w:rPr>
                <w:sz w:val="20"/>
                <w:szCs w:val="20"/>
              </w:rPr>
              <w:t>Epoetin alfa</w:t>
            </w:r>
          </w:p>
        </w:tc>
        <w:tc>
          <w:tcPr>
            <w:tcW w:w="3402" w:type="dxa"/>
            <w:tcBorders>
              <w:top w:val="single" w:sz="4" w:space="0" w:color="808080"/>
              <w:left w:val="nil"/>
              <w:bottom w:val="single" w:sz="8" w:space="0" w:color="808080"/>
              <w:right w:val="single" w:sz="4" w:space="0" w:color="808080"/>
            </w:tcBorders>
            <w:shd w:val="clear" w:color="auto" w:fill="auto"/>
            <w:noWrap/>
            <w:vAlign w:val="center"/>
          </w:tcPr>
          <w:p w14:paraId="514A37D5" w14:textId="75AF16E3" w:rsidR="00496A98" w:rsidRPr="00485F66" w:rsidRDefault="00496A98" w:rsidP="008333B8">
            <w:pPr>
              <w:spacing w:after="0" w:line="240" w:lineRule="auto"/>
              <w:rPr>
                <w:sz w:val="20"/>
                <w:szCs w:val="20"/>
              </w:rPr>
            </w:pPr>
            <w:r w:rsidRPr="00485F66">
              <w:rPr>
                <w:sz w:val="20"/>
                <w:szCs w:val="20"/>
              </w:rPr>
              <w:t>2,000 IU/mL</w:t>
            </w:r>
          </w:p>
        </w:tc>
        <w:tc>
          <w:tcPr>
            <w:tcW w:w="1418" w:type="dxa"/>
            <w:tcBorders>
              <w:top w:val="single" w:sz="4" w:space="0" w:color="808080"/>
              <w:left w:val="nil"/>
              <w:bottom w:val="single" w:sz="8" w:space="0" w:color="808080"/>
              <w:right w:val="single" w:sz="4" w:space="0" w:color="808080"/>
            </w:tcBorders>
            <w:shd w:val="clear" w:color="auto" w:fill="auto"/>
            <w:noWrap/>
            <w:vAlign w:val="center"/>
          </w:tcPr>
          <w:p w14:paraId="274CD44D" w14:textId="7E753AE0" w:rsidR="00496A98" w:rsidRPr="00485F66" w:rsidRDefault="00485F66" w:rsidP="008333B8">
            <w:pPr>
              <w:spacing w:after="0" w:line="240" w:lineRule="auto"/>
              <w:jc w:val="right"/>
              <w:rPr>
                <w:sz w:val="20"/>
                <w:szCs w:val="20"/>
              </w:rPr>
            </w:pPr>
            <w:r w:rsidRPr="00485F66">
              <w:rPr>
                <w:sz w:val="20"/>
                <w:szCs w:val="20"/>
              </w:rPr>
              <w:t>12</w:t>
            </w:r>
          </w:p>
        </w:tc>
        <w:tc>
          <w:tcPr>
            <w:tcW w:w="1768" w:type="dxa"/>
            <w:tcBorders>
              <w:top w:val="single" w:sz="4" w:space="0" w:color="808080"/>
              <w:left w:val="nil"/>
              <w:bottom w:val="single" w:sz="8" w:space="0" w:color="808080"/>
              <w:right w:val="single" w:sz="8" w:space="0" w:color="808080"/>
            </w:tcBorders>
            <w:shd w:val="clear" w:color="auto" w:fill="auto"/>
            <w:noWrap/>
            <w:vAlign w:val="center"/>
          </w:tcPr>
          <w:p w14:paraId="4979535B" w14:textId="49F43AF5" w:rsidR="00496A98" w:rsidRPr="00485F66" w:rsidRDefault="00485F66" w:rsidP="008333B8">
            <w:pPr>
              <w:spacing w:after="0" w:line="240" w:lineRule="auto"/>
              <w:jc w:val="right"/>
              <w:rPr>
                <w:sz w:val="20"/>
                <w:szCs w:val="20"/>
              </w:rPr>
            </w:pPr>
            <w:r w:rsidRPr="00485F66">
              <w:rPr>
                <w:sz w:val="20"/>
                <w:szCs w:val="20"/>
              </w:rPr>
              <w:t>50 units/kg</w:t>
            </w:r>
          </w:p>
        </w:tc>
      </w:tr>
    </w:tbl>
    <w:p w14:paraId="5843D965" w14:textId="75985D26" w:rsidR="00677FB0" w:rsidRPr="00485F66" w:rsidRDefault="00677FB0" w:rsidP="008333B8">
      <w:pPr>
        <w:spacing w:after="0" w:line="240" w:lineRule="auto"/>
        <w:jc w:val="center"/>
      </w:pPr>
    </w:p>
    <w:p w14:paraId="713A65E0" w14:textId="686331F1" w:rsidR="00612DD8" w:rsidRPr="00485F66" w:rsidRDefault="00612DD8" w:rsidP="008333B8">
      <w:pPr>
        <w:spacing w:after="0" w:line="240" w:lineRule="auto"/>
        <w:jc w:val="center"/>
      </w:pPr>
    </w:p>
    <w:p w14:paraId="407FD639" w14:textId="39B21174" w:rsidR="00612DD8" w:rsidRPr="00485F66" w:rsidRDefault="00612DD8" w:rsidP="00B228C9">
      <w:r w:rsidRPr="00485F66">
        <w:br w:type="page"/>
      </w:r>
    </w:p>
    <w:p w14:paraId="37BA8877" w14:textId="551DE725" w:rsidR="00612DD8" w:rsidRPr="00485F66" w:rsidRDefault="00612DD8" w:rsidP="00612DD8">
      <w:pPr>
        <w:spacing w:after="120" w:line="240" w:lineRule="auto"/>
        <w:jc w:val="both"/>
        <w:rPr>
          <w:rFonts w:eastAsia="Times New Roman" w:cs="Times New Roman"/>
          <w:color w:val="1C75BC"/>
          <w:sz w:val="36"/>
          <w:szCs w:val="36"/>
          <w:lang w:eastAsia="en-GB"/>
        </w:rPr>
      </w:pPr>
      <w:r w:rsidRPr="00485F66">
        <w:rPr>
          <w:rFonts w:eastAsia="Times New Roman" w:cs="Times New Roman"/>
          <w:color w:val="1C75BC"/>
          <w:sz w:val="36"/>
          <w:szCs w:val="36"/>
          <w:lang w:eastAsia="en-GB"/>
        </w:rPr>
        <w:lastRenderedPageBreak/>
        <w:t>Annex 4 – Combination of availability and affordability</w:t>
      </w:r>
    </w:p>
    <w:p w14:paraId="0978C1D1" w14:textId="63150FFF" w:rsidR="00612DD8" w:rsidRPr="00485F66" w:rsidRDefault="00612DD8" w:rsidP="00612DD8">
      <w:pPr>
        <w:spacing w:after="120" w:line="240" w:lineRule="auto"/>
        <w:jc w:val="both"/>
        <w:rPr>
          <w:rFonts w:eastAsia="Cambria Math" w:cs="Cambria Math"/>
          <w:color w:val="000000"/>
        </w:rPr>
      </w:pPr>
      <w:r w:rsidRPr="00485F66">
        <w:rPr>
          <w:rFonts w:eastAsia="Cambria Math" w:cs="Cambria Math"/>
          <w:color w:val="000000"/>
        </w:rPr>
        <w:t>As an example, consider a simplified case of access to a basket of three medicines (</w:t>
      </w:r>
      <w:r w:rsidRPr="00485F66">
        <w:rPr>
          <w:rFonts w:eastAsia="Cambria Math" w:cs="Cambria Math"/>
          <w:i/>
          <w:iCs/>
          <w:color w:val="000000"/>
        </w:rPr>
        <w:t>Figure 2</w:t>
      </w:r>
      <w:r w:rsidRPr="00485F66">
        <w:rPr>
          <w:rFonts w:eastAsia="Cambria Math" w:cs="Cambria Math"/>
          <w:color w:val="000000"/>
        </w:rPr>
        <w:t>). In the matrix:</w:t>
      </w:r>
    </w:p>
    <w:p w14:paraId="78B03129" w14:textId="77777777" w:rsidR="00612DD8" w:rsidRPr="00485F66" w:rsidRDefault="00612DD8" w:rsidP="00612DD8">
      <w:pPr>
        <w:pStyle w:val="ListParagraph"/>
        <w:numPr>
          <w:ilvl w:val="0"/>
          <w:numId w:val="16"/>
        </w:numPr>
        <w:spacing w:after="120" w:line="240" w:lineRule="auto"/>
        <w:jc w:val="both"/>
        <w:rPr>
          <w:rFonts w:eastAsia="Cambria Math" w:cs="Cambria Math"/>
          <w:color w:val="000000"/>
        </w:rPr>
      </w:pPr>
      <w:r w:rsidRPr="00485F66">
        <w:rPr>
          <w:rFonts w:eastAsia="Cambria Math" w:cs="Cambria Math"/>
          <w:color w:val="000000"/>
        </w:rPr>
        <w:t xml:space="preserve">“1” indicates that a medicine is available or is affordable. </w:t>
      </w:r>
    </w:p>
    <w:p w14:paraId="1A5AE19E" w14:textId="77777777" w:rsidR="00612DD8" w:rsidRPr="00485F66" w:rsidRDefault="00612DD8" w:rsidP="00612DD8">
      <w:pPr>
        <w:pStyle w:val="ListParagraph"/>
        <w:numPr>
          <w:ilvl w:val="0"/>
          <w:numId w:val="16"/>
        </w:numPr>
        <w:spacing w:after="120" w:line="240" w:lineRule="auto"/>
        <w:jc w:val="both"/>
        <w:rPr>
          <w:rFonts w:eastAsia="Cambria Math" w:cs="Cambria Math"/>
          <w:color w:val="000000"/>
        </w:rPr>
      </w:pPr>
      <w:r w:rsidRPr="00485F66">
        <w:rPr>
          <w:rFonts w:eastAsia="Cambria Math" w:cs="Cambria Math"/>
          <w:color w:val="000000"/>
        </w:rPr>
        <w:t xml:space="preserve">“0” indicates that a medicine is not available or not affordable. In other words, “0” in the matrix indicates that the dimension is deprived. </w:t>
      </w:r>
    </w:p>
    <w:p w14:paraId="2B8E1748" w14:textId="77777777" w:rsidR="00612DD8" w:rsidRPr="00485F66" w:rsidRDefault="00612DD8" w:rsidP="00612DD8">
      <w:pPr>
        <w:pStyle w:val="ListParagraph"/>
        <w:numPr>
          <w:ilvl w:val="0"/>
          <w:numId w:val="16"/>
        </w:numPr>
        <w:spacing w:after="120" w:line="240" w:lineRule="auto"/>
        <w:jc w:val="both"/>
        <w:rPr>
          <w:rFonts w:eastAsia="Cambria Math" w:cs="Cambria Math"/>
          <w:color w:val="000000"/>
        </w:rPr>
      </w:pPr>
      <w:r w:rsidRPr="00485F66">
        <w:rPr>
          <w:rFonts w:eastAsia="Cambria Math" w:cs="Cambria Math"/>
          <w:color w:val="000000"/>
        </w:rPr>
        <w:t xml:space="preserve">“.” indicates cases when medicine is not available and consequently affordability of medicine is not measured. In other words, information on prices cannot be collected when a medicine is not found by the interviewer in the facility. </w:t>
      </w:r>
    </w:p>
    <w:p w14:paraId="051FF76E" w14:textId="1E30071A" w:rsidR="00612DD8" w:rsidRPr="00485F66" w:rsidRDefault="00612DD8" w:rsidP="00612DD8">
      <w:pPr>
        <w:spacing w:after="120" w:line="240" w:lineRule="auto"/>
        <w:jc w:val="center"/>
        <w:rPr>
          <w:rFonts w:eastAsia="Cambria Math" w:cs="Cambria Math"/>
          <w:noProof/>
          <w:color w:val="000000"/>
          <w:lang w:val="en-US"/>
        </w:rPr>
      </w:pPr>
      <w:r w:rsidRPr="00485F66">
        <w:rPr>
          <w:rFonts w:eastAsia="Cambria Math" w:cs="Cambria Math"/>
          <w:b/>
          <w:bCs/>
          <w:color w:val="000000"/>
          <w:sz w:val="20"/>
          <w:szCs w:val="20"/>
        </w:rPr>
        <w:t xml:space="preserve">Figure </w:t>
      </w:r>
      <w:r w:rsidR="0024416D" w:rsidRPr="00485F66">
        <w:rPr>
          <w:rFonts w:eastAsia="Cambria Math" w:cs="Cambria Math"/>
          <w:b/>
          <w:bCs/>
          <w:color w:val="000000"/>
          <w:sz w:val="20"/>
          <w:szCs w:val="20"/>
        </w:rPr>
        <w:t>4.1</w:t>
      </w:r>
      <w:r w:rsidRPr="00485F66">
        <w:rPr>
          <w:rFonts w:eastAsia="Cambria Math" w:cs="Cambria Math"/>
          <w:b/>
          <w:bCs/>
          <w:color w:val="000000"/>
          <w:sz w:val="20"/>
          <w:szCs w:val="20"/>
        </w:rPr>
        <w:t>.</w:t>
      </w:r>
      <w:r w:rsidRPr="00485F66">
        <w:rPr>
          <w:rFonts w:eastAsia="Cambria Math" w:cs="Cambria Math"/>
          <w:color w:val="000000"/>
          <w:sz w:val="20"/>
          <w:szCs w:val="20"/>
        </w:rPr>
        <w:t xml:space="preserve"> Achievement matrix on access to medicine (two dimensions)</w:t>
      </w:r>
    </w:p>
    <w:p w14:paraId="3663FB5F" w14:textId="77777777" w:rsidR="00612DD8" w:rsidRPr="00485F66" w:rsidRDefault="00612DD8" w:rsidP="00612DD8">
      <w:pPr>
        <w:spacing w:after="120" w:line="240" w:lineRule="auto"/>
        <w:jc w:val="center"/>
        <w:rPr>
          <w:rFonts w:eastAsia="Cambria Math" w:cs="Cambria Math"/>
          <w:color w:val="000000"/>
        </w:rPr>
      </w:pPr>
      <w:r w:rsidRPr="00485F66">
        <w:rPr>
          <w:rFonts w:eastAsia="Cambria Math" w:cs="Cambria Math"/>
          <w:noProof/>
          <w:color w:val="000000"/>
          <w:lang w:val="en-US"/>
        </w:rPr>
        <w:drawing>
          <wp:inline distT="0" distB="0" distL="0" distR="0" wp14:anchorId="5E919017" wp14:editId="1151A138">
            <wp:extent cx="2268366" cy="1496108"/>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8167" cy="1509168"/>
                    </a:xfrm>
                    <a:prstGeom prst="rect">
                      <a:avLst/>
                    </a:prstGeom>
                    <a:noFill/>
                    <a:ln>
                      <a:noFill/>
                    </a:ln>
                  </pic:spPr>
                </pic:pic>
              </a:graphicData>
            </a:graphic>
          </wp:inline>
        </w:drawing>
      </w:r>
    </w:p>
    <w:p w14:paraId="34AF3F22" w14:textId="77777777" w:rsidR="00612DD8" w:rsidRPr="00485F66" w:rsidRDefault="00612DD8" w:rsidP="00612DD8">
      <w:pPr>
        <w:spacing w:after="120" w:line="240" w:lineRule="auto"/>
        <w:jc w:val="both"/>
        <w:rPr>
          <w:rFonts w:eastAsia="Cambria Math" w:cs="Cambria Math"/>
          <w:color w:val="000000"/>
        </w:rPr>
      </w:pPr>
      <w:r w:rsidRPr="00485F66">
        <w:rPr>
          <w:rFonts w:eastAsia="Cambria Math" w:cs="Cambria Math"/>
          <w:color w:val="000000"/>
        </w:rPr>
        <w:t>In this basket the 1</w:t>
      </w:r>
      <w:r w:rsidRPr="00485F66">
        <w:rPr>
          <w:rFonts w:eastAsia="Cambria Math" w:cs="Cambria Math"/>
          <w:color w:val="000000"/>
          <w:vertAlign w:val="superscript"/>
        </w:rPr>
        <w:t>st</w:t>
      </w:r>
      <w:r w:rsidRPr="00485F66">
        <w:rPr>
          <w:rFonts w:eastAsia="Cambria Math" w:cs="Cambria Math"/>
          <w:color w:val="000000"/>
        </w:rPr>
        <w:t xml:space="preserve"> medicine is fully accessible (i.e. it is both available and affordable), the 2</w:t>
      </w:r>
      <w:r w:rsidRPr="00485F66">
        <w:rPr>
          <w:rFonts w:eastAsia="Cambria Math" w:cs="Cambria Math"/>
          <w:color w:val="000000"/>
          <w:vertAlign w:val="superscript"/>
        </w:rPr>
        <w:t>nd</w:t>
      </w:r>
      <w:r w:rsidRPr="00485F66">
        <w:rPr>
          <w:rFonts w:eastAsia="Cambria Math" w:cs="Cambria Math"/>
          <w:color w:val="000000"/>
        </w:rPr>
        <w:t xml:space="preserve"> medicine is partially accessible (i.e. it is available but not affordable), while the 3</w:t>
      </w:r>
      <w:r w:rsidRPr="00485F66">
        <w:rPr>
          <w:rFonts w:eastAsia="Cambria Math" w:cs="Cambria Math"/>
          <w:color w:val="000000"/>
          <w:vertAlign w:val="superscript"/>
        </w:rPr>
        <w:t>rd</w:t>
      </w:r>
      <w:r w:rsidRPr="00485F66">
        <w:rPr>
          <w:rFonts w:eastAsia="Cambria Math" w:cs="Cambria Math"/>
          <w:color w:val="000000"/>
        </w:rPr>
        <w:t xml:space="preserve"> medicine is inaccessible (i.e. it is not available and thus it is not possible to collect information on prices).</w:t>
      </w:r>
    </w:p>
    <w:p w14:paraId="4215CA1A" w14:textId="77777777" w:rsidR="00612DD8" w:rsidRPr="00485F66" w:rsidRDefault="00612DD8" w:rsidP="00612DD8">
      <w:pPr>
        <w:spacing w:after="120" w:line="240" w:lineRule="auto"/>
        <w:jc w:val="both"/>
        <w:rPr>
          <w:rFonts w:eastAsia="Cambria Math" w:cs="Cambria Math"/>
          <w:color w:val="000000"/>
        </w:rPr>
      </w:pPr>
      <w:r w:rsidRPr="00485F66">
        <w:rPr>
          <w:rFonts w:eastAsia="Cambria Math" w:cs="Cambria Math"/>
          <w:color w:val="000000"/>
        </w:rPr>
        <w:t>In this example, the first medicine is accessible and the third medicine is not. However, the second medicine is partially deprived indicating that specific policies applied in the country may be effective for availability of the medicine but not for its affordability. Applying the union identification approach by S. Alkire and G. Robles that treats elements (medicines) in the matrix with partial deprivation as fully deprived, the second medicine is considered not accessible as well (</w:t>
      </w:r>
      <w:r w:rsidRPr="00485F66">
        <w:rPr>
          <w:rFonts w:eastAsia="Cambria Math" w:cs="Cambria Math"/>
          <w:i/>
          <w:iCs/>
          <w:color w:val="000000"/>
        </w:rPr>
        <w:t>Figure 3</w:t>
      </w:r>
      <w:r w:rsidRPr="00485F66">
        <w:rPr>
          <w:rFonts w:eastAsia="Cambria Math" w:cs="Cambria Math"/>
          <w:color w:val="000000"/>
        </w:rPr>
        <w:t xml:space="preserve">). </w:t>
      </w:r>
    </w:p>
    <w:p w14:paraId="58F71D9D" w14:textId="1956EC60" w:rsidR="00612DD8" w:rsidRPr="00485F66" w:rsidRDefault="00612DD8" w:rsidP="00612DD8">
      <w:pPr>
        <w:spacing w:after="120" w:line="240" w:lineRule="auto"/>
        <w:jc w:val="center"/>
        <w:rPr>
          <w:rFonts w:eastAsia="Cambria Math" w:cs="Cambria Math"/>
          <w:noProof/>
          <w:color w:val="000000"/>
          <w:lang w:val="en-US"/>
        </w:rPr>
      </w:pPr>
      <w:r w:rsidRPr="00485F66">
        <w:rPr>
          <w:rFonts w:eastAsia="Cambria Math" w:cs="Cambria Math"/>
          <w:b/>
          <w:bCs/>
          <w:color w:val="000000"/>
          <w:sz w:val="20"/>
          <w:szCs w:val="20"/>
        </w:rPr>
        <w:t xml:space="preserve">Figure </w:t>
      </w:r>
      <w:r w:rsidR="0024416D" w:rsidRPr="00485F66">
        <w:rPr>
          <w:rFonts w:eastAsia="Cambria Math" w:cs="Cambria Math"/>
          <w:b/>
          <w:bCs/>
          <w:color w:val="000000"/>
          <w:sz w:val="20"/>
          <w:szCs w:val="20"/>
        </w:rPr>
        <w:t>4.2</w:t>
      </w:r>
      <w:r w:rsidRPr="00485F66">
        <w:rPr>
          <w:rFonts w:eastAsia="Cambria Math" w:cs="Cambria Math"/>
          <w:b/>
          <w:bCs/>
          <w:color w:val="000000"/>
          <w:sz w:val="20"/>
          <w:szCs w:val="20"/>
        </w:rPr>
        <w:t>.</w:t>
      </w:r>
      <w:r w:rsidRPr="00485F66">
        <w:rPr>
          <w:rFonts w:eastAsia="Cambria Math" w:cs="Cambria Math"/>
          <w:color w:val="000000"/>
          <w:sz w:val="20"/>
          <w:szCs w:val="20"/>
        </w:rPr>
        <w:t xml:space="preserve"> Achievement matrix of access to medicine (two dimensions &amp; deprivation of dimensions)</w:t>
      </w:r>
    </w:p>
    <w:p w14:paraId="1B37E588" w14:textId="77777777" w:rsidR="00612DD8" w:rsidRPr="00485F66" w:rsidRDefault="00612DD8" w:rsidP="00612DD8">
      <w:pPr>
        <w:spacing w:after="120" w:line="240" w:lineRule="auto"/>
        <w:ind w:firstLine="397"/>
        <w:jc w:val="center"/>
        <w:rPr>
          <w:rFonts w:eastAsia="Cambria Math" w:cs="Cambria Math"/>
          <w:color w:val="000000"/>
        </w:rPr>
      </w:pPr>
      <w:r w:rsidRPr="00485F66">
        <w:rPr>
          <w:rFonts w:eastAsia="Cambria Math" w:cs="Cambria Math"/>
          <w:noProof/>
          <w:color w:val="000000"/>
          <w:lang w:val="en-US"/>
        </w:rPr>
        <w:drawing>
          <wp:inline distT="0" distB="0" distL="0" distR="0" wp14:anchorId="03A2932D" wp14:editId="0EF4D0CF">
            <wp:extent cx="2067058" cy="1154741"/>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79522" cy="1161704"/>
                    </a:xfrm>
                    <a:prstGeom prst="rect">
                      <a:avLst/>
                    </a:prstGeom>
                    <a:noFill/>
                    <a:ln>
                      <a:noFill/>
                    </a:ln>
                  </pic:spPr>
                </pic:pic>
              </a:graphicData>
            </a:graphic>
          </wp:inline>
        </w:drawing>
      </w:r>
    </w:p>
    <w:p w14:paraId="4A6D4F8C" w14:textId="77777777" w:rsidR="00612DD8" w:rsidRDefault="00612DD8" w:rsidP="00612DD8">
      <w:pPr>
        <w:spacing w:after="120" w:line="240" w:lineRule="auto"/>
        <w:jc w:val="both"/>
        <w:rPr>
          <w:rFonts w:eastAsia="Cambria Math" w:cs="Cambria Math"/>
          <w:color w:val="000000"/>
        </w:rPr>
      </w:pPr>
      <w:r w:rsidRPr="00485F66">
        <w:rPr>
          <w:rFonts w:eastAsia="Cambria Math" w:cs="Cambria Math"/>
          <w:color w:val="000000"/>
        </w:rPr>
        <w:t>At the end of this step, the variable “access” to medicines is generated, combining the 2 dimensions of availability and affordability. This variable remains binary in nature with 1 – medicine is accessible (both available and affordable) and 0 – medicine is not accessible (not available or available but not affordable).</w:t>
      </w:r>
    </w:p>
    <w:p w14:paraId="4E36055E" w14:textId="77777777" w:rsidR="00612DD8" w:rsidRDefault="00612DD8" w:rsidP="008333B8">
      <w:pPr>
        <w:spacing w:after="0" w:line="240" w:lineRule="auto"/>
        <w:jc w:val="center"/>
      </w:pPr>
    </w:p>
    <w:sectPr w:rsidR="00612DD8" w:rsidSect="001D090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039FF" w14:textId="77777777" w:rsidR="008459A4" w:rsidRDefault="008459A4" w:rsidP="00887DE2">
      <w:pPr>
        <w:spacing w:after="0" w:line="240" w:lineRule="auto"/>
      </w:pPr>
      <w:r>
        <w:separator/>
      </w:r>
    </w:p>
  </w:endnote>
  <w:endnote w:type="continuationSeparator" w:id="0">
    <w:p w14:paraId="2E687C83" w14:textId="77777777" w:rsidR="008459A4" w:rsidRDefault="008459A4" w:rsidP="0088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A5222" w14:textId="77777777" w:rsidR="00203BE6" w:rsidRDefault="00203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010945"/>
      <w:docPartObj>
        <w:docPartGallery w:val="Page Numbers (Bottom of Page)"/>
        <w:docPartUnique/>
      </w:docPartObj>
    </w:sdtPr>
    <w:sdtEndPr>
      <w:rPr>
        <w:noProof/>
      </w:rPr>
    </w:sdtEndPr>
    <w:sdtContent>
      <w:p w14:paraId="4950D0BF" w14:textId="08C14309" w:rsidR="00485F66" w:rsidRDefault="00485F66">
        <w:pPr>
          <w:pStyle w:val="Footer"/>
          <w:jc w:val="right"/>
        </w:pPr>
        <w:r>
          <w:fldChar w:fldCharType="begin"/>
        </w:r>
        <w:r>
          <w:instrText xml:space="preserve"> PAGE   \* MERGEFORMAT </w:instrText>
        </w:r>
        <w:r>
          <w:fldChar w:fldCharType="separate"/>
        </w:r>
        <w:r w:rsidR="001C7493">
          <w:rPr>
            <w:noProof/>
          </w:rPr>
          <w:t>30</w:t>
        </w:r>
        <w:r>
          <w:rPr>
            <w:noProof/>
          </w:rPr>
          <w:fldChar w:fldCharType="end"/>
        </w:r>
      </w:p>
    </w:sdtContent>
  </w:sdt>
  <w:p w14:paraId="2381EDEE" w14:textId="77777777" w:rsidR="00485F66" w:rsidRDefault="00485F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3129B" w14:textId="77777777" w:rsidR="00203BE6" w:rsidRDefault="0020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E8CB1" w14:textId="77777777" w:rsidR="008459A4" w:rsidRDefault="008459A4" w:rsidP="00887DE2">
      <w:pPr>
        <w:spacing w:after="0" w:line="240" w:lineRule="auto"/>
      </w:pPr>
      <w:r>
        <w:separator/>
      </w:r>
    </w:p>
  </w:footnote>
  <w:footnote w:type="continuationSeparator" w:id="0">
    <w:p w14:paraId="3AF1E196" w14:textId="77777777" w:rsidR="008459A4" w:rsidRDefault="008459A4" w:rsidP="00887DE2">
      <w:pPr>
        <w:spacing w:after="0" w:line="240" w:lineRule="auto"/>
      </w:pPr>
      <w:r>
        <w:continuationSeparator/>
      </w:r>
    </w:p>
  </w:footnote>
  <w:footnote w:id="1">
    <w:p w14:paraId="355C9A56" w14:textId="039927DC" w:rsidR="00485F66" w:rsidRPr="006C1A6B" w:rsidRDefault="00485F66">
      <w:pPr>
        <w:pStyle w:val="FootnoteText"/>
        <w:rPr>
          <w:sz w:val="18"/>
        </w:rPr>
      </w:pPr>
      <w:r w:rsidRPr="006C1A6B">
        <w:rPr>
          <w:rStyle w:val="FootnoteReference"/>
          <w:sz w:val="18"/>
        </w:rPr>
        <w:footnoteRef/>
      </w:r>
      <w:r w:rsidRPr="006C1A6B">
        <w:rPr>
          <w:sz w:val="18"/>
        </w:rPr>
        <w:t xml:space="preserve"> </w:t>
      </w:r>
      <w:hyperlink r:id="rId1" w:history="1">
        <w:r w:rsidRPr="006C1A6B">
          <w:rPr>
            <w:rStyle w:val="Hyperlink"/>
            <w:sz w:val="18"/>
          </w:rPr>
          <w:t>http://www.who.int/medicines/areas/access/OMS_Medicine_prices.pdf</w:t>
        </w:r>
      </w:hyperlink>
      <w:r w:rsidRPr="006C1A6B">
        <w:rPr>
          <w:sz w:val="18"/>
        </w:rPr>
        <w:t xml:space="preserve"> </w:t>
      </w:r>
    </w:p>
  </w:footnote>
  <w:footnote w:id="2">
    <w:p w14:paraId="194AB3C0" w14:textId="723B4054" w:rsidR="00485F66" w:rsidRPr="006C1A6B" w:rsidRDefault="00485F66">
      <w:pPr>
        <w:pStyle w:val="FootnoteText"/>
        <w:rPr>
          <w:sz w:val="18"/>
        </w:rPr>
      </w:pPr>
      <w:r w:rsidRPr="006C1A6B">
        <w:rPr>
          <w:rStyle w:val="FootnoteReference"/>
          <w:sz w:val="18"/>
        </w:rPr>
        <w:footnoteRef/>
      </w:r>
      <w:r w:rsidRPr="006C1A6B">
        <w:rPr>
          <w:sz w:val="18"/>
        </w:rPr>
        <w:t xml:space="preserve"> </w:t>
      </w:r>
      <w:hyperlink r:id="rId2" w:history="1">
        <w:r w:rsidRPr="006C1A6B">
          <w:rPr>
            <w:rStyle w:val="Hyperlink"/>
            <w:sz w:val="18"/>
          </w:rPr>
          <w:t>https://www.whocc.no/ddd/definition_and_general_considera/</w:t>
        </w:r>
      </w:hyperlink>
      <w:r w:rsidRPr="006C1A6B">
        <w:rPr>
          <w:sz w:val="18"/>
        </w:rPr>
        <w:t xml:space="preserve"> </w:t>
      </w:r>
    </w:p>
  </w:footnote>
  <w:footnote w:id="3">
    <w:p w14:paraId="04B9CEB8" w14:textId="0F28A40C" w:rsidR="00485F66" w:rsidRPr="006C1A6B" w:rsidRDefault="00485F66">
      <w:pPr>
        <w:pStyle w:val="FootnoteText"/>
        <w:rPr>
          <w:sz w:val="18"/>
        </w:rPr>
      </w:pPr>
      <w:r w:rsidRPr="006C1A6B">
        <w:rPr>
          <w:rStyle w:val="FootnoteReference"/>
          <w:sz w:val="18"/>
        </w:rPr>
        <w:footnoteRef/>
      </w:r>
      <w:r w:rsidRPr="006C1A6B">
        <w:rPr>
          <w:sz w:val="18"/>
        </w:rPr>
        <w:t xml:space="preserve"> </w:t>
      </w:r>
      <w:hyperlink r:id="rId3" w:history="1">
        <w:r w:rsidRPr="006C1A6B">
          <w:rPr>
            <w:rStyle w:val="Hyperlink"/>
            <w:sz w:val="18"/>
          </w:rPr>
          <w:t>https://www.ilo.org/global/topics/wages/minimum-wages/definition/lang--en/index.htm</w:t>
        </w:r>
      </w:hyperlink>
      <w:r w:rsidRPr="006C1A6B">
        <w:rPr>
          <w:sz w:val="18"/>
        </w:rPr>
        <w:t xml:space="preserve"> </w:t>
      </w:r>
    </w:p>
  </w:footnote>
  <w:footnote w:id="4">
    <w:p w14:paraId="5E59CB00" w14:textId="77777777" w:rsidR="00485F66" w:rsidRPr="006C1A6B" w:rsidRDefault="00485F66" w:rsidP="00F92EEE">
      <w:pPr>
        <w:pStyle w:val="FootnoteText"/>
        <w:rPr>
          <w:sz w:val="18"/>
        </w:rPr>
      </w:pPr>
      <w:r w:rsidRPr="006C1A6B">
        <w:rPr>
          <w:rStyle w:val="FootnoteReference"/>
          <w:sz w:val="18"/>
        </w:rPr>
        <w:footnoteRef/>
      </w:r>
      <w:r w:rsidRPr="006C1A6B">
        <w:rPr>
          <w:sz w:val="18"/>
        </w:rPr>
        <w:t xml:space="preserve"> </w:t>
      </w:r>
      <w:hyperlink r:id="rId4" w:history="1">
        <w:r w:rsidRPr="006C1A6B">
          <w:rPr>
            <w:rStyle w:val="Hyperlink"/>
            <w:sz w:val="18"/>
          </w:rPr>
          <w:t>http://www.who.int/healthinfo/global_burden_disease/2004_report_update/en/</w:t>
        </w:r>
      </w:hyperlink>
      <w:r w:rsidRPr="006C1A6B">
        <w:rPr>
          <w:sz w:val="18"/>
        </w:rPr>
        <w:t xml:space="preserve"> </w:t>
      </w:r>
    </w:p>
  </w:footnote>
  <w:footnote w:id="5">
    <w:p w14:paraId="05702D23" w14:textId="78044A34" w:rsidR="00485F66" w:rsidRPr="00974AFE" w:rsidRDefault="00485F66" w:rsidP="00B17716">
      <w:r w:rsidRPr="006C1A6B">
        <w:rPr>
          <w:rStyle w:val="FootnoteReference"/>
          <w:sz w:val="18"/>
        </w:rPr>
        <w:footnoteRef/>
      </w:r>
      <w:r w:rsidRPr="006C1A6B">
        <w:rPr>
          <w:sz w:val="18"/>
        </w:rPr>
        <w:t xml:space="preserve"> </w:t>
      </w:r>
      <w:hyperlink r:id="rId5" w:history="1">
        <w:r w:rsidRPr="006C1A6B">
          <w:rPr>
            <w:rStyle w:val="Hyperlink"/>
            <w:sz w:val="18"/>
          </w:rPr>
          <w:t>https://www.oecd-ilibrary.org/docserver/health_glance-2017-en.pdf?expires=1538398439&amp;id=id&amp;accname=ocid195767&amp;checksum=5048DC3536CBC81347E991B01A182E2A</w:t>
        </w:r>
      </w:hyperlink>
    </w:p>
  </w:footnote>
  <w:footnote w:id="6">
    <w:p w14:paraId="38E23FCB" w14:textId="77777777" w:rsidR="00485F66" w:rsidRPr="006C1A6B" w:rsidRDefault="00485F66" w:rsidP="00AD51DE">
      <w:pPr>
        <w:pStyle w:val="FootnoteText"/>
        <w:rPr>
          <w:sz w:val="18"/>
        </w:rPr>
      </w:pPr>
      <w:r w:rsidRPr="006C1A6B">
        <w:rPr>
          <w:rStyle w:val="FootnoteReference"/>
          <w:sz w:val="18"/>
        </w:rPr>
        <w:footnoteRef/>
      </w:r>
      <w:r w:rsidRPr="006C1A6B">
        <w:rPr>
          <w:sz w:val="18"/>
        </w:rPr>
        <w:t xml:space="preserve"> </w:t>
      </w:r>
      <w:hyperlink r:id="rId6" w:history="1">
        <w:r w:rsidRPr="006C1A6B">
          <w:rPr>
            <w:rStyle w:val="Hyperlink1"/>
            <w:sz w:val="18"/>
          </w:rPr>
          <w:t>http://www.who.int/medicines/regulation/benchmarking_tool/en/</w:t>
        </w:r>
      </w:hyperlink>
      <w:r w:rsidRPr="006C1A6B">
        <w:rPr>
          <w:sz w:val="18"/>
        </w:rPr>
        <w:t xml:space="preserve"> </w:t>
      </w:r>
    </w:p>
  </w:footnote>
  <w:footnote w:id="7">
    <w:p w14:paraId="5D79782A" w14:textId="1EFE498D" w:rsidR="00485F66" w:rsidRPr="006C1A6B" w:rsidRDefault="00485F66">
      <w:pPr>
        <w:pStyle w:val="FootnoteText"/>
        <w:rPr>
          <w:sz w:val="18"/>
          <w:lang w:val="en-US"/>
        </w:rPr>
      </w:pPr>
      <w:r w:rsidRPr="006C1A6B">
        <w:rPr>
          <w:rStyle w:val="FootnoteReference"/>
          <w:sz w:val="18"/>
        </w:rPr>
        <w:footnoteRef/>
      </w:r>
      <w:r w:rsidRPr="006C1A6B">
        <w:rPr>
          <w:sz w:val="18"/>
        </w:rPr>
        <w:t xml:space="preserve"> Maturity ranges between four levels starting from (1) some elements of regulatory systems exist; (2) evolving national regulatory system that partially performs essential regulatory functions; (3) stable well-functioning and integrated regulatory system; (4) regulatory system operating at advanced level of performance and continuous improvement.</w:t>
      </w:r>
    </w:p>
  </w:footnote>
  <w:footnote w:id="8">
    <w:p w14:paraId="4C58C79D" w14:textId="6BD575B8" w:rsidR="00485F66" w:rsidRPr="006C1A6B" w:rsidRDefault="00485F66" w:rsidP="0057670B">
      <w:pPr>
        <w:pStyle w:val="FootnoteText"/>
        <w:jc w:val="both"/>
        <w:rPr>
          <w:sz w:val="18"/>
          <w:szCs w:val="18"/>
        </w:rPr>
      </w:pPr>
      <w:r w:rsidRPr="006C1A6B">
        <w:rPr>
          <w:rStyle w:val="FootnoteReference"/>
          <w:sz w:val="18"/>
          <w:szCs w:val="18"/>
        </w:rPr>
        <w:footnoteRef/>
      </w:r>
      <w:r w:rsidRPr="006C1A6B">
        <w:rPr>
          <w:sz w:val="18"/>
          <w:szCs w:val="18"/>
        </w:rPr>
        <w:t xml:space="preserve"> </w:t>
      </w:r>
      <w:r w:rsidRPr="006C1A6B">
        <w:rPr>
          <w:color w:val="000000" w:themeColor="text1"/>
          <w:sz w:val="18"/>
          <w:szCs w:val="18"/>
        </w:rPr>
        <w:t xml:space="preserve">DALYs for a disease are calculated as the sum of the </w:t>
      </w:r>
      <w:r w:rsidRPr="006C1A6B">
        <w:rPr>
          <w:i/>
          <w:iCs/>
          <w:color w:val="000000" w:themeColor="text1"/>
          <w:sz w:val="18"/>
          <w:szCs w:val="18"/>
        </w:rPr>
        <w:t>Years of Life Lost (YLL)</w:t>
      </w:r>
      <w:r w:rsidRPr="006C1A6B">
        <w:rPr>
          <w:color w:val="000000" w:themeColor="text1"/>
          <w:sz w:val="18"/>
          <w:szCs w:val="18"/>
        </w:rPr>
        <w:t xml:space="preserve"> due to premature mortality in the population and the </w:t>
      </w:r>
      <w:r w:rsidRPr="006C1A6B">
        <w:rPr>
          <w:i/>
          <w:iCs/>
          <w:color w:val="000000" w:themeColor="text1"/>
          <w:sz w:val="18"/>
          <w:szCs w:val="18"/>
        </w:rPr>
        <w:t>Years Lost due to Disability (YLD)</w:t>
      </w:r>
      <w:r w:rsidRPr="006C1A6B">
        <w:rPr>
          <w:color w:val="000000" w:themeColor="text1"/>
          <w:sz w:val="18"/>
          <w:szCs w:val="18"/>
        </w:rPr>
        <w:t xml:space="preserve"> for people living with the health condition or its consequences (DALYs  YLL + YLD). That is why DALYs allow “calculating” consequences both from acute diseases (mortality) and from chronic diseases (disability and life with disease). </w:t>
      </w:r>
      <w:hyperlink r:id="rId7" w:history="1">
        <w:r w:rsidRPr="006C1A6B">
          <w:rPr>
            <w:rStyle w:val="Hyperlink"/>
            <w:sz w:val="18"/>
            <w:szCs w:val="18"/>
          </w:rPr>
          <w:t>http://www.who.int/healthinfo/global_burden_disease/estimates/en/index1.html</w:t>
        </w:r>
      </w:hyperlink>
      <w:r w:rsidRPr="006C1A6B">
        <w:rPr>
          <w:color w:val="000000" w:themeColor="text1"/>
          <w:sz w:val="18"/>
          <w:szCs w:val="18"/>
        </w:rPr>
        <w:t xml:space="preserve">  </w:t>
      </w:r>
    </w:p>
  </w:footnote>
  <w:footnote w:id="9">
    <w:p w14:paraId="04EEB5EB" w14:textId="041B9CE4" w:rsidR="00485F66" w:rsidRPr="006C1A6B" w:rsidRDefault="00485F66" w:rsidP="0057670B">
      <w:pPr>
        <w:pStyle w:val="FootnoteText"/>
        <w:rPr>
          <w:sz w:val="18"/>
          <w:szCs w:val="18"/>
        </w:rPr>
      </w:pPr>
      <w:r w:rsidRPr="006C1A6B">
        <w:rPr>
          <w:rStyle w:val="FootnoteReference"/>
          <w:sz w:val="18"/>
          <w:szCs w:val="18"/>
        </w:rPr>
        <w:footnoteRef/>
      </w:r>
      <w:r w:rsidRPr="006C1A6B">
        <w:rPr>
          <w:sz w:val="18"/>
          <w:szCs w:val="18"/>
        </w:rPr>
        <w:t xml:space="preserve"> </w:t>
      </w:r>
      <w:hyperlink r:id="rId8" w:history="1">
        <w:r w:rsidRPr="006C1A6B">
          <w:rPr>
            <w:rStyle w:val="Hyperlink"/>
            <w:sz w:val="18"/>
            <w:szCs w:val="18"/>
          </w:rPr>
          <w:t>http://www.who.int/medicines/areas/access/OMS_Medicine_prices.pdf</w:t>
        </w:r>
      </w:hyperlink>
      <w:r w:rsidRPr="006C1A6B">
        <w:rPr>
          <w:sz w:val="18"/>
          <w:szCs w:val="18"/>
        </w:rPr>
        <w:t xml:space="preserve"> </w:t>
      </w:r>
    </w:p>
  </w:footnote>
  <w:footnote w:id="10">
    <w:p w14:paraId="150EFE33" w14:textId="6764A8E2" w:rsidR="00485F66" w:rsidRDefault="00485F66" w:rsidP="0094434D">
      <w:pPr>
        <w:pStyle w:val="FootnoteText"/>
      </w:pPr>
      <w:r>
        <w:rPr>
          <w:rStyle w:val="FootnoteReference"/>
        </w:rPr>
        <w:footnoteRef/>
      </w:r>
      <w:r>
        <w:t xml:space="preserve"> </w:t>
      </w:r>
      <w:hyperlink r:id="rId9" w:history="1">
        <w:r w:rsidRPr="006A32FC">
          <w:rPr>
            <w:rStyle w:val="Hyperlink"/>
          </w:rPr>
          <w:t>https://www.ophi.org.uk/wp-content/uploads/OPHIRP046a.pdf</w:t>
        </w:r>
      </w:hyperlink>
      <w:r w:rsidRPr="00B1514E">
        <w:rPr>
          <w:sz w:val="16"/>
          <w:szCs w:val="16"/>
        </w:rPr>
        <w:t xml:space="preserve"> </w:t>
      </w:r>
    </w:p>
  </w:footnote>
  <w:footnote w:id="11">
    <w:p w14:paraId="07821E83" w14:textId="77777777" w:rsidR="00485F66" w:rsidRDefault="00485F66" w:rsidP="006F730D">
      <w:pPr>
        <w:pStyle w:val="FootnoteText"/>
      </w:pPr>
      <w:r>
        <w:rPr>
          <w:rStyle w:val="FootnoteReference"/>
        </w:rPr>
        <w:footnoteRef/>
      </w:r>
      <w:r>
        <w:t xml:space="preserve"> </w:t>
      </w:r>
      <w:hyperlink r:id="rId10" w:history="1">
        <w:r w:rsidRPr="000357D3">
          <w:rPr>
            <w:rStyle w:val="Hyperlink"/>
          </w:rPr>
          <w:t>http://apps.who.int/gho/data/node.main.487</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ABD3" w14:textId="77777777" w:rsidR="00203BE6" w:rsidRDefault="00203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300C6" w14:textId="762A3270" w:rsidR="00896BAD" w:rsidRPr="00B071C0" w:rsidRDefault="00896BAD" w:rsidP="00896BAD">
    <w:pPr>
      <w:pStyle w:val="Header"/>
      <w:jc w:val="right"/>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January</w:t>
    </w:r>
    <w:r>
      <w:rPr>
        <w:color w:val="595959" w:themeColor="text1" w:themeTint="A6"/>
        <w:sz w:val="18"/>
        <w:szCs w:val="18"/>
      </w:rPr>
      <w:t xml:space="preserve"> 2019</w:t>
    </w:r>
  </w:p>
  <w:p w14:paraId="1719E8E4" w14:textId="7D3B4893" w:rsidR="00203BE6" w:rsidRPr="00896BAD" w:rsidRDefault="00203BE6" w:rsidP="00896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949F7" w14:textId="77777777" w:rsidR="00203BE6" w:rsidRDefault="00203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593"/>
    <w:multiLevelType w:val="multilevel"/>
    <w:tmpl w:val="B59489C4"/>
    <w:lvl w:ilvl="0">
      <w:start w:val="1"/>
      <w:numFmt w:val="decimal"/>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rPr>
        <w:sz w:val="20"/>
        <w:szCs w:val="20"/>
      </w:rPr>
    </w:lvl>
    <w:lvl w:ilvl="3">
      <w:start w:val="1"/>
      <w:numFmt w:val="decimal"/>
      <w:lvlText w:val="%4."/>
      <w:lvlJc w:val="left"/>
      <w:pPr>
        <w:ind w:left="2880" w:hanging="360"/>
      </w:pPr>
      <w:rPr>
        <w:b/>
        <w:bCs/>
        <w:sz w:val="22"/>
        <w:szCs w:val="22"/>
      </w:rPr>
    </w:lvl>
    <w:lvl w:ilvl="4">
      <w:start w:val="1"/>
      <w:numFmt w:val="lowerLetter"/>
      <w:lvlText w:val="%5."/>
      <w:lvlJc w:val="left"/>
      <w:pPr>
        <w:ind w:left="3600" w:hanging="360"/>
      </w:pPr>
      <w:rPr>
        <w:sz w:val="22"/>
        <w:szCs w:val="22"/>
      </w:rPr>
    </w:lvl>
    <w:lvl w:ilvl="5">
      <w:start w:val="1"/>
      <w:numFmt w:val="lowerRoman"/>
      <w:lvlText w:val="%6."/>
      <w:lvlJc w:val="right"/>
      <w:pPr>
        <w:ind w:left="4320" w:hanging="180"/>
      </w:pPr>
      <w:rPr>
        <w:sz w:val="20"/>
        <w:szCs w:val="20"/>
      </w:rPr>
    </w:lvl>
    <w:lvl w:ilvl="6">
      <w:start w:val="1"/>
      <w:numFmt w:val="decimal"/>
      <w:lvlText w:val="%7."/>
      <w:lvlJc w:val="left"/>
      <w:pPr>
        <w:ind w:left="5040" w:hanging="360"/>
      </w:pPr>
      <w:rPr>
        <w:sz w:val="20"/>
        <w:szCs w:val="20"/>
      </w:rPr>
    </w:lvl>
    <w:lvl w:ilvl="7">
      <w:start w:val="1"/>
      <w:numFmt w:val="lowerLetter"/>
      <w:lvlText w:val="%8."/>
      <w:lvlJc w:val="left"/>
      <w:pPr>
        <w:ind w:left="5760" w:hanging="360"/>
      </w:pPr>
      <w:rPr>
        <w:sz w:val="20"/>
        <w:szCs w:val="20"/>
      </w:rPr>
    </w:lvl>
    <w:lvl w:ilvl="8">
      <w:start w:val="1"/>
      <w:numFmt w:val="lowerRoman"/>
      <w:lvlText w:val="%9."/>
      <w:lvlJc w:val="right"/>
      <w:pPr>
        <w:ind w:left="6480" w:hanging="180"/>
      </w:pPr>
      <w:rPr>
        <w:sz w:val="20"/>
        <w:szCs w:val="20"/>
      </w:rPr>
    </w:lvl>
  </w:abstractNum>
  <w:abstractNum w:abstractNumId="1" w15:restartNumberingAfterBreak="0">
    <w:nsid w:val="022F7A38"/>
    <w:multiLevelType w:val="hybridMultilevel"/>
    <w:tmpl w:val="9738B20E"/>
    <w:lvl w:ilvl="0" w:tplc="06B813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76929"/>
    <w:multiLevelType w:val="hybridMultilevel"/>
    <w:tmpl w:val="176859E2"/>
    <w:lvl w:ilvl="0" w:tplc="1B40E5F8">
      <w:start w:val="1"/>
      <w:numFmt w:val="decimal"/>
      <w:lvlText w:val="%1)"/>
      <w:lvlJc w:val="left"/>
      <w:pPr>
        <w:ind w:left="720" w:hanging="360"/>
      </w:pPr>
      <w:rPr>
        <w:rFonts w:eastAsia="Cambria Math" w:cs="Cambria Math" w:hint="default"/>
        <w:b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7F13"/>
    <w:multiLevelType w:val="hybridMultilevel"/>
    <w:tmpl w:val="C0C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70EBA"/>
    <w:multiLevelType w:val="hybridMultilevel"/>
    <w:tmpl w:val="D9D08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73E8F"/>
    <w:multiLevelType w:val="hybridMultilevel"/>
    <w:tmpl w:val="71C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25F66"/>
    <w:multiLevelType w:val="hybridMultilevel"/>
    <w:tmpl w:val="18A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26368"/>
    <w:multiLevelType w:val="hybridMultilevel"/>
    <w:tmpl w:val="8FCAD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AF3CC0"/>
    <w:multiLevelType w:val="hybridMultilevel"/>
    <w:tmpl w:val="A48C3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DD41E4"/>
    <w:multiLevelType w:val="hybridMultilevel"/>
    <w:tmpl w:val="13CA7948"/>
    <w:lvl w:ilvl="0" w:tplc="3E98BAD4">
      <w:start w:val="1"/>
      <w:numFmt w:val="decimal"/>
      <w:lvlText w:val="%1."/>
      <w:lvlJc w:val="left"/>
      <w:pPr>
        <w:ind w:left="643" w:hanging="360"/>
      </w:pPr>
      <w:rPr>
        <w:b w:val="0"/>
        <w:bCs/>
        <w:color w:val="auto"/>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0" w15:restartNumberingAfterBreak="0">
    <w:nsid w:val="29DA55AF"/>
    <w:multiLevelType w:val="hybridMultilevel"/>
    <w:tmpl w:val="F3B4FCB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95D30"/>
    <w:multiLevelType w:val="hybridMultilevel"/>
    <w:tmpl w:val="643A8FEC"/>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526B7C"/>
    <w:multiLevelType w:val="hybridMultilevel"/>
    <w:tmpl w:val="88E438BC"/>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2D641249"/>
    <w:multiLevelType w:val="multilevel"/>
    <w:tmpl w:val="B59489C4"/>
    <w:lvl w:ilvl="0">
      <w:start w:val="1"/>
      <w:numFmt w:val="decimal"/>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rPr>
        <w:sz w:val="20"/>
        <w:szCs w:val="20"/>
      </w:rPr>
    </w:lvl>
    <w:lvl w:ilvl="3">
      <w:start w:val="1"/>
      <w:numFmt w:val="decimal"/>
      <w:lvlText w:val="%4."/>
      <w:lvlJc w:val="left"/>
      <w:pPr>
        <w:ind w:left="2880" w:hanging="360"/>
      </w:pPr>
      <w:rPr>
        <w:b/>
        <w:bCs/>
        <w:sz w:val="22"/>
        <w:szCs w:val="22"/>
      </w:rPr>
    </w:lvl>
    <w:lvl w:ilvl="4">
      <w:start w:val="1"/>
      <w:numFmt w:val="lowerLetter"/>
      <w:lvlText w:val="%5."/>
      <w:lvlJc w:val="left"/>
      <w:pPr>
        <w:ind w:left="3600" w:hanging="360"/>
      </w:pPr>
      <w:rPr>
        <w:sz w:val="22"/>
        <w:szCs w:val="22"/>
      </w:rPr>
    </w:lvl>
    <w:lvl w:ilvl="5">
      <w:start w:val="1"/>
      <w:numFmt w:val="lowerRoman"/>
      <w:lvlText w:val="%6."/>
      <w:lvlJc w:val="right"/>
      <w:pPr>
        <w:ind w:left="4320" w:hanging="180"/>
      </w:pPr>
      <w:rPr>
        <w:sz w:val="20"/>
        <w:szCs w:val="20"/>
      </w:rPr>
    </w:lvl>
    <w:lvl w:ilvl="6">
      <w:start w:val="1"/>
      <w:numFmt w:val="decimal"/>
      <w:lvlText w:val="%7."/>
      <w:lvlJc w:val="left"/>
      <w:pPr>
        <w:ind w:left="5040" w:hanging="360"/>
      </w:pPr>
      <w:rPr>
        <w:sz w:val="20"/>
        <w:szCs w:val="20"/>
      </w:rPr>
    </w:lvl>
    <w:lvl w:ilvl="7">
      <w:start w:val="1"/>
      <w:numFmt w:val="lowerLetter"/>
      <w:lvlText w:val="%8."/>
      <w:lvlJc w:val="left"/>
      <w:pPr>
        <w:ind w:left="5760" w:hanging="360"/>
      </w:pPr>
      <w:rPr>
        <w:sz w:val="20"/>
        <w:szCs w:val="20"/>
      </w:rPr>
    </w:lvl>
    <w:lvl w:ilvl="8">
      <w:start w:val="1"/>
      <w:numFmt w:val="lowerRoman"/>
      <w:lvlText w:val="%9."/>
      <w:lvlJc w:val="right"/>
      <w:pPr>
        <w:ind w:left="6480" w:hanging="180"/>
      </w:pPr>
      <w:rPr>
        <w:sz w:val="20"/>
        <w:szCs w:val="20"/>
      </w:rPr>
    </w:lvl>
  </w:abstractNum>
  <w:abstractNum w:abstractNumId="15" w15:restartNumberingAfterBreak="0">
    <w:nsid w:val="34DA4929"/>
    <w:multiLevelType w:val="hybridMultilevel"/>
    <w:tmpl w:val="ECF05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06934"/>
    <w:multiLevelType w:val="hybridMultilevel"/>
    <w:tmpl w:val="6448A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AA33E1"/>
    <w:multiLevelType w:val="hybridMultilevel"/>
    <w:tmpl w:val="24006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414E4"/>
    <w:multiLevelType w:val="hybridMultilevel"/>
    <w:tmpl w:val="63201FA4"/>
    <w:lvl w:ilvl="0" w:tplc="5D142E0C">
      <w:start w:val="1"/>
      <w:numFmt w:val="decimal"/>
      <w:lvlText w:val="%1."/>
      <w:lvlJc w:val="left"/>
      <w:pPr>
        <w:ind w:left="2062" w:hanging="360"/>
      </w:pPr>
      <w:rPr>
        <w:rFonts w:asciiTheme="minorHAnsi" w:eastAsiaTheme="minorEastAsia" w:hAnsiTheme="minorHAnsi" w:cstheme="minorBidi"/>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9" w15:restartNumberingAfterBreak="0">
    <w:nsid w:val="410B02D7"/>
    <w:multiLevelType w:val="hybridMultilevel"/>
    <w:tmpl w:val="5E10FE62"/>
    <w:lvl w:ilvl="0" w:tplc="B57AA2A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0" w15:restartNumberingAfterBreak="0">
    <w:nsid w:val="4779289B"/>
    <w:multiLevelType w:val="hybridMultilevel"/>
    <w:tmpl w:val="0550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D6FD5"/>
    <w:multiLevelType w:val="hybridMultilevel"/>
    <w:tmpl w:val="FD8457E4"/>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226DF0"/>
    <w:multiLevelType w:val="hybridMultilevel"/>
    <w:tmpl w:val="AB985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580EFF"/>
    <w:multiLevelType w:val="hybridMultilevel"/>
    <w:tmpl w:val="9C841052"/>
    <w:lvl w:ilvl="0" w:tplc="97982E38">
      <w:start w:val="1"/>
      <w:numFmt w:val="decimal"/>
      <w:lvlText w:val="%1."/>
      <w:lvlJc w:val="left"/>
      <w:pPr>
        <w:ind w:left="643"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15:restartNumberingAfterBreak="0">
    <w:nsid w:val="53202A64"/>
    <w:multiLevelType w:val="hybridMultilevel"/>
    <w:tmpl w:val="A952221C"/>
    <w:lvl w:ilvl="0" w:tplc="EBFE2D8C">
      <w:start w:val="1"/>
      <w:numFmt w:val="decimal"/>
      <w:lvlText w:val="%1."/>
      <w:lvlJc w:val="left"/>
      <w:pPr>
        <w:ind w:left="643" w:hanging="360"/>
      </w:pPr>
      <w:rPr>
        <w:rFonts w:asciiTheme="minorHAnsi" w:eastAsiaTheme="minorEastAsia" w:hAnsiTheme="minorHAnsi" w:cstheme="minorBidi"/>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A384A"/>
    <w:multiLevelType w:val="multilevel"/>
    <w:tmpl w:val="6E24F2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69130C1"/>
    <w:multiLevelType w:val="hybridMultilevel"/>
    <w:tmpl w:val="C8085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90EC5"/>
    <w:multiLevelType w:val="multilevel"/>
    <w:tmpl w:val="20469CE2"/>
    <w:lvl w:ilvl="0">
      <w:start w:val="1"/>
      <w:numFmt w:val="decimal"/>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rPr>
        <w:sz w:val="20"/>
        <w:szCs w:val="20"/>
      </w:rPr>
    </w:lvl>
    <w:lvl w:ilvl="3">
      <w:start w:val="1"/>
      <w:numFmt w:val="decimal"/>
      <w:lvlText w:val="%4."/>
      <w:lvlJc w:val="left"/>
      <w:pPr>
        <w:ind w:left="2880" w:hanging="360"/>
      </w:pPr>
      <w:rPr>
        <w:rFonts w:asciiTheme="minorHAnsi" w:eastAsia="Cambria Math" w:hAnsiTheme="minorHAnsi" w:cs="Cambria Math"/>
        <w:b/>
        <w:bCs/>
        <w:sz w:val="22"/>
        <w:szCs w:val="22"/>
      </w:rPr>
    </w:lvl>
    <w:lvl w:ilvl="4">
      <w:start w:val="1"/>
      <w:numFmt w:val="lowerLetter"/>
      <w:lvlText w:val="%5."/>
      <w:lvlJc w:val="left"/>
      <w:pPr>
        <w:ind w:left="3600" w:hanging="360"/>
      </w:pPr>
      <w:rPr>
        <w:sz w:val="22"/>
        <w:szCs w:val="22"/>
      </w:rPr>
    </w:lvl>
    <w:lvl w:ilvl="5">
      <w:start w:val="1"/>
      <w:numFmt w:val="lowerRoman"/>
      <w:lvlText w:val="%6."/>
      <w:lvlJc w:val="right"/>
      <w:pPr>
        <w:ind w:left="4320" w:hanging="180"/>
      </w:pPr>
      <w:rPr>
        <w:sz w:val="20"/>
        <w:szCs w:val="20"/>
      </w:rPr>
    </w:lvl>
    <w:lvl w:ilvl="6">
      <w:start w:val="1"/>
      <w:numFmt w:val="decimal"/>
      <w:lvlText w:val="%7."/>
      <w:lvlJc w:val="left"/>
      <w:pPr>
        <w:ind w:left="5040" w:hanging="360"/>
      </w:pPr>
      <w:rPr>
        <w:sz w:val="20"/>
        <w:szCs w:val="20"/>
      </w:rPr>
    </w:lvl>
    <w:lvl w:ilvl="7">
      <w:start w:val="1"/>
      <w:numFmt w:val="lowerLetter"/>
      <w:lvlText w:val="%8."/>
      <w:lvlJc w:val="left"/>
      <w:pPr>
        <w:ind w:left="5760" w:hanging="360"/>
      </w:pPr>
      <w:rPr>
        <w:sz w:val="20"/>
        <w:szCs w:val="20"/>
      </w:rPr>
    </w:lvl>
    <w:lvl w:ilvl="8">
      <w:start w:val="1"/>
      <w:numFmt w:val="lowerRoman"/>
      <w:lvlText w:val="%9."/>
      <w:lvlJc w:val="right"/>
      <w:pPr>
        <w:ind w:left="6480" w:hanging="180"/>
      </w:pPr>
      <w:rPr>
        <w:sz w:val="20"/>
        <w:szCs w:val="20"/>
      </w:rPr>
    </w:lvl>
  </w:abstractNum>
  <w:abstractNum w:abstractNumId="29" w15:restartNumberingAfterBreak="0">
    <w:nsid w:val="5ED26674"/>
    <w:multiLevelType w:val="hybridMultilevel"/>
    <w:tmpl w:val="F2A8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32951"/>
    <w:multiLevelType w:val="hybridMultilevel"/>
    <w:tmpl w:val="204C5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204CF"/>
    <w:multiLevelType w:val="multilevel"/>
    <w:tmpl w:val="514080EE"/>
    <w:lvl w:ilvl="0">
      <w:start w:val="1"/>
      <w:numFmt w:val="decimal"/>
      <w:lvlText w:val="%1."/>
      <w:lvlJc w:val="left"/>
      <w:pPr>
        <w:ind w:left="643" w:hanging="360"/>
      </w:pPr>
    </w:lvl>
    <w:lvl w:ilvl="1">
      <w:start w:val="1"/>
      <w:numFmt w:val="decimal"/>
      <w:isLgl/>
      <w:lvlText w:val="%1.%2"/>
      <w:lvlJc w:val="left"/>
      <w:pPr>
        <w:ind w:left="786" w:hanging="360"/>
      </w:pPr>
      <w:rPr>
        <w:rFonts w:hint="default"/>
        <w:b/>
        <w:bCs/>
      </w:rPr>
    </w:lvl>
    <w:lvl w:ilvl="2">
      <w:start w:val="1"/>
      <w:numFmt w:val="decimal"/>
      <w:isLgl/>
      <w:lvlText w:val="%1.%2.%3"/>
      <w:lvlJc w:val="left"/>
      <w:pPr>
        <w:ind w:left="1289" w:hanging="720"/>
      </w:pPr>
      <w:rPr>
        <w:rFonts w:hint="default"/>
      </w:rPr>
    </w:lvl>
    <w:lvl w:ilvl="3">
      <w:start w:val="1"/>
      <w:numFmt w:val="decimal"/>
      <w:isLgl/>
      <w:lvlText w:val="%1.%2.%3.%4"/>
      <w:lvlJc w:val="left"/>
      <w:pPr>
        <w:ind w:left="1432" w:hanging="72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078" w:hanging="1080"/>
      </w:pPr>
      <w:rPr>
        <w:rFonts w:hint="default"/>
      </w:rPr>
    </w:lvl>
    <w:lvl w:ilvl="6">
      <w:start w:val="1"/>
      <w:numFmt w:val="decimal"/>
      <w:isLgl/>
      <w:lvlText w:val="%1.%2.%3.%4.%5.%6.%7"/>
      <w:lvlJc w:val="left"/>
      <w:pPr>
        <w:ind w:left="2581" w:hanging="1440"/>
      </w:pPr>
      <w:rPr>
        <w:rFonts w:hint="default"/>
      </w:rPr>
    </w:lvl>
    <w:lvl w:ilvl="7">
      <w:start w:val="1"/>
      <w:numFmt w:val="decimal"/>
      <w:isLgl/>
      <w:lvlText w:val="%1.%2.%3.%4.%5.%6.%7.%8"/>
      <w:lvlJc w:val="left"/>
      <w:pPr>
        <w:ind w:left="2724" w:hanging="1440"/>
      </w:pPr>
      <w:rPr>
        <w:rFonts w:hint="default"/>
      </w:rPr>
    </w:lvl>
    <w:lvl w:ilvl="8">
      <w:start w:val="1"/>
      <w:numFmt w:val="decimal"/>
      <w:isLgl/>
      <w:lvlText w:val="%1.%2.%3.%4.%5.%6.%7.%8.%9"/>
      <w:lvlJc w:val="left"/>
      <w:pPr>
        <w:ind w:left="2867" w:hanging="1440"/>
      </w:pPr>
      <w:rPr>
        <w:rFonts w:hint="default"/>
      </w:rPr>
    </w:lvl>
  </w:abstractNum>
  <w:abstractNum w:abstractNumId="32" w15:restartNumberingAfterBreak="0">
    <w:nsid w:val="69F47C86"/>
    <w:multiLevelType w:val="hybridMultilevel"/>
    <w:tmpl w:val="886E4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364331"/>
    <w:multiLevelType w:val="hybridMultilevel"/>
    <w:tmpl w:val="692AE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0C0716"/>
    <w:multiLevelType w:val="hybridMultilevel"/>
    <w:tmpl w:val="26A0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80C5F"/>
    <w:multiLevelType w:val="hybridMultilevel"/>
    <w:tmpl w:val="56EAE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7287B"/>
    <w:multiLevelType w:val="hybridMultilevel"/>
    <w:tmpl w:val="DD6E5E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EE4562A"/>
    <w:multiLevelType w:val="hybridMultilevel"/>
    <w:tmpl w:val="AD58B9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7F6CDE"/>
    <w:multiLevelType w:val="hybridMultilevel"/>
    <w:tmpl w:val="71D4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4"/>
  </w:num>
  <w:num w:numId="4">
    <w:abstractNumId w:val="9"/>
  </w:num>
  <w:num w:numId="5">
    <w:abstractNumId w:val="0"/>
  </w:num>
  <w:num w:numId="6">
    <w:abstractNumId w:val="1"/>
  </w:num>
  <w:num w:numId="7">
    <w:abstractNumId w:val="24"/>
  </w:num>
  <w:num w:numId="8">
    <w:abstractNumId w:val="18"/>
  </w:num>
  <w:num w:numId="9">
    <w:abstractNumId w:val="23"/>
  </w:num>
  <w:num w:numId="10">
    <w:abstractNumId w:val="19"/>
  </w:num>
  <w:num w:numId="11">
    <w:abstractNumId w:val="31"/>
  </w:num>
  <w:num w:numId="12">
    <w:abstractNumId w:val="3"/>
  </w:num>
  <w:num w:numId="13">
    <w:abstractNumId w:val="37"/>
  </w:num>
  <w:num w:numId="14">
    <w:abstractNumId w:val="34"/>
  </w:num>
  <w:num w:numId="15">
    <w:abstractNumId w:val="29"/>
  </w:num>
  <w:num w:numId="16">
    <w:abstractNumId w:val="20"/>
  </w:num>
  <w:num w:numId="17">
    <w:abstractNumId w:val="2"/>
  </w:num>
  <w:num w:numId="18">
    <w:abstractNumId w:val="30"/>
  </w:num>
  <w:num w:numId="19">
    <w:abstractNumId w:val="10"/>
  </w:num>
  <w:num w:numId="20">
    <w:abstractNumId w:val="33"/>
  </w:num>
  <w:num w:numId="21">
    <w:abstractNumId w:val="16"/>
  </w:num>
  <w:num w:numId="22">
    <w:abstractNumId w:val="7"/>
  </w:num>
  <w:num w:numId="23">
    <w:abstractNumId w:val="22"/>
  </w:num>
  <w:num w:numId="24">
    <w:abstractNumId w:val="32"/>
  </w:num>
  <w:num w:numId="25">
    <w:abstractNumId w:val="17"/>
  </w:num>
  <w:num w:numId="26">
    <w:abstractNumId w:val="35"/>
  </w:num>
  <w:num w:numId="27">
    <w:abstractNumId w:val="12"/>
  </w:num>
  <w:num w:numId="28">
    <w:abstractNumId w:val="15"/>
  </w:num>
  <w:num w:numId="29">
    <w:abstractNumId w:val="21"/>
  </w:num>
  <w:num w:numId="30">
    <w:abstractNumId w:val="13"/>
  </w:num>
  <w:num w:numId="31">
    <w:abstractNumId w:val="38"/>
  </w:num>
  <w:num w:numId="32">
    <w:abstractNumId w:val="11"/>
  </w:num>
  <w:num w:numId="33">
    <w:abstractNumId w:val="28"/>
  </w:num>
  <w:num w:numId="34">
    <w:abstractNumId w:val="14"/>
  </w:num>
  <w:num w:numId="35">
    <w:abstractNumId w:val="8"/>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26"/>
  </w:num>
  <w:num w:numId="3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G0MDQ2MTM1tDQ3tDRR0lEKTi0uzszPAykwqQUAuJ1VNCwAAAA="/>
  </w:docVars>
  <w:rsids>
    <w:rsidRoot w:val="0058556D"/>
    <w:rsid w:val="00004718"/>
    <w:rsid w:val="00005E66"/>
    <w:rsid w:val="00006BA0"/>
    <w:rsid w:val="000070BA"/>
    <w:rsid w:val="0001268D"/>
    <w:rsid w:val="00012D29"/>
    <w:rsid w:val="00014DEF"/>
    <w:rsid w:val="00015188"/>
    <w:rsid w:val="000170E3"/>
    <w:rsid w:val="000173F9"/>
    <w:rsid w:val="00026526"/>
    <w:rsid w:val="00027646"/>
    <w:rsid w:val="00032F80"/>
    <w:rsid w:val="00035A5C"/>
    <w:rsid w:val="00035ABB"/>
    <w:rsid w:val="00035B50"/>
    <w:rsid w:val="00036611"/>
    <w:rsid w:val="00036635"/>
    <w:rsid w:val="000465B0"/>
    <w:rsid w:val="00046937"/>
    <w:rsid w:val="000476AB"/>
    <w:rsid w:val="00047DDA"/>
    <w:rsid w:val="0005070D"/>
    <w:rsid w:val="000555BC"/>
    <w:rsid w:val="0006000F"/>
    <w:rsid w:val="00064F28"/>
    <w:rsid w:val="00065057"/>
    <w:rsid w:val="00067A9A"/>
    <w:rsid w:val="000705AA"/>
    <w:rsid w:val="00071F07"/>
    <w:rsid w:val="00075A85"/>
    <w:rsid w:val="0007759D"/>
    <w:rsid w:val="000777AB"/>
    <w:rsid w:val="00090FB1"/>
    <w:rsid w:val="0009158C"/>
    <w:rsid w:val="00091DF5"/>
    <w:rsid w:val="00092424"/>
    <w:rsid w:val="00092D3A"/>
    <w:rsid w:val="0009344C"/>
    <w:rsid w:val="00095C5C"/>
    <w:rsid w:val="00096186"/>
    <w:rsid w:val="000A121F"/>
    <w:rsid w:val="000A3E7C"/>
    <w:rsid w:val="000A72E4"/>
    <w:rsid w:val="000A7500"/>
    <w:rsid w:val="000B0E2F"/>
    <w:rsid w:val="000B2430"/>
    <w:rsid w:val="000C629D"/>
    <w:rsid w:val="000D0863"/>
    <w:rsid w:val="000D0B30"/>
    <w:rsid w:val="000D364F"/>
    <w:rsid w:val="000D44B7"/>
    <w:rsid w:val="000D5F57"/>
    <w:rsid w:val="000D7B37"/>
    <w:rsid w:val="000E2025"/>
    <w:rsid w:val="000E5E8B"/>
    <w:rsid w:val="000F4D4D"/>
    <w:rsid w:val="000F5530"/>
    <w:rsid w:val="000F68E1"/>
    <w:rsid w:val="000F703E"/>
    <w:rsid w:val="00100430"/>
    <w:rsid w:val="00106615"/>
    <w:rsid w:val="001105CD"/>
    <w:rsid w:val="00111885"/>
    <w:rsid w:val="0011323A"/>
    <w:rsid w:val="00120E86"/>
    <w:rsid w:val="00121865"/>
    <w:rsid w:val="00122E62"/>
    <w:rsid w:val="0012467E"/>
    <w:rsid w:val="00125DE9"/>
    <w:rsid w:val="001332E0"/>
    <w:rsid w:val="00134DE7"/>
    <w:rsid w:val="00135FEA"/>
    <w:rsid w:val="00137D91"/>
    <w:rsid w:val="001407CE"/>
    <w:rsid w:val="0014164B"/>
    <w:rsid w:val="00143B29"/>
    <w:rsid w:val="00150B83"/>
    <w:rsid w:val="00150DA1"/>
    <w:rsid w:val="00150DE6"/>
    <w:rsid w:val="001519FB"/>
    <w:rsid w:val="00151FFD"/>
    <w:rsid w:val="00154CF7"/>
    <w:rsid w:val="00160F88"/>
    <w:rsid w:val="00162741"/>
    <w:rsid w:val="00176780"/>
    <w:rsid w:val="00177D59"/>
    <w:rsid w:val="00181A44"/>
    <w:rsid w:val="00181B89"/>
    <w:rsid w:val="00182B15"/>
    <w:rsid w:val="00184929"/>
    <w:rsid w:val="001849BF"/>
    <w:rsid w:val="00185354"/>
    <w:rsid w:val="001854DC"/>
    <w:rsid w:val="00190F3B"/>
    <w:rsid w:val="00194D09"/>
    <w:rsid w:val="001961FD"/>
    <w:rsid w:val="001A13B2"/>
    <w:rsid w:val="001A56A5"/>
    <w:rsid w:val="001B3710"/>
    <w:rsid w:val="001B53AE"/>
    <w:rsid w:val="001C421F"/>
    <w:rsid w:val="001C51D9"/>
    <w:rsid w:val="001C653A"/>
    <w:rsid w:val="001C6ADB"/>
    <w:rsid w:val="001C6B93"/>
    <w:rsid w:val="001C7493"/>
    <w:rsid w:val="001D01AA"/>
    <w:rsid w:val="001D0905"/>
    <w:rsid w:val="001D0EDB"/>
    <w:rsid w:val="001D1126"/>
    <w:rsid w:val="001D1736"/>
    <w:rsid w:val="001D1D89"/>
    <w:rsid w:val="001D360D"/>
    <w:rsid w:val="001D3B8D"/>
    <w:rsid w:val="001D5654"/>
    <w:rsid w:val="001D661D"/>
    <w:rsid w:val="001D6651"/>
    <w:rsid w:val="001E0E35"/>
    <w:rsid w:val="001E3A24"/>
    <w:rsid w:val="001E45B4"/>
    <w:rsid w:val="001E47D9"/>
    <w:rsid w:val="001E5771"/>
    <w:rsid w:val="001E68E8"/>
    <w:rsid w:val="001E6C5A"/>
    <w:rsid w:val="001E7931"/>
    <w:rsid w:val="001F2BD7"/>
    <w:rsid w:val="001F36FC"/>
    <w:rsid w:val="001F3FDB"/>
    <w:rsid w:val="001F733C"/>
    <w:rsid w:val="00203BE6"/>
    <w:rsid w:val="00204759"/>
    <w:rsid w:val="00206B9C"/>
    <w:rsid w:val="00206F5E"/>
    <w:rsid w:val="002168CA"/>
    <w:rsid w:val="0022442A"/>
    <w:rsid w:val="00224525"/>
    <w:rsid w:val="0022654D"/>
    <w:rsid w:val="00227254"/>
    <w:rsid w:val="002352F8"/>
    <w:rsid w:val="00237752"/>
    <w:rsid w:val="00241A99"/>
    <w:rsid w:val="0024416D"/>
    <w:rsid w:val="00246D77"/>
    <w:rsid w:val="00247526"/>
    <w:rsid w:val="00247FBC"/>
    <w:rsid w:val="002501F9"/>
    <w:rsid w:val="00254854"/>
    <w:rsid w:val="00254E70"/>
    <w:rsid w:val="00257527"/>
    <w:rsid w:val="0026116F"/>
    <w:rsid w:val="00261A8D"/>
    <w:rsid w:val="0026460E"/>
    <w:rsid w:val="00267C67"/>
    <w:rsid w:val="002701C0"/>
    <w:rsid w:val="00272E18"/>
    <w:rsid w:val="002773B8"/>
    <w:rsid w:val="00281C50"/>
    <w:rsid w:val="00282DC2"/>
    <w:rsid w:val="002837E5"/>
    <w:rsid w:val="00283C1C"/>
    <w:rsid w:val="00284246"/>
    <w:rsid w:val="0028488B"/>
    <w:rsid w:val="0028511A"/>
    <w:rsid w:val="002852E4"/>
    <w:rsid w:val="00291A00"/>
    <w:rsid w:val="00291A11"/>
    <w:rsid w:val="002A315C"/>
    <w:rsid w:val="002A3342"/>
    <w:rsid w:val="002A5047"/>
    <w:rsid w:val="002A64BA"/>
    <w:rsid w:val="002A76E7"/>
    <w:rsid w:val="002B04A5"/>
    <w:rsid w:val="002B06D0"/>
    <w:rsid w:val="002B2FB7"/>
    <w:rsid w:val="002B4989"/>
    <w:rsid w:val="002B534F"/>
    <w:rsid w:val="002C409C"/>
    <w:rsid w:val="002C68EE"/>
    <w:rsid w:val="002C6F51"/>
    <w:rsid w:val="002D5862"/>
    <w:rsid w:val="002D714E"/>
    <w:rsid w:val="002D75F1"/>
    <w:rsid w:val="002E4107"/>
    <w:rsid w:val="002E53C3"/>
    <w:rsid w:val="002E6580"/>
    <w:rsid w:val="002F18DA"/>
    <w:rsid w:val="002F2F8F"/>
    <w:rsid w:val="002F4498"/>
    <w:rsid w:val="002F5118"/>
    <w:rsid w:val="00300EFB"/>
    <w:rsid w:val="0030204F"/>
    <w:rsid w:val="003053D1"/>
    <w:rsid w:val="00312CF9"/>
    <w:rsid w:val="003139D0"/>
    <w:rsid w:val="00314EAD"/>
    <w:rsid w:val="003206A4"/>
    <w:rsid w:val="00320E40"/>
    <w:rsid w:val="003267E6"/>
    <w:rsid w:val="00326C05"/>
    <w:rsid w:val="00330701"/>
    <w:rsid w:val="00330FD0"/>
    <w:rsid w:val="003330EE"/>
    <w:rsid w:val="003366FE"/>
    <w:rsid w:val="003370D0"/>
    <w:rsid w:val="00337D91"/>
    <w:rsid w:val="00343FAA"/>
    <w:rsid w:val="0034718B"/>
    <w:rsid w:val="00347DE8"/>
    <w:rsid w:val="0035159C"/>
    <w:rsid w:val="00353C98"/>
    <w:rsid w:val="00354278"/>
    <w:rsid w:val="00367EB6"/>
    <w:rsid w:val="00370E34"/>
    <w:rsid w:val="00373DF3"/>
    <w:rsid w:val="003758C5"/>
    <w:rsid w:val="00380C8D"/>
    <w:rsid w:val="003810D8"/>
    <w:rsid w:val="003853A8"/>
    <w:rsid w:val="003859D8"/>
    <w:rsid w:val="003944DB"/>
    <w:rsid w:val="00395004"/>
    <w:rsid w:val="003A68B1"/>
    <w:rsid w:val="003A7CEA"/>
    <w:rsid w:val="003B1D04"/>
    <w:rsid w:val="003B51DE"/>
    <w:rsid w:val="003B7C32"/>
    <w:rsid w:val="003C1A63"/>
    <w:rsid w:val="003C27FD"/>
    <w:rsid w:val="003C5A21"/>
    <w:rsid w:val="003C679B"/>
    <w:rsid w:val="003C754F"/>
    <w:rsid w:val="003C7562"/>
    <w:rsid w:val="003C7756"/>
    <w:rsid w:val="003D4CC6"/>
    <w:rsid w:val="003D6EEA"/>
    <w:rsid w:val="003E4F1A"/>
    <w:rsid w:val="003E58A3"/>
    <w:rsid w:val="003E75BC"/>
    <w:rsid w:val="003E7C9D"/>
    <w:rsid w:val="003E7F66"/>
    <w:rsid w:val="003F0BD3"/>
    <w:rsid w:val="003F33E0"/>
    <w:rsid w:val="003F6252"/>
    <w:rsid w:val="00400E90"/>
    <w:rsid w:val="004014F4"/>
    <w:rsid w:val="0040268E"/>
    <w:rsid w:val="00403652"/>
    <w:rsid w:val="00403DE9"/>
    <w:rsid w:val="004050E6"/>
    <w:rsid w:val="00405C11"/>
    <w:rsid w:val="00412D2F"/>
    <w:rsid w:val="00414AB2"/>
    <w:rsid w:val="00417601"/>
    <w:rsid w:val="00422EFA"/>
    <w:rsid w:val="0042354A"/>
    <w:rsid w:val="004263A3"/>
    <w:rsid w:val="0042675F"/>
    <w:rsid w:val="004267E6"/>
    <w:rsid w:val="00426D7E"/>
    <w:rsid w:val="0043417C"/>
    <w:rsid w:val="00437448"/>
    <w:rsid w:val="004421E4"/>
    <w:rsid w:val="00442B70"/>
    <w:rsid w:val="004456ED"/>
    <w:rsid w:val="00451605"/>
    <w:rsid w:val="004562FF"/>
    <w:rsid w:val="00456DFA"/>
    <w:rsid w:val="004570FF"/>
    <w:rsid w:val="00457768"/>
    <w:rsid w:val="00460F68"/>
    <w:rsid w:val="00461B2C"/>
    <w:rsid w:val="00466A00"/>
    <w:rsid w:val="00467ECF"/>
    <w:rsid w:val="00470169"/>
    <w:rsid w:val="00470709"/>
    <w:rsid w:val="0047398E"/>
    <w:rsid w:val="00473C93"/>
    <w:rsid w:val="004745F8"/>
    <w:rsid w:val="00475070"/>
    <w:rsid w:val="004841B8"/>
    <w:rsid w:val="00485F66"/>
    <w:rsid w:val="00486E09"/>
    <w:rsid w:val="00487424"/>
    <w:rsid w:val="004878CF"/>
    <w:rsid w:val="00493004"/>
    <w:rsid w:val="004944AE"/>
    <w:rsid w:val="0049535B"/>
    <w:rsid w:val="00495976"/>
    <w:rsid w:val="00496A98"/>
    <w:rsid w:val="00496FAF"/>
    <w:rsid w:val="004A10C6"/>
    <w:rsid w:val="004B0A46"/>
    <w:rsid w:val="004B0F1C"/>
    <w:rsid w:val="004B2AA9"/>
    <w:rsid w:val="004B30CC"/>
    <w:rsid w:val="004B3117"/>
    <w:rsid w:val="004B5137"/>
    <w:rsid w:val="004D2D9A"/>
    <w:rsid w:val="004D3064"/>
    <w:rsid w:val="004D4152"/>
    <w:rsid w:val="004D4BE5"/>
    <w:rsid w:val="004E2881"/>
    <w:rsid w:val="004E28A1"/>
    <w:rsid w:val="004F4067"/>
    <w:rsid w:val="004F40A4"/>
    <w:rsid w:val="004F752D"/>
    <w:rsid w:val="00500632"/>
    <w:rsid w:val="005016AF"/>
    <w:rsid w:val="005018BB"/>
    <w:rsid w:val="005028D1"/>
    <w:rsid w:val="00502DBA"/>
    <w:rsid w:val="005040C4"/>
    <w:rsid w:val="00507462"/>
    <w:rsid w:val="00507637"/>
    <w:rsid w:val="00507DA0"/>
    <w:rsid w:val="005101F2"/>
    <w:rsid w:val="00510E89"/>
    <w:rsid w:val="00514DBF"/>
    <w:rsid w:val="0052021D"/>
    <w:rsid w:val="00521ADD"/>
    <w:rsid w:val="00524EDD"/>
    <w:rsid w:val="00527F5D"/>
    <w:rsid w:val="0053162A"/>
    <w:rsid w:val="00533E65"/>
    <w:rsid w:val="00534B82"/>
    <w:rsid w:val="005375FD"/>
    <w:rsid w:val="005376AE"/>
    <w:rsid w:val="00541009"/>
    <w:rsid w:val="00543E4E"/>
    <w:rsid w:val="00550194"/>
    <w:rsid w:val="00550921"/>
    <w:rsid w:val="005526A4"/>
    <w:rsid w:val="0055384D"/>
    <w:rsid w:val="00560D7D"/>
    <w:rsid w:val="00561185"/>
    <w:rsid w:val="00565B54"/>
    <w:rsid w:val="00565D27"/>
    <w:rsid w:val="00567840"/>
    <w:rsid w:val="00571A83"/>
    <w:rsid w:val="00571F50"/>
    <w:rsid w:val="00573631"/>
    <w:rsid w:val="00575F92"/>
    <w:rsid w:val="0057670B"/>
    <w:rsid w:val="00582BD7"/>
    <w:rsid w:val="0058556D"/>
    <w:rsid w:val="00592E2E"/>
    <w:rsid w:val="00594042"/>
    <w:rsid w:val="00597748"/>
    <w:rsid w:val="005A4AC5"/>
    <w:rsid w:val="005A568B"/>
    <w:rsid w:val="005A604E"/>
    <w:rsid w:val="005A6C6B"/>
    <w:rsid w:val="005B1302"/>
    <w:rsid w:val="005B1DAA"/>
    <w:rsid w:val="005B44CE"/>
    <w:rsid w:val="005B7098"/>
    <w:rsid w:val="005C381A"/>
    <w:rsid w:val="005D0AF4"/>
    <w:rsid w:val="005E3A05"/>
    <w:rsid w:val="005F5B2D"/>
    <w:rsid w:val="005F6CCA"/>
    <w:rsid w:val="005F746B"/>
    <w:rsid w:val="00604A1C"/>
    <w:rsid w:val="00605B39"/>
    <w:rsid w:val="00606985"/>
    <w:rsid w:val="006104AF"/>
    <w:rsid w:val="00612AA4"/>
    <w:rsid w:val="00612DD8"/>
    <w:rsid w:val="00616C64"/>
    <w:rsid w:val="00617728"/>
    <w:rsid w:val="00621893"/>
    <w:rsid w:val="00625CCD"/>
    <w:rsid w:val="006351CD"/>
    <w:rsid w:val="006351E1"/>
    <w:rsid w:val="0064021D"/>
    <w:rsid w:val="00641D4D"/>
    <w:rsid w:val="00641F90"/>
    <w:rsid w:val="00643838"/>
    <w:rsid w:val="00645CF1"/>
    <w:rsid w:val="00647CCF"/>
    <w:rsid w:val="006500E5"/>
    <w:rsid w:val="006504C0"/>
    <w:rsid w:val="00653424"/>
    <w:rsid w:val="00655C21"/>
    <w:rsid w:val="00664C7D"/>
    <w:rsid w:val="00665072"/>
    <w:rsid w:val="006665AC"/>
    <w:rsid w:val="00666D50"/>
    <w:rsid w:val="006707F3"/>
    <w:rsid w:val="00671D09"/>
    <w:rsid w:val="00677FB0"/>
    <w:rsid w:val="006852FC"/>
    <w:rsid w:val="00685615"/>
    <w:rsid w:val="00690082"/>
    <w:rsid w:val="00692601"/>
    <w:rsid w:val="006941B1"/>
    <w:rsid w:val="006A0F81"/>
    <w:rsid w:val="006A32FC"/>
    <w:rsid w:val="006A57B0"/>
    <w:rsid w:val="006A5B87"/>
    <w:rsid w:val="006B096B"/>
    <w:rsid w:val="006B1D15"/>
    <w:rsid w:val="006B40AB"/>
    <w:rsid w:val="006B5DC5"/>
    <w:rsid w:val="006B65DC"/>
    <w:rsid w:val="006B6D2F"/>
    <w:rsid w:val="006C043E"/>
    <w:rsid w:val="006C1A6B"/>
    <w:rsid w:val="006C27A0"/>
    <w:rsid w:val="006C37A1"/>
    <w:rsid w:val="006C7D30"/>
    <w:rsid w:val="006C7FE6"/>
    <w:rsid w:val="006D7639"/>
    <w:rsid w:val="006D776F"/>
    <w:rsid w:val="006E0EA4"/>
    <w:rsid w:val="006E1E66"/>
    <w:rsid w:val="006E3C08"/>
    <w:rsid w:val="006E40F9"/>
    <w:rsid w:val="006E59EF"/>
    <w:rsid w:val="006F2E50"/>
    <w:rsid w:val="006F33F0"/>
    <w:rsid w:val="006F4432"/>
    <w:rsid w:val="006F679D"/>
    <w:rsid w:val="006F730D"/>
    <w:rsid w:val="006F75EE"/>
    <w:rsid w:val="00700ACF"/>
    <w:rsid w:val="007011C0"/>
    <w:rsid w:val="00701225"/>
    <w:rsid w:val="0070499D"/>
    <w:rsid w:val="00706122"/>
    <w:rsid w:val="00706139"/>
    <w:rsid w:val="0071203F"/>
    <w:rsid w:val="00712487"/>
    <w:rsid w:val="007137BC"/>
    <w:rsid w:val="007160DC"/>
    <w:rsid w:val="00731BB6"/>
    <w:rsid w:val="00734289"/>
    <w:rsid w:val="0074570F"/>
    <w:rsid w:val="00747C53"/>
    <w:rsid w:val="007530CA"/>
    <w:rsid w:val="007534A0"/>
    <w:rsid w:val="00754A1F"/>
    <w:rsid w:val="00757482"/>
    <w:rsid w:val="007578D9"/>
    <w:rsid w:val="0076062E"/>
    <w:rsid w:val="00760EC0"/>
    <w:rsid w:val="007628EB"/>
    <w:rsid w:val="00763E43"/>
    <w:rsid w:val="00764B0A"/>
    <w:rsid w:val="00764EB5"/>
    <w:rsid w:val="00766B2A"/>
    <w:rsid w:val="007671A1"/>
    <w:rsid w:val="0077079B"/>
    <w:rsid w:val="007708C4"/>
    <w:rsid w:val="0077119A"/>
    <w:rsid w:val="007746E5"/>
    <w:rsid w:val="00777A95"/>
    <w:rsid w:val="0078035E"/>
    <w:rsid w:val="00785AC2"/>
    <w:rsid w:val="0078637D"/>
    <w:rsid w:val="00787363"/>
    <w:rsid w:val="007917E4"/>
    <w:rsid w:val="007933D7"/>
    <w:rsid w:val="00795709"/>
    <w:rsid w:val="00795F1A"/>
    <w:rsid w:val="00795FA8"/>
    <w:rsid w:val="007A1541"/>
    <w:rsid w:val="007A31B4"/>
    <w:rsid w:val="007A5008"/>
    <w:rsid w:val="007B1946"/>
    <w:rsid w:val="007B29CC"/>
    <w:rsid w:val="007B3D85"/>
    <w:rsid w:val="007C0C0B"/>
    <w:rsid w:val="007D0981"/>
    <w:rsid w:val="007D1929"/>
    <w:rsid w:val="007D2D95"/>
    <w:rsid w:val="007D31B2"/>
    <w:rsid w:val="007D5F45"/>
    <w:rsid w:val="007E11F5"/>
    <w:rsid w:val="007E1879"/>
    <w:rsid w:val="007E3C77"/>
    <w:rsid w:val="007E548A"/>
    <w:rsid w:val="007F1CE2"/>
    <w:rsid w:val="007F2F47"/>
    <w:rsid w:val="007F764D"/>
    <w:rsid w:val="00801E49"/>
    <w:rsid w:val="00803CF1"/>
    <w:rsid w:val="00804DA4"/>
    <w:rsid w:val="00814EAE"/>
    <w:rsid w:val="00822022"/>
    <w:rsid w:val="008249C5"/>
    <w:rsid w:val="00826BE4"/>
    <w:rsid w:val="008325FD"/>
    <w:rsid w:val="008333B8"/>
    <w:rsid w:val="00834511"/>
    <w:rsid w:val="00834CE9"/>
    <w:rsid w:val="00841362"/>
    <w:rsid w:val="008459A4"/>
    <w:rsid w:val="00846928"/>
    <w:rsid w:val="008472D2"/>
    <w:rsid w:val="00850A37"/>
    <w:rsid w:val="008526F9"/>
    <w:rsid w:val="00853257"/>
    <w:rsid w:val="00856CEF"/>
    <w:rsid w:val="00861C0B"/>
    <w:rsid w:val="00867748"/>
    <w:rsid w:val="008712FC"/>
    <w:rsid w:val="00872202"/>
    <w:rsid w:val="00872EB9"/>
    <w:rsid w:val="008732D6"/>
    <w:rsid w:val="00876DDA"/>
    <w:rsid w:val="00876E74"/>
    <w:rsid w:val="00877939"/>
    <w:rsid w:val="00881E28"/>
    <w:rsid w:val="00884C54"/>
    <w:rsid w:val="0088509D"/>
    <w:rsid w:val="00887418"/>
    <w:rsid w:val="00887DE2"/>
    <w:rsid w:val="00893274"/>
    <w:rsid w:val="00894C4B"/>
    <w:rsid w:val="00896BAD"/>
    <w:rsid w:val="008A0649"/>
    <w:rsid w:val="008A12E3"/>
    <w:rsid w:val="008A3943"/>
    <w:rsid w:val="008A42FA"/>
    <w:rsid w:val="008A4BBD"/>
    <w:rsid w:val="008A55C8"/>
    <w:rsid w:val="008A5ACB"/>
    <w:rsid w:val="008A71A5"/>
    <w:rsid w:val="008A7B7B"/>
    <w:rsid w:val="008B2A7E"/>
    <w:rsid w:val="008B2E0A"/>
    <w:rsid w:val="008B3AA3"/>
    <w:rsid w:val="008B3C80"/>
    <w:rsid w:val="008B42E3"/>
    <w:rsid w:val="008B51DB"/>
    <w:rsid w:val="008C2335"/>
    <w:rsid w:val="008C433A"/>
    <w:rsid w:val="008C67C1"/>
    <w:rsid w:val="008C6FA8"/>
    <w:rsid w:val="008C7488"/>
    <w:rsid w:val="008D3079"/>
    <w:rsid w:val="008D6E34"/>
    <w:rsid w:val="008E2FAF"/>
    <w:rsid w:val="008E431D"/>
    <w:rsid w:val="008E5467"/>
    <w:rsid w:val="008E5607"/>
    <w:rsid w:val="008F41E9"/>
    <w:rsid w:val="00900546"/>
    <w:rsid w:val="00901F50"/>
    <w:rsid w:val="00903784"/>
    <w:rsid w:val="009041F2"/>
    <w:rsid w:val="009055EC"/>
    <w:rsid w:val="00913A9B"/>
    <w:rsid w:val="00913CB1"/>
    <w:rsid w:val="00915B01"/>
    <w:rsid w:val="00917270"/>
    <w:rsid w:val="00917F65"/>
    <w:rsid w:val="00925F35"/>
    <w:rsid w:val="009311E7"/>
    <w:rsid w:val="009318D6"/>
    <w:rsid w:val="00931AD1"/>
    <w:rsid w:val="00933936"/>
    <w:rsid w:val="009352BF"/>
    <w:rsid w:val="00936CF1"/>
    <w:rsid w:val="00941753"/>
    <w:rsid w:val="00942F0D"/>
    <w:rsid w:val="0094434D"/>
    <w:rsid w:val="009606DA"/>
    <w:rsid w:val="00960D7B"/>
    <w:rsid w:val="00963228"/>
    <w:rsid w:val="009663C1"/>
    <w:rsid w:val="009715B0"/>
    <w:rsid w:val="00972936"/>
    <w:rsid w:val="00972C72"/>
    <w:rsid w:val="00974AFE"/>
    <w:rsid w:val="00980604"/>
    <w:rsid w:val="00981C75"/>
    <w:rsid w:val="00982543"/>
    <w:rsid w:val="0098476A"/>
    <w:rsid w:val="009907E6"/>
    <w:rsid w:val="009927AD"/>
    <w:rsid w:val="009957B8"/>
    <w:rsid w:val="0099786D"/>
    <w:rsid w:val="009A492A"/>
    <w:rsid w:val="009A4ECD"/>
    <w:rsid w:val="009A5462"/>
    <w:rsid w:val="009A5558"/>
    <w:rsid w:val="009A6DFC"/>
    <w:rsid w:val="009A7E3A"/>
    <w:rsid w:val="009B1265"/>
    <w:rsid w:val="009B5693"/>
    <w:rsid w:val="009B7302"/>
    <w:rsid w:val="009B7D35"/>
    <w:rsid w:val="009C459F"/>
    <w:rsid w:val="009D424B"/>
    <w:rsid w:val="009D4826"/>
    <w:rsid w:val="009D572B"/>
    <w:rsid w:val="009D687E"/>
    <w:rsid w:val="009E0CF6"/>
    <w:rsid w:val="009E295C"/>
    <w:rsid w:val="009E3342"/>
    <w:rsid w:val="009E5E3B"/>
    <w:rsid w:val="009F02B1"/>
    <w:rsid w:val="009F055A"/>
    <w:rsid w:val="009F058A"/>
    <w:rsid w:val="009F0FD7"/>
    <w:rsid w:val="009F2B9D"/>
    <w:rsid w:val="009F3A6B"/>
    <w:rsid w:val="009F6DE7"/>
    <w:rsid w:val="00A069D1"/>
    <w:rsid w:val="00A07205"/>
    <w:rsid w:val="00A078CE"/>
    <w:rsid w:val="00A106E5"/>
    <w:rsid w:val="00A116BD"/>
    <w:rsid w:val="00A149AB"/>
    <w:rsid w:val="00A230D7"/>
    <w:rsid w:val="00A23FA7"/>
    <w:rsid w:val="00A25880"/>
    <w:rsid w:val="00A278E6"/>
    <w:rsid w:val="00A307A9"/>
    <w:rsid w:val="00A32BAA"/>
    <w:rsid w:val="00A34FDF"/>
    <w:rsid w:val="00A353E5"/>
    <w:rsid w:val="00A35C62"/>
    <w:rsid w:val="00A37FCB"/>
    <w:rsid w:val="00A4173C"/>
    <w:rsid w:val="00A46F44"/>
    <w:rsid w:val="00A54863"/>
    <w:rsid w:val="00A54D40"/>
    <w:rsid w:val="00A5753C"/>
    <w:rsid w:val="00A61D74"/>
    <w:rsid w:val="00A63804"/>
    <w:rsid w:val="00A63F66"/>
    <w:rsid w:val="00A67A27"/>
    <w:rsid w:val="00A8541E"/>
    <w:rsid w:val="00A85B69"/>
    <w:rsid w:val="00A8688B"/>
    <w:rsid w:val="00A86BC7"/>
    <w:rsid w:val="00A91E90"/>
    <w:rsid w:val="00A9286F"/>
    <w:rsid w:val="00A9370D"/>
    <w:rsid w:val="00A958FC"/>
    <w:rsid w:val="00AA3678"/>
    <w:rsid w:val="00AA4036"/>
    <w:rsid w:val="00AB5C97"/>
    <w:rsid w:val="00AB6E8B"/>
    <w:rsid w:val="00AB7859"/>
    <w:rsid w:val="00AB7E07"/>
    <w:rsid w:val="00AC059B"/>
    <w:rsid w:val="00AC07B4"/>
    <w:rsid w:val="00AC12BC"/>
    <w:rsid w:val="00AC1602"/>
    <w:rsid w:val="00AC1A39"/>
    <w:rsid w:val="00AC23D6"/>
    <w:rsid w:val="00AC43DF"/>
    <w:rsid w:val="00AD00B5"/>
    <w:rsid w:val="00AD51DE"/>
    <w:rsid w:val="00AD5239"/>
    <w:rsid w:val="00AE0352"/>
    <w:rsid w:val="00AE0848"/>
    <w:rsid w:val="00AF198A"/>
    <w:rsid w:val="00AF1E9C"/>
    <w:rsid w:val="00AF2477"/>
    <w:rsid w:val="00AF44BA"/>
    <w:rsid w:val="00AF5CB4"/>
    <w:rsid w:val="00AF71D6"/>
    <w:rsid w:val="00B0250F"/>
    <w:rsid w:val="00B02A09"/>
    <w:rsid w:val="00B0315B"/>
    <w:rsid w:val="00B05F64"/>
    <w:rsid w:val="00B067F5"/>
    <w:rsid w:val="00B11843"/>
    <w:rsid w:val="00B135AD"/>
    <w:rsid w:val="00B1514E"/>
    <w:rsid w:val="00B15CD2"/>
    <w:rsid w:val="00B16CFE"/>
    <w:rsid w:val="00B17716"/>
    <w:rsid w:val="00B221D2"/>
    <w:rsid w:val="00B228C9"/>
    <w:rsid w:val="00B2471C"/>
    <w:rsid w:val="00B279C2"/>
    <w:rsid w:val="00B30463"/>
    <w:rsid w:val="00B3125C"/>
    <w:rsid w:val="00B3175F"/>
    <w:rsid w:val="00B327EA"/>
    <w:rsid w:val="00B37ADD"/>
    <w:rsid w:val="00B402D8"/>
    <w:rsid w:val="00B41611"/>
    <w:rsid w:val="00B4237C"/>
    <w:rsid w:val="00B42FCC"/>
    <w:rsid w:val="00B42FE8"/>
    <w:rsid w:val="00B431FD"/>
    <w:rsid w:val="00B46AFF"/>
    <w:rsid w:val="00B47085"/>
    <w:rsid w:val="00B5157E"/>
    <w:rsid w:val="00B52572"/>
    <w:rsid w:val="00B52AFD"/>
    <w:rsid w:val="00B54077"/>
    <w:rsid w:val="00B54872"/>
    <w:rsid w:val="00B5525B"/>
    <w:rsid w:val="00B60A7A"/>
    <w:rsid w:val="00B626E2"/>
    <w:rsid w:val="00B73A71"/>
    <w:rsid w:val="00B80CCA"/>
    <w:rsid w:val="00B85169"/>
    <w:rsid w:val="00B86038"/>
    <w:rsid w:val="00B91962"/>
    <w:rsid w:val="00B92880"/>
    <w:rsid w:val="00B93D2C"/>
    <w:rsid w:val="00B95233"/>
    <w:rsid w:val="00BA5421"/>
    <w:rsid w:val="00BA5EB3"/>
    <w:rsid w:val="00BA7996"/>
    <w:rsid w:val="00BB22A1"/>
    <w:rsid w:val="00BB22E7"/>
    <w:rsid w:val="00BB2CC5"/>
    <w:rsid w:val="00BB646E"/>
    <w:rsid w:val="00BB69B0"/>
    <w:rsid w:val="00BC237F"/>
    <w:rsid w:val="00BC5BA7"/>
    <w:rsid w:val="00BD1BA1"/>
    <w:rsid w:val="00BE0B35"/>
    <w:rsid w:val="00BE360F"/>
    <w:rsid w:val="00BE3CE8"/>
    <w:rsid w:val="00BE4B74"/>
    <w:rsid w:val="00BE5B92"/>
    <w:rsid w:val="00BE6DE5"/>
    <w:rsid w:val="00BF2670"/>
    <w:rsid w:val="00BF7E47"/>
    <w:rsid w:val="00C01BE4"/>
    <w:rsid w:val="00C01F4E"/>
    <w:rsid w:val="00C029CE"/>
    <w:rsid w:val="00C042AE"/>
    <w:rsid w:val="00C04BAB"/>
    <w:rsid w:val="00C1445F"/>
    <w:rsid w:val="00C160EB"/>
    <w:rsid w:val="00C173D2"/>
    <w:rsid w:val="00C23047"/>
    <w:rsid w:val="00C27FC5"/>
    <w:rsid w:val="00C313F7"/>
    <w:rsid w:val="00C31655"/>
    <w:rsid w:val="00C330DE"/>
    <w:rsid w:val="00C339E1"/>
    <w:rsid w:val="00C34A68"/>
    <w:rsid w:val="00C35BC4"/>
    <w:rsid w:val="00C40C3E"/>
    <w:rsid w:val="00C420D7"/>
    <w:rsid w:val="00C4223C"/>
    <w:rsid w:val="00C43F5B"/>
    <w:rsid w:val="00C449A8"/>
    <w:rsid w:val="00C54A12"/>
    <w:rsid w:val="00C56502"/>
    <w:rsid w:val="00C628CF"/>
    <w:rsid w:val="00C62B52"/>
    <w:rsid w:val="00C63374"/>
    <w:rsid w:val="00C63DFE"/>
    <w:rsid w:val="00C65CC8"/>
    <w:rsid w:val="00C666C6"/>
    <w:rsid w:val="00C67057"/>
    <w:rsid w:val="00C673FC"/>
    <w:rsid w:val="00C72703"/>
    <w:rsid w:val="00C72D1E"/>
    <w:rsid w:val="00C745CF"/>
    <w:rsid w:val="00C771C8"/>
    <w:rsid w:val="00C77B04"/>
    <w:rsid w:val="00C77C25"/>
    <w:rsid w:val="00C826FE"/>
    <w:rsid w:val="00C82B9E"/>
    <w:rsid w:val="00C864FF"/>
    <w:rsid w:val="00C8794C"/>
    <w:rsid w:val="00C90310"/>
    <w:rsid w:val="00C90E5B"/>
    <w:rsid w:val="00C94C63"/>
    <w:rsid w:val="00C95AD5"/>
    <w:rsid w:val="00C96869"/>
    <w:rsid w:val="00CA02A6"/>
    <w:rsid w:val="00CA2951"/>
    <w:rsid w:val="00CA32D1"/>
    <w:rsid w:val="00CA3387"/>
    <w:rsid w:val="00CA594E"/>
    <w:rsid w:val="00CA7613"/>
    <w:rsid w:val="00CA7C0D"/>
    <w:rsid w:val="00CB0E09"/>
    <w:rsid w:val="00CB3928"/>
    <w:rsid w:val="00CB4371"/>
    <w:rsid w:val="00CB52FC"/>
    <w:rsid w:val="00CC0D15"/>
    <w:rsid w:val="00CC2F16"/>
    <w:rsid w:val="00CC3464"/>
    <w:rsid w:val="00CC54C1"/>
    <w:rsid w:val="00CD5450"/>
    <w:rsid w:val="00CE1A98"/>
    <w:rsid w:val="00CE3663"/>
    <w:rsid w:val="00CE541E"/>
    <w:rsid w:val="00CF36C6"/>
    <w:rsid w:val="00CF3BDC"/>
    <w:rsid w:val="00CF4882"/>
    <w:rsid w:val="00CF4E2C"/>
    <w:rsid w:val="00CF5649"/>
    <w:rsid w:val="00CF694F"/>
    <w:rsid w:val="00D0506A"/>
    <w:rsid w:val="00D129DE"/>
    <w:rsid w:val="00D13184"/>
    <w:rsid w:val="00D27244"/>
    <w:rsid w:val="00D30AF7"/>
    <w:rsid w:val="00D40056"/>
    <w:rsid w:val="00D413A7"/>
    <w:rsid w:val="00D447C5"/>
    <w:rsid w:val="00D44E64"/>
    <w:rsid w:val="00D44F05"/>
    <w:rsid w:val="00D474F5"/>
    <w:rsid w:val="00D475C2"/>
    <w:rsid w:val="00D517D7"/>
    <w:rsid w:val="00D51F3B"/>
    <w:rsid w:val="00D533A1"/>
    <w:rsid w:val="00D535A0"/>
    <w:rsid w:val="00D577A6"/>
    <w:rsid w:val="00D62976"/>
    <w:rsid w:val="00D66CC5"/>
    <w:rsid w:val="00D708A2"/>
    <w:rsid w:val="00D70AD9"/>
    <w:rsid w:val="00D712CA"/>
    <w:rsid w:val="00D71C4B"/>
    <w:rsid w:val="00D72152"/>
    <w:rsid w:val="00D769F3"/>
    <w:rsid w:val="00D77522"/>
    <w:rsid w:val="00D825DA"/>
    <w:rsid w:val="00D82F06"/>
    <w:rsid w:val="00D87EFA"/>
    <w:rsid w:val="00D90094"/>
    <w:rsid w:val="00D935FF"/>
    <w:rsid w:val="00D94BA5"/>
    <w:rsid w:val="00D9510F"/>
    <w:rsid w:val="00D9571E"/>
    <w:rsid w:val="00D976F2"/>
    <w:rsid w:val="00DA69C3"/>
    <w:rsid w:val="00DB3EFE"/>
    <w:rsid w:val="00DB7282"/>
    <w:rsid w:val="00DC4259"/>
    <w:rsid w:val="00DC4F5D"/>
    <w:rsid w:val="00DC6180"/>
    <w:rsid w:val="00DC6234"/>
    <w:rsid w:val="00DD2123"/>
    <w:rsid w:val="00DD27C6"/>
    <w:rsid w:val="00DD2E0A"/>
    <w:rsid w:val="00DD47F8"/>
    <w:rsid w:val="00DD48E5"/>
    <w:rsid w:val="00DD4A4F"/>
    <w:rsid w:val="00DD6CD2"/>
    <w:rsid w:val="00DD79EA"/>
    <w:rsid w:val="00DE1500"/>
    <w:rsid w:val="00DE1F58"/>
    <w:rsid w:val="00DE4262"/>
    <w:rsid w:val="00DE5DC3"/>
    <w:rsid w:val="00DF3C27"/>
    <w:rsid w:val="00DF5B0D"/>
    <w:rsid w:val="00E00878"/>
    <w:rsid w:val="00E00D8A"/>
    <w:rsid w:val="00E00E90"/>
    <w:rsid w:val="00E029D9"/>
    <w:rsid w:val="00E05C46"/>
    <w:rsid w:val="00E0604E"/>
    <w:rsid w:val="00E11604"/>
    <w:rsid w:val="00E11D92"/>
    <w:rsid w:val="00E130A0"/>
    <w:rsid w:val="00E14BCE"/>
    <w:rsid w:val="00E14F0D"/>
    <w:rsid w:val="00E210C4"/>
    <w:rsid w:val="00E227C9"/>
    <w:rsid w:val="00E24A1D"/>
    <w:rsid w:val="00E26EF9"/>
    <w:rsid w:val="00E27B2E"/>
    <w:rsid w:val="00E300F4"/>
    <w:rsid w:val="00E30DD8"/>
    <w:rsid w:val="00E3332B"/>
    <w:rsid w:val="00E34B0A"/>
    <w:rsid w:val="00E379C0"/>
    <w:rsid w:val="00E40004"/>
    <w:rsid w:val="00E45EEA"/>
    <w:rsid w:val="00E474FA"/>
    <w:rsid w:val="00E53B3C"/>
    <w:rsid w:val="00E620FD"/>
    <w:rsid w:val="00E64F3F"/>
    <w:rsid w:val="00E66409"/>
    <w:rsid w:val="00E679E8"/>
    <w:rsid w:val="00E67A83"/>
    <w:rsid w:val="00E71C02"/>
    <w:rsid w:val="00E76D56"/>
    <w:rsid w:val="00E81D5B"/>
    <w:rsid w:val="00E83B4E"/>
    <w:rsid w:val="00E84168"/>
    <w:rsid w:val="00E90BFF"/>
    <w:rsid w:val="00E922D7"/>
    <w:rsid w:val="00E9603A"/>
    <w:rsid w:val="00EA1101"/>
    <w:rsid w:val="00EA28AB"/>
    <w:rsid w:val="00EA3987"/>
    <w:rsid w:val="00EB19AD"/>
    <w:rsid w:val="00EB2426"/>
    <w:rsid w:val="00EB331C"/>
    <w:rsid w:val="00EB3E81"/>
    <w:rsid w:val="00EB6493"/>
    <w:rsid w:val="00EC24E1"/>
    <w:rsid w:val="00EC400E"/>
    <w:rsid w:val="00EC5CB0"/>
    <w:rsid w:val="00EC780B"/>
    <w:rsid w:val="00ED05A9"/>
    <w:rsid w:val="00ED0D5C"/>
    <w:rsid w:val="00EE67C9"/>
    <w:rsid w:val="00EF0EC3"/>
    <w:rsid w:val="00EF0F08"/>
    <w:rsid w:val="00EF546D"/>
    <w:rsid w:val="00F0073E"/>
    <w:rsid w:val="00F054DE"/>
    <w:rsid w:val="00F07BC9"/>
    <w:rsid w:val="00F10501"/>
    <w:rsid w:val="00F10949"/>
    <w:rsid w:val="00F14020"/>
    <w:rsid w:val="00F150E6"/>
    <w:rsid w:val="00F16A78"/>
    <w:rsid w:val="00F17257"/>
    <w:rsid w:val="00F2052B"/>
    <w:rsid w:val="00F2097F"/>
    <w:rsid w:val="00F22D82"/>
    <w:rsid w:val="00F27196"/>
    <w:rsid w:val="00F33BAA"/>
    <w:rsid w:val="00F34D24"/>
    <w:rsid w:val="00F37830"/>
    <w:rsid w:val="00F42BBF"/>
    <w:rsid w:val="00F44BBE"/>
    <w:rsid w:val="00F45442"/>
    <w:rsid w:val="00F45B03"/>
    <w:rsid w:val="00F47834"/>
    <w:rsid w:val="00F47F1C"/>
    <w:rsid w:val="00F51A7C"/>
    <w:rsid w:val="00F53EC2"/>
    <w:rsid w:val="00F5406F"/>
    <w:rsid w:val="00F556A2"/>
    <w:rsid w:val="00F56D63"/>
    <w:rsid w:val="00F57256"/>
    <w:rsid w:val="00F57728"/>
    <w:rsid w:val="00F60A34"/>
    <w:rsid w:val="00F61EC7"/>
    <w:rsid w:val="00F6667F"/>
    <w:rsid w:val="00F71C43"/>
    <w:rsid w:val="00F72B85"/>
    <w:rsid w:val="00F77D8D"/>
    <w:rsid w:val="00F83C64"/>
    <w:rsid w:val="00F878B9"/>
    <w:rsid w:val="00F903F5"/>
    <w:rsid w:val="00F916D5"/>
    <w:rsid w:val="00F91B46"/>
    <w:rsid w:val="00F92EEE"/>
    <w:rsid w:val="00F96E11"/>
    <w:rsid w:val="00F96E5C"/>
    <w:rsid w:val="00F97E33"/>
    <w:rsid w:val="00FA0F32"/>
    <w:rsid w:val="00FA4BFA"/>
    <w:rsid w:val="00FA6F70"/>
    <w:rsid w:val="00FB18C0"/>
    <w:rsid w:val="00FB24E8"/>
    <w:rsid w:val="00FB7153"/>
    <w:rsid w:val="00FC0135"/>
    <w:rsid w:val="00FC18DA"/>
    <w:rsid w:val="00FD165E"/>
    <w:rsid w:val="00FD1C63"/>
    <w:rsid w:val="00FD325C"/>
    <w:rsid w:val="00FD5629"/>
    <w:rsid w:val="00FD60DA"/>
    <w:rsid w:val="00FD65A9"/>
    <w:rsid w:val="00FE01F0"/>
    <w:rsid w:val="00FE3CB8"/>
    <w:rsid w:val="00FE4B26"/>
    <w:rsid w:val="00FF19BD"/>
    <w:rsid w:val="00FF377D"/>
    <w:rsid w:val="00FF4D8D"/>
    <w:rsid w:val="60AEAB1D"/>
    <w:rsid w:val="77395C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0A18C"/>
  <w15:docId w15:val="{271FB61C-BCDC-4DA3-A106-4C5EC935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FootnoteText">
    <w:name w:val="footnote text"/>
    <w:basedOn w:val="Normal"/>
    <w:link w:val="FootnoteTextChar"/>
    <w:uiPriority w:val="99"/>
    <w:unhideWhenUsed/>
    <w:rsid w:val="00887DE2"/>
    <w:pPr>
      <w:spacing w:after="0" w:line="240" w:lineRule="auto"/>
    </w:pPr>
    <w:rPr>
      <w:sz w:val="20"/>
      <w:szCs w:val="20"/>
    </w:rPr>
  </w:style>
  <w:style w:type="character" w:customStyle="1" w:styleId="FootnoteTextChar">
    <w:name w:val="Footnote Text Char"/>
    <w:basedOn w:val="DefaultParagraphFont"/>
    <w:link w:val="FootnoteText"/>
    <w:uiPriority w:val="99"/>
    <w:rsid w:val="00887DE2"/>
    <w:rPr>
      <w:sz w:val="20"/>
      <w:szCs w:val="20"/>
    </w:rPr>
  </w:style>
  <w:style w:type="character" w:styleId="FootnoteReference">
    <w:name w:val="footnote reference"/>
    <w:basedOn w:val="DefaultParagraphFont"/>
    <w:uiPriority w:val="99"/>
    <w:unhideWhenUsed/>
    <w:rsid w:val="00887DE2"/>
    <w:rPr>
      <w:vertAlign w:val="superscript"/>
    </w:rPr>
  </w:style>
  <w:style w:type="character" w:styleId="PlaceholderText">
    <w:name w:val="Placeholder Text"/>
    <w:basedOn w:val="DefaultParagraphFont"/>
    <w:uiPriority w:val="99"/>
    <w:semiHidden/>
    <w:rsid w:val="00177D59"/>
    <w:rPr>
      <w:color w:val="808080"/>
    </w:rPr>
  </w:style>
  <w:style w:type="table" w:styleId="TableGrid">
    <w:name w:val="Table Grid"/>
    <w:basedOn w:val="TableNormal"/>
    <w:uiPriority w:val="59"/>
    <w:rsid w:val="00B03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C63"/>
  </w:style>
  <w:style w:type="paragraph" w:styleId="Footer">
    <w:name w:val="footer"/>
    <w:basedOn w:val="Normal"/>
    <w:link w:val="FooterChar"/>
    <w:uiPriority w:val="99"/>
    <w:unhideWhenUsed/>
    <w:rsid w:val="00FD1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C63"/>
  </w:style>
  <w:style w:type="character" w:styleId="FollowedHyperlink">
    <w:name w:val="FollowedHyperlink"/>
    <w:basedOn w:val="DefaultParagraphFont"/>
    <w:uiPriority w:val="99"/>
    <w:semiHidden/>
    <w:unhideWhenUsed/>
    <w:rsid w:val="009957B8"/>
    <w:rPr>
      <w:color w:val="800080" w:themeColor="followedHyperlink"/>
      <w:u w:val="single"/>
    </w:rPr>
  </w:style>
  <w:style w:type="paragraph" w:styleId="TOCHeading">
    <w:name w:val="TOC Heading"/>
    <w:basedOn w:val="Heading1"/>
    <w:next w:val="Normal"/>
    <w:uiPriority w:val="39"/>
    <w:semiHidden/>
    <w:unhideWhenUsed/>
    <w:qFormat/>
    <w:rsid w:val="00FD165E"/>
    <w:pPr>
      <w:spacing w:line="276" w:lineRule="auto"/>
      <w:jc w:val="left"/>
      <w:outlineLvl w:val="9"/>
    </w:pPr>
    <w:rPr>
      <w:lang w:val="en-US" w:eastAsia="ja-JP"/>
    </w:rPr>
  </w:style>
  <w:style w:type="paragraph" w:styleId="TOC3">
    <w:name w:val="toc 3"/>
    <w:basedOn w:val="Normal"/>
    <w:next w:val="Normal"/>
    <w:autoRedefine/>
    <w:uiPriority w:val="39"/>
    <w:unhideWhenUsed/>
    <w:rsid w:val="00FD165E"/>
    <w:pPr>
      <w:spacing w:after="100"/>
      <w:ind w:left="440"/>
    </w:pPr>
  </w:style>
  <w:style w:type="paragraph" w:styleId="TOC2">
    <w:name w:val="toc 2"/>
    <w:basedOn w:val="Normal"/>
    <w:next w:val="Normal"/>
    <w:autoRedefine/>
    <w:uiPriority w:val="39"/>
    <w:unhideWhenUsed/>
    <w:rsid w:val="00FD165E"/>
    <w:pPr>
      <w:spacing w:after="100"/>
      <w:ind w:left="220"/>
    </w:pPr>
  </w:style>
  <w:style w:type="character" w:customStyle="1" w:styleId="Hyperlink1">
    <w:name w:val="Hyperlink1"/>
    <w:basedOn w:val="DefaultParagraphFont"/>
    <w:uiPriority w:val="99"/>
    <w:unhideWhenUsed/>
    <w:rsid w:val="00AD5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895">
      <w:bodyDiv w:val="1"/>
      <w:marLeft w:val="0"/>
      <w:marRight w:val="0"/>
      <w:marTop w:val="0"/>
      <w:marBottom w:val="0"/>
      <w:divBdr>
        <w:top w:val="none" w:sz="0" w:space="0" w:color="auto"/>
        <w:left w:val="none" w:sz="0" w:space="0" w:color="auto"/>
        <w:bottom w:val="none" w:sz="0" w:space="0" w:color="auto"/>
        <w:right w:val="none" w:sz="0" w:space="0" w:color="auto"/>
      </w:divBdr>
    </w:div>
    <w:div w:id="80883381">
      <w:bodyDiv w:val="1"/>
      <w:marLeft w:val="0"/>
      <w:marRight w:val="0"/>
      <w:marTop w:val="0"/>
      <w:marBottom w:val="0"/>
      <w:divBdr>
        <w:top w:val="none" w:sz="0" w:space="0" w:color="auto"/>
        <w:left w:val="none" w:sz="0" w:space="0" w:color="auto"/>
        <w:bottom w:val="none" w:sz="0" w:space="0" w:color="auto"/>
        <w:right w:val="none" w:sz="0" w:space="0" w:color="auto"/>
      </w:divBdr>
    </w:div>
    <w:div w:id="268241548">
      <w:bodyDiv w:val="1"/>
      <w:marLeft w:val="0"/>
      <w:marRight w:val="0"/>
      <w:marTop w:val="0"/>
      <w:marBottom w:val="0"/>
      <w:divBdr>
        <w:top w:val="none" w:sz="0" w:space="0" w:color="auto"/>
        <w:left w:val="none" w:sz="0" w:space="0" w:color="auto"/>
        <w:bottom w:val="none" w:sz="0" w:space="0" w:color="auto"/>
        <w:right w:val="none" w:sz="0" w:space="0" w:color="auto"/>
      </w:divBdr>
    </w:div>
    <w:div w:id="349062267">
      <w:bodyDiv w:val="1"/>
      <w:marLeft w:val="0"/>
      <w:marRight w:val="0"/>
      <w:marTop w:val="0"/>
      <w:marBottom w:val="0"/>
      <w:divBdr>
        <w:top w:val="none" w:sz="0" w:space="0" w:color="auto"/>
        <w:left w:val="none" w:sz="0" w:space="0" w:color="auto"/>
        <w:bottom w:val="none" w:sz="0" w:space="0" w:color="auto"/>
        <w:right w:val="none" w:sz="0" w:space="0" w:color="auto"/>
      </w:divBdr>
    </w:div>
    <w:div w:id="387999724">
      <w:bodyDiv w:val="1"/>
      <w:marLeft w:val="0"/>
      <w:marRight w:val="0"/>
      <w:marTop w:val="0"/>
      <w:marBottom w:val="0"/>
      <w:divBdr>
        <w:top w:val="none" w:sz="0" w:space="0" w:color="auto"/>
        <w:left w:val="none" w:sz="0" w:space="0" w:color="auto"/>
        <w:bottom w:val="none" w:sz="0" w:space="0" w:color="auto"/>
        <w:right w:val="none" w:sz="0" w:space="0" w:color="auto"/>
      </w:divBdr>
    </w:div>
    <w:div w:id="390546950">
      <w:bodyDiv w:val="1"/>
      <w:marLeft w:val="0"/>
      <w:marRight w:val="0"/>
      <w:marTop w:val="0"/>
      <w:marBottom w:val="0"/>
      <w:divBdr>
        <w:top w:val="none" w:sz="0" w:space="0" w:color="auto"/>
        <w:left w:val="none" w:sz="0" w:space="0" w:color="auto"/>
        <w:bottom w:val="none" w:sz="0" w:space="0" w:color="auto"/>
        <w:right w:val="none" w:sz="0" w:space="0" w:color="auto"/>
      </w:divBdr>
    </w:div>
    <w:div w:id="542638581">
      <w:bodyDiv w:val="1"/>
      <w:marLeft w:val="0"/>
      <w:marRight w:val="0"/>
      <w:marTop w:val="0"/>
      <w:marBottom w:val="0"/>
      <w:divBdr>
        <w:top w:val="none" w:sz="0" w:space="0" w:color="auto"/>
        <w:left w:val="none" w:sz="0" w:space="0" w:color="auto"/>
        <w:bottom w:val="none" w:sz="0" w:space="0" w:color="auto"/>
        <w:right w:val="none" w:sz="0" w:space="0" w:color="auto"/>
      </w:divBdr>
    </w:div>
    <w:div w:id="678196518">
      <w:bodyDiv w:val="1"/>
      <w:marLeft w:val="0"/>
      <w:marRight w:val="0"/>
      <w:marTop w:val="0"/>
      <w:marBottom w:val="0"/>
      <w:divBdr>
        <w:top w:val="none" w:sz="0" w:space="0" w:color="auto"/>
        <w:left w:val="none" w:sz="0" w:space="0" w:color="auto"/>
        <w:bottom w:val="none" w:sz="0" w:space="0" w:color="auto"/>
        <w:right w:val="none" w:sz="0" w:space="0" w:color="auto"/>
      </w:divBdr>
    </w:div>
    <w:div w:id="765922106">
      <w:bodyDiv w:val="1"/>
      <w:marLeft w:val="0"/>
      <w:marRight w:val="0"/>
      <w:marTop w:val="0"/>
      <w:marBottom w:val="0"/>
      <w:divBdr>
        <w:top w:val="none" w:sz="0" w:space="0" w:color="auto"/>
        <w:left w:val="none" w:sz="0" w:space="0" w:color="auto"/>
        <w:bottom w:val="none" w:sz="0" w:space="0" w:color="auto"/>
        <w:right w:val="none" w:sz="0" w:space="0" w:color="auto"/>
      </w:divBdr>
    </w:div>
    <w:div w:id="886840944">
      <w:bodyDiv w:val="1"/>
      <w:marLeft w:val="0"/>
      <w:marRight w:val="0"/>
      <w:marTop w:val="0"/>
      <w:marBottom w:val="0"/>
      <w:divBdr>
        <w:top w:val="none" w:sz="0" w:space="0" w:color="auto"/>
        <w:left w:val="none" w:sz="0" w:space="0" w:color="auto"/>
        <w:bottom w:val="none" w:sz="0" w:space="0" w:color="auto"/>
        <w:right w:val="none" w:sz="0" w:space="0" w:color="auto"/>
      </w:divBdr>
    </w:div>
    <w:div w:id="898983536">
      <w:bodyDiv w:val="1"/>
      <w:marLeft w:val="0"/>
      <w:marRight w:val="0"/>
      <w:marTop w:val="0"/>
      <w:marBottom w:val="0"/>
      <w:divBdr>
        <w:top w:val="none" w:sz="0" w:space="0" w:color="auto"/>
        <w:left w:val="none" w:sz="0" w:space="0" w:color="auto"/>
        <w:bottom w:val="none" w:sz="0" w:space="0" w:color="auto"/>
        <w:right w:val="none" w:sz="0" w:space="0" w:color="auto"/>
      </w:divBdr>
    </w:div>
    <w:div w:id="1024356299">
      <w:bodyDiv w:val="1"/>
      <w:marLeft w:val="0"/>
      <w:marRight w:val="0"/>
      <w:marTop w:val="0"/>
      <w:marBottom w:val="0"/>
      <w:divBdr>
        <w:top w:val="none" w:sz="0" w:space="0" w:color="auto"/>
        <w:left w:val="none" w:sz="0" w:space="0" w:color="auto"/>
        <w:bottom w:val="none" w:sz="0" w:space="0" w:color="auto"/>
        <w:right w:val="none" w:sz="0" w:space="0" w:color="auto"/>
      </w:divBdr>
    </w:div>
    <w:div w:id="1117139666">
      <w:bodyDiv w:val="1"/>
      <w:marLeft w:val="0"/>
      <w:marRight w:val="0"/>
      <w:marTop w:val="0"/>
      <w:marBottom w:val="0"/>
      <w:divBdr>
        <w:top w:val="none" w:sz="0" w:space="0" w:color="auto"/>
        <w:left w:val="none" w:sz="0" w:space="0" w:color="auto"/>
        <w:bottom w:val="none" w:sz="0" w:space="0" w:color="auto"/>
        <w:right w:val="none" w:sz="0" w:space="0" w:color="auto"/>
      </w:divBdr>
    </w:div>
    <w:div w:id="1557207307">
      <w:bodyDiv w:val="1"/>
      <w:marLeft w:val="0"/>
      <w:marRight w:val="0"/>
      <w:marTop w:val="0"/>
      <w:marBottom w:val="0"/>
      <w:divBdr>
        <w:top w:val="none" w:sz="0" w:space="0" w:color="auto"/>
        <w:left w:val="none" w:sz="0" w:space="0" w:color="auto"/>
        <w:bottom w:val="none" w:sz="0" w:space="0" w:color="auto"/>
        <w:right w:val="none" w:sz="0" w:space="0" w:color="auto"/>
      </w:divBdr>
    </w:div>
    <w:div w:id="1764302879">
      <w:bodyDiv w:val="1"/>
      <w:marLeft w:val="0"/>
      <w:marRight w:val="0"/>
      <w:marTop w:val="0"/>
      <w:marBottom w:val="0"/>
      <w:divBdr>
        <w:top w:val="none" w:sz="0" w:space="0" w:color="auto"/>
        <w:left w:val="none" w:sz="0" w:space="0" w:color="auto"/>
        <w:bottom w:val="none" w:sz="0" w:space="0" w:color="auto"/>
        <w:right w:val="none" w:sz="0" w:space="0" w:color="auto"/>
      </w:divBdr>
    </w:div>
    <w:div w:id="1845590406">
      <w:bodyDiv w:val="1"/>
      <w:marLeft w:val="0"/>
      <w:marRight w:val="0"/>
      <w:marTop w:val="0"/>
      <w:marBottom w:val="0"/>
      <w:divBdr>
        <w:top w:val="none" w:sz="0" w:space="0" w:color="auto"/>
        <w:left w:val="none" w:sz="0" w:space="0" w:color="auto"/>
        <w:bottom w:val="none" w:sz="0" w:space="0" w:color="auto"/>
        <w:right w:val="none" w:sz="0" w:space="0" w:color="auto"/>
      </w:divBdr>
    </w:div>
    <w:div w:id="20048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www.who.int/medicines/regulation/benchmarking_tool/en/" TargetMode="External"/><Relationship Id="rId26" Type="http://schemas.openxmlformats.org/officeDocument/2006/relationships/header" Target="header3.xml"/><Relationship Id="rId39" Type="http://schemas.openxmlformats.org/officeDocument/2006/relationships/hyperlink" Target="http://www.who.int/ncds/management/pen_tools/en/" TargetMode="External"/><Relationship Id="rId21" Type="http://schemas.openxmlformats.org/officeDocument/2006/relationships/hyperlink" Target="https://doi.org/10.1787/health_glance-2017-en" TargetMode="External"/><Relationship Id="rId34" Type="http://schemas.openxmlformats.org/officeDocument/2006/relationships/hyperlink" Target="http://www.who.int/ncds/management/pen_tools/en/" TargetMode="External"/><Relationship Id="rId42" Type="http://schemas.openxmlformats.org/officeDocument/2006/relationships/hyperlink" Target="http://apps.who.int/medicinedocs/en/d/Jh2929e/7.html" TargetMode="External"/><Relationship Id="rId47" Type="http://schemas.openxmlformats.org/officeDocument/2006/relationships/hyperlink" Target="http://apps.who.int/medicinedocs/en/d/Js5406e/16.1.html" TargetMode="External"/><Relationship Id="rId50" Type="http://schemas.openxmlformats.org/officeDocument/2006/relationships/hyperlink" Target="http://apps.who.int/iris/bitstream/handle/10665/181468/9789241549158_eng.pdf;jsessionid=0B133D3AD9912240BE31344EAC19187C?sequence=1" TargetMode="External"/><Relationship Id="rId55" Type="http://schemas.openxmlformats.org/officeDocument/2006/relationships/hyperlink" Target="https://extranet.who.int/rhl/topics/preconception-pregnancy-childbirth-and-postpartum-care/medical-problems-during-pregnancy/who-recommendation-magnesium-sulfate-prevention-eclampsia-women-severe-pre-eclampsia" TargetMode="External"/><Relationship Id="rId63" Type="http://schemas.openxmlformats.org/officeDocument/2006/relationships/hyperlink" Target="http://apps.who.int/iris/bitstream/handle/10665/95584/9789241506328_eng.pdf?sequence=1" TargetMode="External"/><Relationship Id="rId68" Type="http://schemas.openxmlformats.org/officeDocument/2006/relationships/hyperlink" Target="http://www.who.int/selection_medicines/list/WMF2008.pdf?ua=1"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ilo.org/global/topics/wages/minimum-wages/definition/lang--en/index.htm" TargetMode="External"/><Relationship Id="rId29" Type="http://schemas.openxmlformats.org/officeDocument/2006/relationships/hyperlink" Target="http://apps.who.int/iris/bitstream/handle/10665/76173/9789241548397_eng.pdf" TargetMode="External"/><Relationship Id="rId11" Type="http://schemas.openxmlformats.org/officeDocument/2006/relationships/hyperlink" Target="http://www.who.int/medicines/areas/policy/monitoring/empmedmon" TargetMode="External"/><Relationship Id="rId24" Type="http://schemas.openxmlformats.org/officeDocument/2006/relationships/footer" Target="footer1.xml"/><Relationship Id="rId32" Type="http://schemas.openxmlformats.org/officeDocument/2006/relationships/hyperlink" Target="http://www.who.int/ncds/management/pen_tools/en/" TargetMode="External"/><Relationship Id="rId37" Type="http://schemas.openxmlformats.org/officeDocument/2006/relationships/hyperlink" Target="http://www.who.int/ncds/management/pen_tools/en/" TargetMode="External"/><Relationship Id="rId40" Type="http://schemas.openxmlformats.org/officeDocument/2006/relationships/hyperlink" Target="http://apps.who.int/iris/bitstream/handle/10665/76173/9789241548397_eng.pdf" TargetMode="External"/><Relationship Id="rId45" Type="http://schemas.openxmlformats.org/officeDocument/2006/relationships/hyperlink" Target="http://www.who.int/mental_health/mhgap/evidence/epilepsy/en/" TargetMode="External"/><Relationship Id="rId53" Type="http://schemas.openxmlformats.org/officeDocument/2006/relationships/hyperlink" Target="http://apps.who.int/iris/bitstream/handle/10665/75411/9789241548502_eng.pdf" TargetMode="External"/><Relationship Id="rId58" Type="http://schemas.openxmlformats.org/officeDocument/2006/relationships/hyperlink" Target="http://apps.who.int/iris/bitstream/handle/10665/162441/9789241549127_eng.pdf" TargetMode="External"/><Relationship Id="rId66" Type="http://schemas.openxmlformats.org/officeDocument/2006/relationships/hyperlink" Target="http://apps.who.int/medicinedocs/en/d/Js2215e/9.13.html" TargetMode="External"/><Relationship Id="rId7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whocc.no/ddd/definition_and_general_considera/" TargetMode="External"/><Relationship Id="rId23" Type="http://schemas.openxmlformats.org/officeDocument/2006/relationships/header" Target="header2.xml"/><Relationship Id="rId28" Type="http://schemas.openxmlformats.org/officeDocument/2006/relationships/hyperlink" Target="http://www.who.int/ncds/management/pen_tools/en/" TargetMode="External"/><Relationship Id="rId36" Type="http://schemas.openxmlformats.org/officeDocument/2006/relationships/hyperlink" Target="http://www.who.int/ncds/management/pen_tools/en/" TargetMode="External"/><Relationship Id="rId49" Type="http://schemas.openxmlformats.org/officeDocument/2006/relationships/hyperlink" Target="http://apps.who.int/medicinedocs/en/d/Js5406e/16.6.html" TargetMode="External"/><Relationship Id="rId57" Type="http://schemas.openxmlformats.org/officeDocument/2006/relationships/hyperlink" Target="http://www.who.int/elena/titles/folate_periconceptional/en/" TargetMode="External"/><Relationship Id="rId61" Type="http://schemas.openxmlformats.org/officeDocument/2006/relationships/hyperlink" Target="file:///C:\Users\nanneic\AppData\Local\Microsoft\Windows\Temporary%20Internet%20Files\Content.Outlook\HUJABWIN\Treatment%20References:%20http:\apps.who.int\iris\bitstream\handle\10665\44540\9789241548120_Guidelines.pdf;jsessionid=6AF4E039A5576A8C77618EBA7AD07D68%3fsequence=1" TargetMode="External"/><Relationship Id="rId10" Type="http://schemas.openxmlformats.org/officeDocument/2006/relationships/hyperlink" Target="http://www.who.int/healthinfo/systems/SARA_Reference_Manual_Full.pdf" TargetMode="External"/><Relationship Id="rId19" Type="http://schemas.openxmlformats.org/officeDocument/2006/relationships/hyperlink" Target="http://www.who.int/healthinfo/global_burden_disease/estimates/en/index1.html" TargetMode="External"/><Relationship Id="rId31" Type="http://schemas.openxmlformats.org/officeDocument/2006/relationships/hyperlink" Target="http://apps.who.int/iris/bitstream/handle/10665/76173/9789241548397_eng.pdf" TargetMode="External"/><Relationship Id="rId44" Type="http://schemas.openxmlformats.org/officeDocument/2006/relationships/hyperlink" Target="http://www.who.int/mental_health/mhgap/evidence/depression/en/" TargetMode="External"/><Relationship Id="rId52" Type="http://schemas.openxmlformats.org/officeDocument/2006/relationships/hyperlink" Target="http://www.who.int/maternal_child_adolescent/documents/a85500/en/" TargetMode="External"/><Relationship Id="rId60" Type="http://schemas.openxmlformats.org/officeDocument/2006/relationships/hyperlink" Target="http://apps.who.int/iris/bitstream/handle/10665/208825/9789241549684_eng.pdf" TargetMode="External"/><Relationship Id="rId65" Type="http://schemas.openxmlformats.org/officeDocument/2006/relationships/hyperlink" Target="http://www.who.int/selection_medicines/list/WMF2008.pdf?ua=1" TargetMode="External"/><Relationship Id="rId73"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who.int/medicines/areas/access/medicines_prices08/en/" TargetMode="External"/><Relationship Id="rId14" Type="http://schemas.openxmlformats.org/officeDocument/2006/relationships/hyperlink" Target="http://www.who.int/medicines/areas/access/OMS_Medicine_prices.pdf"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http://www.who.int/ncds/management/pen_tools/en/" TargetMode="External"/><Relationship Id="rId35" Type="http://schemas.openxmlformats.org/officeDocument/2006/relationships/hyperlink" Target="http://apps.who.int/iris/bitstream/handle/10665/76173/9789241548397_eng.pdf" TargetMode="External"/><Relationship Id="rId43" Type="http://schemas.openxmlformats.org/officeDocument/2006/relationships/hyperlink" Target="http://apps.who.int/medicinedocs/en/d/Jh2929e/7.html" TargetMode="External"/><Relationship Id="rId48" Type="http://schemas.openxmlformats.org/officeDocument/2006/relationships/hyperlink" Target="http://apps.who.int/medicinedocs/en/d/Js5406e/16.11.html" TargetMode="External"/><Relationship Id="rId56" Type="http://schemas.openxmlformats.org/officeDocument/2006/relationships/hyperlink" Target="https://www.unfpa.org/sites/default/files/pub-pdf/Key%20Data%20and%20Findings%20Maternal%20Health%20Medicines-FINAL.pdf" TargetMode="External"/><Relationship Id="rId64" Type="http://schemas.openxmlformats.org/officeDocument/2006/relationships/hyperlink" Target="http://www.who.int/selection_medicines/committees/expert/19/applications/Histamine_3_AC_R.pdf" TargetMode="External"/><Relationship Id="rId69" Type="http://schemas.openxmlformats.org/officeDocument/2006/relationships/image" Target="media/image3.png"/><Relationship Id="rId8" Type="http://schemas.openxmlformats.org/officeDocument/2006/relationships/image" Target="media/image1.png"/><Relationship Id="rId51" Type="http://schemas.openxmlformats.org/officeDocument/2006/relationships/hyperlink" Target="http://www.who.int/maternal_child_adolescent/documents/a85500/en/" TargetMode="External"/><Relationship Id="rId72" Type="http://schemas.openxmlformats.org/officeDocument/2006/relationships/image" Target="media/image6.emf"/><Relationship Id="rId3" Type="http://schemas.openxmlformats.org/officeDocument/2006/relationships/styles" Target="styles.xml"/><Relationship Id="rId12" Type="http://schemas.openxmlformats.org/officeDocument/2006/relationships/hyperlink" Target="http://haiweb.org/what-we-do/price-availability-affordability/price-availability-data/" TargetMode="External"/><Relationship Id="rId17" Type="http://schemas.openxmlformats.org/officeDocument/2006/relationships/hyperlink" Target="http://www.who.int/healthinfo/global_burden_disease/2004_report_update/en/" TargetMode="External"/><Relationship Id="rId25" Type="http://schemas.openxmlformats.org/officeDocument/2006/relationships/footer" Target="footer2.xml"/><Relationship Id="rId33" Type="http://schemas.openxmlformats.org/officeDocument/2006/relationships/hyperlink" Target="http://apps.who.int/iris/bitstream/handle/10665/76173/9789241548397_eng.pdf" TargetMode="External"/><Relationship Id="rId38" Type="http://schemas.openxmlformats.org/officeDocument/2006/relationships/hyperlink" Target="http://apps.who.int/iris/bitstream/handle/10665/76173/9789241548397_eng.pdf" TargetMode="External"/><Relationship Id="rId46" Type="http://schemas.openxmlformats.org/officeDocument/2006/relationships/hyperlink" Target="http://apps.who.int/medicinedocs/en/d/Js5406e/16.19.html" TargetMode="External"/><Relationship Id="rId59" Type="http://schemas.openxmlformats.org/officeDocument/2006/relationships/hyperlink" Target="http://apps.who.int/iris/bitstream/handle/10665/162441/9789241549127_eng.pdf" TargetMode="External"/><Relationship Id="rId67" Type="http://schemas.openxmlformats.org/officeDocument/2006/relationships/hyperlink" Target="http://apps.who.int/iris/bitstream/handle/10665/37143/9241401052.pdf?sequence=1&amp;isAllowed=y" TargetMode="External"/><Relationship Id="rId20" Type="http://schemas.openxmlformats.org/officeDocument/2006/relationships/hyperlink" Target="http://apps.who.int/gho/data/node.main.487" TargetMode="External"/><Relationship Id="rId41" Type="http://schemas.openxmlformats.org/officeDocument/2006/relationships/hyperlink" Target="http://www.who.int/ncds/management/pen_tools/en/" TargetMode="External"/><Relationship Id="rId54" Type="http://schemas.openxmlformats.org/officeDocument/2006/relationships/hyperlink" Target="https://www.unfpa.org/sites/default/files/pub-pdf/Key%20Data%20and%20Findings%20Maternal%20Health%20Medicines-FINAL.pdf" TargetMode="External"/><Relationship Id="rId62" Type="http://schemas.openxmlformats.org/officeDocument/2006/relationships/hyperlink" Target="http://www.who.int/selection_medicines/committees/subcommittee/2/chlorhexidine.pdf?ua=1" TargetMode="External"/><Relationship Id="rId70" Type="http://schemas.openxmlformats.org/officeDocument/2006/relationships/image" Target="media/image4.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www.who.int/medicines/areas/access/OMS_Medicine_prices.pdf" TargetMode="External"/><Relationship Id="rId3" Type="http://schemas.openxmlformats.org/officeDocument/2006/relationships/hyperlink" Target="https://www.ilo.org/global/topics/wages/minimum-wages/definition/lang--en/index.htm" TargetMode="External"/><Relationship Id="rId7" Type="http://schemas.openxmlformats.org/officeDocument/2006/relationships/hyperlink" Target="http://www.who.int/healthinfo/global_burden_disease/estimates/en/index1.html" TargetMode="External"/><Relationship Id="rId2" Type="http://schemas.openxmlformats.org/officeDocument/2006/relationships/hyperlink" Target="https://www.whocc.no/ddd/definition_and_general_considera/" TargetMode="External"/><Relationship Id="rId1" Type="http://schemas.openxmlformats.org/officeDocument/2006/relationships/hyperlink" Target="http://www.who.int/medicines/areas/access/OMS_Medicine_prices.pdf" TargetMode="External"/><Relationship Id="rId6" Type="http://schemas.openxmlformats.org/officeDocument/2006/relationships/hyperlink" Target="http://www.who.int/medicines/regulation/benchmarking_tool/en/" TargetMode="External"/><Relationship Id="rId5" Type="http://schemas.openxmlformats.org/officeDocument/2006/relationships/hyperlink" Target="https://www.oecd-ilibrary.org/docserver/health_glance-2017-en.pdf?expires=1538398439&amp;id=id&amp;accname=ocid195767&amp;checksum=5048DC3536CBC81347E991B01A182E2A" TargetMode="External"/><Relationship Id="rId10" Type="http://schemas.openxmlformats.org/officeDocument/2006/relationships/hyperlink" Target="http://apps.who.int/gho/data/node.main.487" TargetMode="External"/><Relationship Id="rId4" Type="http://schemas.openxmlformats.org/officeDocument/2006/relationships/hyperlink" Target="http://www.who.int/healthinfo/global_burden_disease/2004_report_update/en/" TargetMode="External"/><Relationship Id="rId9" Type="http://schemas.openxmlformats.org/officeDocument/2006/relationships/hyperlink" Target="https://www.ophi.org.uk/wp-content/uploads/OPHIRP046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4689A-72B0-409F-B81A-E82B320AD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11679</Words>
  <Characters>66574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6</cp:revision>
  <cp:lastPrinted>2018-10-01T14:23:00Z</cp:lastPrinted>
  <dcterms:created xsi:type="dcterms:W3CDTF">2019-01-28T16:01:00Z</dcterms:created>
  <dcterms:modified xsi:type="dcterms:W3CDTF">2019-03-28T21:24:00Z</dcterms:modified>
</cp:coreProperties>
</file>