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4A62375" w14:textId="77777777" w:rsidR="003C42C5" w:rsidRDefault="003C42C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 3: Ensure healthy lives and promote well-being for all at all ages</w:t>
      </w:r>
      <w:r>
        <w:rPr>
          <w:rStyle w:val="eop"/>
          <w:rFonts w:ascii="Calibri" w:hAnsi="Calibri" w:cs="Calibri"/>
          <w:color w:val="333333"/>
          <w:sz w:val="21"/>
          <w:szCs w:val="21"/>
        </w:rPr>
        <w:t> </w:t>
      </w:r>
    </w:p>
    <w:p w14:paraId="084142D2" w14:textId="472FED0F" w:rsidR="00D24330" w:rsidRPr="00A96255" w:rsidRDefault="00D24330" w:rsidP="00D24330">
      <w:pPr>
        <w:pStyle w:val="MIndHeader"/>
      </w:pPr>
      <w:r w:rsidRPr="00A96255">
        <w:t>0.b. Target</w:t>
      </w:r>
    </w:p>
    <w:p w14:paraId="0DA37195" w14:textId="77777777" w:rsidR="003C42C5" w:rsidRDefault="003C42C5" w:rsidP="003C42C5">
      <w:pPr>
        <w:pStyle w:val="paragraph"/>
        <w:shd w:val="clear" w:color="auto" w:fill="F5F5F5"/>
        <w:spacing w:before="0" w:beforeAutospacing="0" w:after="0" w:afterAutospacing="0"/>
        <w:textAlignment w:val="baseline"/>
        <w:rPr>
          <w:rFonts w:ascii="Segoe UI" w:hAnsi="Segoe UI" w:cs="Segoe UI"/>
          <w:color w:val="333333"/>
          <w:sz w:val="18"/>
          <w:szCs w:val="18"/>
        </w:rPr>
      </w:pPr>
      <w:r>
        <w:rPr>
          <w:rStyle w:val="normaltextrun"/>
          <w:rFonts w:ascii="Calibri" w:hAnsi="Calibri" w:cs="Calibri"/>
          <w:color w:val="333333"/>
          <w:sz w:val="21"/>
          <w:szCs w:val="21"/>
          <w:shd w:val="clear" w:color="auto" w:fill="F5F5F5"/>
          <w:lang w:val="en-GB"/>
        </w:rPr>
        <w:t>Target 3.c: Substantially increase health financing and the recruitment, development, training and</w:t>
      </w:r>
      <w:r>
        <w:rPr>
          <w:rStyle w:val="eop"/>
          <w:rFonts w:ascii="Calibri" w:hAnsi="Calibri" w:cs="Calibri"/>
          <w:color w:val="333333"/>
          <w:sz w:val="21"/>
          <w:szCs w:val="21"/>
        </w:rPr>
        <w:t> </w:t>
      </w:r>
    </w:p>
    <w:p w14:paraId="524910B5" w14:textId="77777777" w:rsidR="003C42C5" w:rsidRDefault="003C42C5" w:rsidP="003C42C5">
      <w:pPr>
        <w:pStyle w:val="paragraph"/>
        <w:shd w:val="clear" w:color="auto" w:fill="F5F5F5"/>
        <w:spacing w:before="0" w:beforeAutospacing="0" w:after="0" w:afterAutospacing="0"/>
        <w:textAlignment w:val="baseline"/>
        <w:rPr>
          <w:rFonts w:ascii="Segoe UI" w:hAnsi="Segoe UI" w:cs="Segoe UI"/>
          <w:color w:val="333333"/>
          <w:sz w:val="18"/>
          <w:szCs w:val="18"/>
        </w:rPr>
      </w:pPr>
      <w:r>
        <w:rPr>
          <w:rStyle w:val="normaltextrun"/>
          <w:rFonts w:ascii="Calibri" w:hAnsi="Calibri" w:cs="Calibri"/>
          <w:color w:val="333333"/>
          <w:sz w:val="21"/>
          <w:szCs w:val="21"/>
          <w:shd w:val="clear" w:color="auto" w:fill="F5F5F5"/>
          <w:lang w:val="en-GB"/>
        </w:rPr>
        <w:t>retention of the health workforce in developing countries, especially in least developed countries and</w:t>
      </w:r>
      <w:r>
        <w:rPr>
          <w:rStyle w:val="eop"/>
          <w:rFonts w:ascii="Calibri" w:hAnsi="Calibri" w:cs="Calibri"/>
          <w:color w:val="333333"/>
          <w:sz w:val="21"/>
          <w:szCs w:val="21"/>
        </w:rPr>
        <w:t> </w:t>
      </w:r>
    </w:p>
    <w:p w14:paraId="5812D6B4" w14:textId="77777777" w:rsidR="003C42C5" w:rsidRDefault="003C42C5" w:rsidP="003C42C5">
      <w:pPr>
        <w:pStyle w:val="paragraph"/>
        <w:shd w:val="clear" w:color="auto" w:fill="F5F5F5"/>
        <w:spacing w:before="0" w:beforeAutospacing="0" w:after="0" w:afterAutospacing="0"/>
        <w:textAlignment w:val="baseline"/>
        <w:rPr>
          <w:rFonts w:ascii="Segoe UI" w:hAnsi="Segoe UI" w:cs="Segoe UI"/>
          <w:color w:val="333333"/>
          <w:sz w:val="18"/>
          <w:szCs w:val="18"/>
        </w:rPr>
      </w:pPr>
      <w:r>
        <w:rPr>
          <w:rStyle w:val="normaltextrun"/>
          <w:rFonts w:ascii="Calibri" w:hAnsi="Calibri" w:cs="Calibri"/>
          <w:color w:val="333333"/>
          <w:sz w:val="21"/>
          <w:szCs w:val="21"/>
          <w:shd w:val="clear" w:color="auto" w:fill="F5F5F5"/>
          <w:lang w:val="en-GB"/>
        </w:rPr>
        <w:t>small island developing States</w:t>
      </w:r>
      <w:r>
        <w:rPr>
          <w:rStyle w:val="eop"/>
          <w:rFonts w:ascii="Calibri" w:hAnsi="Calibri" w:cs="Calibri"/>
          <w:color w:val="333333"/>
          <w:sz w:val="21"/>
          <w:szCs w:val="21"/>
        </w:rPr>
        <w:t> </w:t>
      </w:r>
    </w:p>
    <w:p w14:paraId="3E67E7E0" w14:textId="77777777" w:rsidR="00D24330" w:rsidRPr="00A96255" w:rsidRDefault="00D24330" w:rsidP="00D24330">
      <w:pPr>
        <w:pStyle w:val="MIndHeader"/>
      </w:pPr>
      <w:r w:rsidRPr="00A96255">
        <w:t>0.c. Indicator</w:t>
      </w:r>
    </w:p>
    <w:p w14:paraId="344B1394" w14:textId="77777777" w:rsidR="003C42C5" w:rsidRDefault="003C42C5" w:rsidP="00D24330">
      <w:pPr>
        <w:pStyle w:val="MIndHeader"/>
        <w:rPr>
          <w:color w:val="333333"/>
          <w:sz w:val="21"/>
          <w:szCs w:val="21"/>
        </w:rPr>
      </w:pPr>
      <w:r w:rsidRPr="003C42C5">
        <w:rPr>
          <w:color w:val="333333"/>
          <w:sz w:val="21"/>
          <w:szCs w:val="21"/>
        </w:rPr>
        <w:t xml:space="preserve">Indicator 3.c.1: Health worker density and distribution </w:t>
      </w:r>
    </w:p>
    <w:p w14:paraId="37E5E4F6" w14:textId="08515C35" w:rsidR="00D24330" w:rsidRPr="00A96255" w:rsidRDefault="00D24330" w:rsidP="00D24330">
      <w:pPr>
        <w:pStyle w:val="MIndHeader"/>
      </w:pPr>
      <w:r w:rsidRPr="00A96255">
        <w:t>0.d. Series</w:t>
      </w:r>
    </w:p>
    <w:p w14:paraId="771888BA" w14:textId="773DB4C1"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4C3A415F" w14:textId="154C58A3" w:rsidR="0056716E" w:rsidRDefault="009A4299" w:rsidP="00CE6F37">
      <w:pPr>
        <w:pStyle w:val="MGTHeader"/>
      </w:pPr>
      <w:r>
        <w:t>March 2021</w:t>
      </w:r>
    </w:p>
    <w:p w14:paraId="415C9FF1" w14:textId="38FFE67E" w:rsidR="00D24330" w:rsidRPr="00A96255" w:rsidRDefault="00D24330" w:rsidP="00D24330">
      <w:pPr>
        <w:pStyle w:val="MIndHeader"/>
      </w:pPr>
      <w:r w:rsidRPr="00A96255">
        <w:t>0.f. Related indicators</w:t>
      </w:r>
    </w:p>
    <w:p w14:paraId="21524279" w14:textId="2CF116E5"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19F29921" w14:textId="3ECACBE5" w:rsidR="008D1D39" w:rsidRPr="00CE6F37" w:rsidRDefault="003C42C5" w:rsidP="00CE6F37">
      <w:pPr>
        <w:pStyle w:val="MGTHeader"/>
        <w:rPr>
          <w:rStyle w:val="eop"/>
        </w:rPr>
      </w:pPr>
      <w:r w:rsidRPr="00CE6F37">
        <w:rPr>
          <w:rStyle w:val="normaltextrun"/>
        </w:rPr>
        <w:t>World Health Organization (WHO)</w:t>
      </w:r>
    </w:p>
    <w:p w14:paraId="04FCF5A6" w14:textId="77777777" w:rsidR="00CE6F37" w:rsidRPr="00A96255" w:rsidRDefault="00CE6F37"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7D5AFD6C" w14:textId="77777777" w:rsidR="00CE6F37" w:rsidRDefault="003C42C5" w:rsidP="00576CFA">
      <w:pPr>
        <w:pStyle w:val="MText"/>
        <w:rPr>
          <w:rStyle w:val="normaltextrun"/>
          <w:rFonts w:ascii="Calibri" w:hAnsi="Calibri" w:cs="Calibri"/>
          <w:color w:val="404040"/>
          <w:sz w:val="22"/>
          <w:szCs w:val="22"/>
          <w:shd w:val="clear" w:color="auto" w:fill="FFFFFF"/>
        </w:rPr>
      </w:pPr>
      <w:r>
        <w:rPr>
          <w:rStyle w:val="normaltextrun"/>
          <w:rFonts w:ascii="Calibri" w:hAnsi="Calibri" w:cs="Calibri"/>
          <w:color w:val="404040"/>
          <w:sz w:val="22"/>
          <w:szCs w:val="22"/>
          <w:shd w:val="clear" w:color="auto" w:fill="FFFFFF"/>
        </w:rPr>
        <w:t>World Health Organization (WHO)</w:t>
      </w:r>
    </w:p>
    <w:p w14:paraId="6E829FD0" w14:textId="49C09D2F" w:rsidR="00F719A8" w:rsidRDefault="003C42C5" w:rsidP="00576CFA">
      <w:pPr>
        <w:pStyle w:val="MText"/>
      </w:pPr>
      <w:r>
        <w:rPr>
          <w:rStyle w:val="eop"/>
          <w:rFonts w:ascii="Calibri" w:hAnsi="Calibri" w:cs="Calibri"/>
          <w:color w:val="404040"/>
          <w:sz w:val="22"/>
          <w:szCs w:val="22"/>
          <w:shd w:val="clear" w:color="auto" w:fill="FFFFFF"/>
        </w:rPr>
        <w:t> </w:t>
      </w: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A884574"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u w:val="single"/>
          <w:shd w:val="clear" w:color="auto" w:fill="FFFFFF"/>
          <w:lang w:val="en-GB"/>
        </w:rPr>
        <w:t>Health worker densities by occupation</w:t>
      </w:r>
      <w:r>
        <w:rPr>
          <w:rStyle w:val="eop"/>
          <w:rFonts w:ascii="Calibri" w:hAnsi="Calibri" w:cs="Calibri"/>
          <w:b/>
          <w:bCs/>
          <w:color w:val="4A4A4A"/>
          <w:sz w:val="21"/>
          <w:szCs w:val="21"/>
        </w:rPr>
        <w:t> </w:t>
      </w:r>
    </w:p>
    <w:p w14:paraId="58DD5FB6"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Calibri" w:hAnsi="Calibri" w:cs="Calibri"/>
          <w:b/>
          <w:bCs/>
          <w:color w:val="4A4A4A"/>
          <w:sz w:val="21"/>
          <w:szCs w:val="21"/>
        </w:rPr>
        <w:t> </w:t>
      </w:r>
    </w:p>
    <w:p w14:paraId="3FADAA99"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Definition:</w:t>
      </w:r>
      <w:r>
        <w:rPr>
          <w:rStyle w:val="eop"/>
          <w:rFonts w:ascii="Calibri" w:hAnsi="Calibri" w:cs="Calibri"/>
          <w:b/>
          <w:bCs/>
          <w:color w:val="4A4A4A"/>
          <w:sz w:val="21"/>
          <w:szCs w:val="21"/>
        </w:rPr>
        <w:t> </w:t>
      </w:r>
    </w:p>
    <w:p w14:paraId="0476957D"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t>Density of medical doctors: </w:t>
      </w:r>
      <w:r>
        <w:rPr>
          <w:rStyle w:val="normaltextrun"/>
          <w:rFonts w:ascii="Calibri" w:hAnsi="Calibri" w:cs="Calibri"/>
          <w:color w:val="404040"/>
          <w:sz w:val="22"/>
          <w:szCs w:val="22"/>
          <w:lang w:val="en-GB"/>
        </w:rPr>
        <w:t>The density of medical doctors is defined as the number of medical doctors, including generalists and specialist medical practitioners per 10,000 population in the given national and/or subnational area. The International Standard Classification of Occupations (ISCO) unit group codes included in this category are 221, 2211 and 2212 of ISCO-08.</w:t>
      </w:r>
      <w:r>
        <w:rPr>
          <w:rStyle w:val="scxw250098576"/>
          <w:rFonts w:ascii="Calibri" w:hAnsi="Calibri" w:cs="Calibri"/>
          <w:color w:val="404040"/>
          <w:sz w:val="22"/>
          <w:szCs w:val="22"/>
        </w:rPr>
        <w:t> </w:t>
      </w:r>
      <w:r>
        <w:rPr>
          <w:rFonts w:ascii="Calibri" w:hAnsi="Calibri" w:cs="Calibri"/>
          <w:color w:val="404040"/>
          <w:sz w:val="22"/>
          <w:szCs w:val="22"/>
        </w:rPr>
        <w:br/>
      </w:r>
      <w:r>
        <w:rPr>
          <w:rStyle w:val="eop"/>
          <w:rFonts w:ascii="Calibri" w:hAnsi="Calibri" w:cs="Calibri"/>
          <w:color w:val="404040"/>
          <w:sz w:val="22"/>
          <w:szCs w:val="22"/>
        </w:rPr>
        <w:t> </w:t>
      </w:r>
    </w:p>
    <w:p w14:paraId="54519115"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t>Density of nursing and midwifery personnel</w:t>
      </w:r>
      <w:r>
        <w:rPr>
          <w:rStyle w:val="normaltextrun"/>
          <w:rFonts w:ascii="Calibri" w:hAnsi="Calibri" w:cs="Calibri"/>
          <w:color w:val="404040"/>
          <w:sz w:val="22"/>
          <w:szCs w:val="22"/>
          <w:lang w:val="en-GB"/>
        </w:rPr>
        <w:t>: The density of nursing and midwifery personnel is defined as the number of nursing and midwifery personnel per 10,000 population in the given national and/or subnational area. The ISCO-08 codes included in this category are 2221, 2222, 3221 and 3222.</w:t>
      </w:r>
      <w:r>
        <w:rPr>
          <w:rStyle w:val="scxw250098576"/>
          <w:rFonts w:ascii="Calibri" w:hAnsi="Calibri" w:cs="Calibri"/>
          <w:color w:val="404040"/>
          <w:sz w:val="22"/>
          <w:szCs w:val="22"/>
        </w:rPr>
        <w:t> </w:t>
      </w:r>
      <w:r>
        <w:rPr>
          <w:rFonts w:ascii="Calibri" w:hAnsi="Calibri" w:cs="Calibri"/>
          <w:color w:val="404040"/>
          <w:sz w:val="22"/>
          <w:szCs w:val="22"/>
        </w:rPr>
        <w:br/>
      </w:r>
      <w:r>
        <w:rPr>
          <w:rStyle w:val="eop"/>
          <w:rFonts w:ascii="Calibri" w:hAnsi="Calibri" w:cs="Calibri"/>
          <w:color w:val="404040"/>
          <w:sz w:val="22"/>
          <w:szCs w:val="22"/>
        </w:rPr>
        <w:t> </w:t>
      </w:r>
    </w:p>
    <w:p w14:paraId="5837C711"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lastRenderedPageBreak/>
        <w:t>Density of dentists</w:t>
      </w:r>
      <w:r>
        <w:rPr>
          <w:rStyle w:val="normaltextrun"/>
          <w:rFonts w:ascii="Calibri" w:hAnsi="Calibri" w:cs="Calibri"/>
          <w:color w:val="404040"/>
          <w:sz w:val="22"/>
          <w:szCs w:val="22"/>
          <w:lang w:val="en-GB"/>
        </w:rPr>
        <w:t>: The density of dentists is defined as the number of dentists per 10,000 population in the given national and/or subnational area. The ISCO-08 codes included in this category are 2261.</w:t>
      </w:r>
      <w:r>
        <w:rPr>
          <w:rStyle w:val="scxw250098576"/>
          <w:rFonts w:ascii="Calibri" w:hAnsi="Calibri" w:cs="Calibri"/>
          <w:color w:val="404040"/>
          <w:sz w:val="22"/>
          <w:szCs w:val="22"/>
        </w:rPr>
        <w:t> </w:t>
      </w:r>
      <w:r>
        <w:rPr>
          <w:rFonts w:ascii="Calibri" w:hAnsi="Calibri" w:cs="Calibri"/>
          <w:color w:val="404040"/>
          <w:sz w:val="22"/>
          <w:szCs w:val="22"/>
        </w:rPr>
        <w:br/>
      </w:r>
      <w:r>
        <w:rPr>
          <w:rStyle w:val="eop"/>
          <w:rFonts w:ascii="Calibri" w:hAnsi="Calibri" w:cs="Calibri"/>
          <w:color w:val="404040"/>
          <w:sz w:val="22"/>
          <w:szCs w:val="22"/>
        </w:rPr>
        <w:t> </w:t>
      </w:r>
    </w:p>
    <w:p w14:paraId="6EDCBB5A"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t>Density of pharmacists:</w:t>
      </w:r>
      <w:r>
        <w:rPr>
          <w:rStyle w:val="normaltextrun"/>
          <w:rFonts w:ascii="Calibri" w:hAnsi="Calibri" w:cs="Calibri"/>
          <w:color w:val="404040"/>
          <w:sz w:val="22"/>
          <w:szCs w:val="22"/>
          <w:lang w:val="en-GB"/>
        </w:rPr>
        <w:t> The density of pharmacists is defined as the number of pharmacists per 10,000 population in the given national and/or subnational area.  The ISCO-08 codes included in this category are 2262.</w:t>
      </w:r>
      <w:r>
        <w:rPr>
          <w:rStyle w:val="eop"/>
          <w:rFonts w:ascii="Calibri" w:hAnsi="Calibri" w:cs="Calibri"/>
          <w:color w:val="404040"/>
          <w:sz w:val="22"/>
          <w:szCs w:val="22"/>
        </w:rPr>
        <w:t> </w:t>
      </w:r>
    </w:p>
    <w:p w14:paraId="250C6648"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22"/>
          <w:szCs w:val="22"/>
        </w:rPr>
        <w:t> </w:t>
      </w:r>
    </w:p>
    <w:p w14:paraId="67BC91ED"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u w:val="single"/>
          <w:shd w:val="clear" w:color="auto" w:fill="FFFFFF"/>
          <w:lang w:val="en-GB"/>
        </w:rPr>
        <w:t>Health worker distribution by sex</w:t>
      </w:r>
      <w:r>
        <w:rPr>
          <w:rStyle w:val="eop"/>
          <w:rFonts w:ascii="Calibri" w:hAnsi="Calibri" w:cs="Calibri"/>
          <w:b/>
          <w:bCs/>
          <w:color w:val="4A4A4A"/>
          <w:sz w:val="21"/>
          <w:szCs w:val="21"/>
        </w:rPr>
        <w:t> </w:t>
      </w:r>
    </w:p>
    <w:p w14:paraId="48370CA9"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22"/>
          <w:szCs w:val="22"/>
        </w:rPr>
        <w:t> </w:t>
      </w:r>
    </w:p>
    <w:p w14:paraId="02ED87E4"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t>Percentage of male medical doctors</w:t>
      </w:r>
      <w:r>
        <w:rPr>
          <w:rStyle w:val="normaltextrun"/>
          <w:rFonts w:ascii="Calibri" w:hAnsi="Calibri" w:cs="Calibri"/>
          <w:color w:val="404040"/>
          <w:sz w:val="22"/>
          <w:szCs w:val="22"/>
          <w:lang w:val="en-GB"/>
        </w:rPr>
        <w:t>:</w:t>
      </w:r>
      <w:r>
        <w:rPr>
          <w:rStyle w:val="normaltextrun"/>
          <w:rFonts w:ascii="Calibri" w:hAnsi="Calibri" w:cs="Calibri"/>
          <w:b/>
          <w:bCs/>
          <w:color w:val="000000"/>
          <w:sz w:val="22"/>
          <w:szCs w:val="22"/>
        </w:rPr>
        <w:t> </w:t>
      </w:r>
      <w:r>
        <w:rPr>
          <w:rStyle w:val="normaltextrun"/>
          <w:rFonts w:ascii="Calibri" w:hAnsi="Calibri" w:cs="Calibri"/>
          <w:color w:val="404040"/>
          <w:sz w:val="22"/>
          <w:szCs w:val="22"/>
          <w:lang w:val="en-GB"/>
        </w:rPr>
        <w:t>Male doctors as percentage of all medical doctors at national level. The ISCO-08 codes included in this category are 221, 2211 and 2212.</w:t>
      </w:r>
      <w:r>
        <w:rPr>
          <w:rStyle w:val="eop"/>
          <w:rFonts w:ascii="Calibri" w:hAnsi="Calibri" w:cs="Calibri"/>
          <w:color w:val="404040"/>
          <w:sz w:val="22"/>
          <w:szCs w:val="22"/>
        </w:rPr>
        <w:t> </w:t>
      </w:r>
    </w:p>
    <w:p w14:paraId="6D82D6CB"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22"/>
          <w:szCs w:val="22"/>
        </w:rPr>
        <w:t> </w:t>
      </w:r>
    </w:p>
    <w:p w14:paraId="4F7726F4"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t>Percentage of female medical doctors</w:t>
      </w:r>
      <w:r>
        <w:rPr>
          <w:rStyle w:val="normaltextrun"/>
          <w:rFonts w:ascii="Calibri" w:hAnsi="Calibri" w:cs="Calibri"/>
          <w:color w:val="404040"/>
          <w:sz w:val="22"/>
          <w:szCs w:val="22"/>
          <w:lang w:val="en-GB"/>
        </w:rPr>
        <w:t>:</w:t>
      </w:r>
      <w:r>
        <w:rPr>
          <w:rStyle w:val="normaltextrun"/>
          <w:rFonts w:ascii="Calibri" w:hAnsi="Calibri" w:cs="Calibri"/>
          <w:b/>
          <w:bCs/>
          <w:color w:val="000000"/>
          <w:sz w:val="22"/>
          <w:szCs w:val="22"/>
        </w:rPr>
        <w:t> </w:t>
      </w:r>
      <w:r>
        <w:rPr>
          <w:rStyle w:val="normaltextrun"/>
          <w:rFonts w:ascii="Calibri" w:hAnsi="Calibri" w:cs="Calibri"/>
          <w:color w:val="404040"/>
          <w:sz w:val="22"/>
          <w:szCs w:val="22"/>
          <w:lang w:val="en-GB"/>
        </w:rPr>
        <w:t>Female doctors as percentage of all medical doctors at national level. The ISCO-08 codes included in this category are 221, 2211 and 2212.</w:t>
      </w:r>
      <w:r>
        <w:rPr>
          <w:rStyle w:val="eop"/>
          <w:rFonts w:ascii="Calibri" w:hAnsi="Calibri" w:cs="Calibri"/>
          <w:color w:val="404040"/>
          <w:sz w:val="22"/>
          <w:szCs w:val="22"/>
        </w:rPr>
        <w:t> </w:t>
      </w:r>
    </w:p>
    <w:p w14:paraId="291E3D20"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22"/>
          <w:szCs w:val="22"/>
        </w:rPr>
        <w:t> </w:t>
      </w:r>
    </w:p>
    <w:p w14:paraId="081BD057"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t>Percentage of male nursing personnel:</w:t>
      </w:r>
      <w:r>
        <w:rPr>
          <w:rStyle w:val="normaltextrun"/>
          <w:rFonts w:ascii="Calibri" w:hAnsi="Calibri" w:cs="Calibri"/>
          <w:color w:val="404040"/>
          <w:sz w:val="22"/>
          <w:szCs w:val="22"/>
          <w:lang w:val="en-GB"/>
        </w:rPr>
        <w:t> Male nursing personnel as percentage of all nursing personnel at national level. The ISCO-08 codes included in this category are 2221 and 3221.</w:t>
      </w:r>
      <w:r>
        <w:rPr>
          <w:rStyle w:val="eop"/>
          <w:rFonts w:ascii="Calibri" w:hAnsi="Calibri" w:cs="Calibri"/>
          <w:color w:val="404040"/>
          <w:sz w:val="22"/>
          <w:szCs w:val="22"/>
        </w:rPr>
        <w:t> </w:t>
      </w:r>
    </w:p>
    <w:p w14:paraId="2E1459AC"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04040"/>
          <w:sz w:val="22"/>
          <w:szCs w:val="22"/>
        </w:rPr>
        <w:t> </w:t>
      </w:r>
    </w:p>
    <w:p w14:paraId="5DC0DA93"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04040"/>
          <w:sz w:val="22"/>
          <w:szCs w:val="22"/>
          <w:lang w:val="en-GB"/>
        </w:rPr>
        <w:t>Percentage of female nursing personnel:</w:t>
      </w:r>
      <w:r>
        <w:rPr>
          <w:rStyle w:val="normaltextrun"/>
          <w:rFonts w:ascii="Calibri" w:hAnsi="Calibri" w:cs="Calibri"/>
          <w:color w:val="404040"/>
          <w:sz w:val="22"/>
          <w:szCs w:val="22"/>
          <w:lang w:val="en-GB"/>
        </w:rPr>
        <w:t> Female nursing personnel as percentage of all nursing personnel at national level. The ISCO-08 codes included in this category are 2221 and 3221.</w:t>
      </w:r>
      <w:r>
        <w:rPr>
          <w:rStyle w:val="eop"/>
          <w:rFonts w:ascii="Calibri" w:hAnsi="Calibri" w:cs="Calibri"/>
          <w:color w:val="404040"/>
          <w:sz w:val="22"/>
          <w:szCs w:val="22"/>
        </w:rPr>
        <w:t> </w:t>
      </w:r>
    </w:p>
    <w:p w14:paraId="153B09C3" w14:textId="77777777" w:rsidR="00D51E7C" w:rsidRPr="00A96255" w:rsidRDefault="00D51E7C" w:rsidP="005D5A56">
      <w:pPr>
        <w:pStyle w:val="paragraph"/>
        <w:spacing w:before="0" w:beforeAutospacing="0" w:after="0" w:afterAutospacing="0"/>
        <w:textAlignment w:val="baseline"/>
      </w:pPr>
      <w:bookmarkStart w:id="5" w:name="_GoBack"/>
      <w:bookmarkEnd w:id="5"/>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4F0E9C3B" w14:textId="1F9DA3FA" w:rsidR="00240B4F" w:rsidRDefault="00240B4F" w:rsidP="00240B4F">
      <w:pPr>
        <w:pStyle w:val="MText"/>
      </w:pPr>
      <w:r w:rsidRPr="00240B4F">
        <w:t>Health worker densities by occupation</w:t>
      </w:r>
      <w:r>
        <w:t>: Data is represented as Per 10,000 population</w:t>
      </w:r>
    </w:p>
    <w:p w14:paraId="32DCDCDB" w14:textId="1718F3DF" w:rsidR="00240B4F" w:rsidRPr="00A96255" w:rsidRDefault="00240B4F" w:rsidP="00240B4F">
      <w:pPr>
        <w:pStyle w:val="MText"/>
      </w:pPr>
      <w:r w:rsidRPr="00240B4F">
        <w:t>Health worker distribution by sex</w:t>
      </w:r>
      <w:r>
        <w:t>: Data is presented in 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2D806786" w14:textId="06440D79" w:rsidR="00240B4F" w:rsidRPr="00A96255" w:rsidRDefault="00240B4F" w:rsidP="00576CFA">
      <w:pPr>
        <w:pStyle w:val="MText"/>
      </w:pPr>
      <w:r>
        <w:t>International Standard Classification of Occupations (ISCO-08)</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018A8D8" w14:textId="0427FA04" w:rsidR="00EC2915" w:rsidRDefault="003C42C5" w:rsidP="00576CFA">
      <w:pPr>
        <w:pStyle w:val="MText"/>
        <w:rPr>
          <w:rStyle w:val="eop"/>
          <w:rFonts w:ascii="Calibri" w:hAnsi="Calibri" w:cs="Calibri"/>
          <w:color w:val="404040"/>
          <w:sz w:val="22"/>
          <w:szCs w:val="22"/>
          <w:shd w:val="clear" w:color="auto" w:fill="FFFFFF"/>
        </w:rPr>
      </w:pPr>
      <w:r>
        <w:rPr>
          <w:rStyle w:val="normaltextrun"/>
          <w:rFonts w:ascii="Calibri" w:hAnsi="Calibri" w:cs="Calibri"/>
          <w:color w:val="404040"/>
          <w:sz w:val="22"/>
          <w:szCs w:val="22"/>
          <w:shd w:val="clear" w:color="auto" w:fill="FFFFFF"/>
        </w:rPr>
        <w:t>In response to WHA69.19, an online National Health Workforce Accounts (NHWA) data platform was developed to facilitate national reporting. In addition to the reporting, the platform also serves as an analytical tool at the national/regional and global levels. Since Its launch in November 2017, Member States are called to use the NHWA data platform to report health workforce data. Complementing the national reporting through the NHWA data platform, additional sources such as the National Census, Labour Force Surveys and key administrative national and regional sources are also employed. Most of the data from administrative sources are derived from published national health sector reviews and/or official country reports to WHO offices. </w:t>
      </w:r>
    </w:p>
    <w:p w14:paraId="4DE06E8D" w14:textId="77777777" w:rsidR="00CE6F37" w:rsidRPr="00A96255" w:rsidRDefault="00CE6F37"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23CE8CE"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3.c. Data collection calendar</w:t>
      </w:r>
    </w:p>
    <w:p w14:paraId="01BA862E" w14:textId="34417432" w:rsidR="00EC2915" w:rsidRDefault="003C42C5" w:rsidP="00576CFA">
      <w:pPr>
        <w:pStyle w:val="MText"/>
        <w:rPr>
          <w:rFonts w:ascii="Calibri" w:hAnsi="Calibri" w:cs="Calibri"/>
          <w:color w:val="404040"/>
          <w:sz w:val="22"/>
          <w:szCs w:val="22"/>
          <w:shd w:val="clear" w:color="auto" w:fill="FFFFFF"/>
        </w:rPr>
      </w:pPr>
      <w:r>
        <w:rPr>
          <w:rFonts w:ascii="Calibri" w:hAnsi="Calibri" w:cs="Calibri"/>
          <w:color w:val="404040"/>
          <w:sz w:val="22"/>
          <w:szCs w:val="22"/>
          <w:shd w:val="clear" w:color="auto" w:fill="FFFFFF"/>
        </w:rPr>
        <w:t>Ongoing process</w:t>
      </w:r>
    </w:p>
    <w:p w14:paraId="4E137EED" w14:textId="77777777" w:rsidR="003C42C5" w:rsidRPr="00A96255" w:rsidRDefault="003C42C5" w:rsidP="00576CFA">
      <w:pPr>
        <w:pStyle w:val="MText"/>
      </w:pPr>
    </w:p>
    <w:p w14:paraId="7D466604" w14:textId="674844F0" w:rsidR="00E46D96" w:rsidRPr="00F719A8" w:rsidRDefault="00E46D96" w:rsidP="00F719A8">
      <w:pPr>
        <w:pStyle w:val="MHeader2"/>
      </w:pPr>
      <w:r w:rsidRPr="00A96255">
        <w:t>3.d. Data release calendar</w:t>
      </w:r>
    </w:p>
    <w:p w14:paraId="64C749BD" w14:textId="55BC1A86" w:rsidR="00EC2915" w:rsidRDefault="003C42C5" w:rsidP="00576CFA">
      <w:pPr>
        <w:pStyle w:val="MText"/>
        <w:rPr>
          <w:rStyle w:val="normaltextrun"/>
          <w:rFonts w:ascii="Calibri" w:hAnsi="Calibri" w:cs="Calibri"/>
          <w:color w:val="404040"/>
          <w:sz w:val="22"/>
          <w:szCs w:val="22"/>
          <w:shd w:val="clear" w:color="auto" w:fill="FFFFFF"/>
        </w:rPr>
      </w:pPr>
      <w:r>
        <w:rPr>
          <w:rStyle w:val="normaltextrun"/>
          <w:rFonts w:ascii="Calibri" w:hAnsi="Calibri" w:cs="Calibri"/>
          <w:color w:val="404040"/>
          <w:sz w:val="22"/>
          <w:szCs w:val="22"/>
          <w:shd w:val="clear" w:color="auto" w:fill="FFFFFF"/>
        </w:rPr>
        <w:t>First quarter of </w:t>
      </w:r>
      <w:r w:rsidR="00240B4F">
        <w:rPr>
          <w:rStyle w:val="normaltextrun"/>
          <w:rFonts w:ascii="Calibri" w:hAnsi="Calibri" w:cs="Calibri"/>
          <w:color w:val="404040"/>
          <w:sz w:val="22"/>
          <w:szCs w:val="22"/>
          <w:shd w:val="clear" w:color="auto" w:fill="FFFFFF"/>
        </w:rPr>
        <w:t>2021</w:t>
      </w:r>
    </w:p>
    <w:p w14:paraId="15CBFDAB" w14:textId="77777777" w:rsidR="003C42C5" w:rsidRPr="00A96255" w:rsidRDefault="003C42C5" w:rsidP="00576CFA">
      <w:pPr>
        <w:pStyle w:val="MText"/>
      </w:pPr>
    </w:p>
    <w:p w14:paraId="3A4F3065" w14:textId="3AD52F9D" w:rsidR="00E46D96" w:rsidRPr="00A96255" w:rsidRDefault="00E46D96" w:rsidP="00F719A8">
      <w:pPr>
        <w:pStyle w:val="MHeader2"/>
      </w:pPr>
      <w:r w:rsidRPr="00A96255">
        <w:t>3.e. Data providers</w:t>
      </w:r>
    </w:p>
    <w:p w14:paraId="50A66E64" w14:textId="2AE446E6" w:rsidR="00EC2915" w:rsidRDefault="003C42C5" w:rsidP="00576CFA">
      <w:pPr>
        <w:pStyle w:val="MText"/>
        <w:rPr>
          <w:rStyle w:val="eop"/>
          <w:rFonts w:ascii="Calibri" w:hAnsi="Calibri" w:cs="Calibri"/>
          <w:color w:val="404040"/>
          <w:sz w:val="22"/>
          <w:szCs w:val="22"/>
          <w:shd w:val="clear" w:color="auto" w:fill="FFFFFF"/>
        </w:rPr>
      </w:pPr>
      <w:r>
        <w:rPr>
          <w:rStyle w:val="normaltextrun"/>
          <w:rFonts w:ascii="Calibri" w:hAnsi="Calibri" w:cs="Calibri"/>
          <w:color w:val="404040"/>
          <w:sz w:val="22"/>
          <w:szCs w:val="22"/>
          <w:shd w:val="clear" w:color="auto" w:fill="FFFFFF"/>
        </w:rPr>
        <w:t> NHWA focal point at national level</w:t>
      </w:r>
      <w:r>
        <w:rPr>
          <w:rStyle w:val="eop"/>
          <w:rFonts w:ascii="Calibri" w:hAnsi="Calibri" w:cs="Calibri"/>
          <w:color w:val="404040"/>
          <w:sz w:val="22"/>
          <w:szCs w:val="22"/>
          <w:shd w:val="clear" w:color="auto" w:fill="FFFFFF"/>
        </w:rPr>
        <w:t> </w:t>
      </w:r>
    </w:p>
    <w:p w14:paraId="1280A266" w14:textId="77777777" w:rsidR="003C42C5" w:rsidRPr="00A96255" w:rsidRDefault="003C42C5" w:rsidP="00576CFA">
      <w:pPr>
        <w:pStyle w:val="MText"/>
      </w:pPr>
    </w:p>
    <w:p w14:paraId="30DC8E05" w14:textId="484D6EC2" w:rsidR="00E46D96" w:rsidRPr="00A96255" w:rsidRDefault="00E46D96" w:rsidP="00F719A8">
      <w:pPr>
        <w:pStyle w:val="MHeader2"/>
      </w:pPr>
      <w:r w:rsidRPr="00A96255">
        <w:t>3.f. Data compilers</w:t>
      </w:r>
    </w:p>
    <w:p w14:paraId="5C43435B" w14:textId="35FE0059" w:rsidR="00EC2915" w:rsidRDefault="003C42C5" w:rsidP="00576CFA">
      <w:pPr>
        <w:pStyle w:val="MText"/>
        <w:rPr>
          <w:rStyle w:val="eop"/>
          <w:rFonts w:ascii="Calibri" w:hAnsi="Calibri" w:cs="Calibri"/>
          <w:color w:val="404040"/>
          <w:sz w:val="22"/>
          <w:szCs w:val="22"/>
          <w:shd w:val="clear" w:color="auto" w:fill="FFFFFF"/>
        </w:rPr>
      </w:pPr>
      <w:r>
        <w:rPr>
          <w:rStyle w:val="normaltextrun"/>
          <w:rFonts w:ascii="Calibri" w:hAnsi="Calibri" w:cs="Calibri"/>
          <w:color w:val="404040"/>
          <w:sz w:val="22"/>
          <w:szCs w:val="22"/>
          <w:shd w:val="clear" w:color="auto" w:fill="FFFFFF"/>
        </w:rPr>
        <w:t>WHO</w:t>
      </w:r>
      <w:r>
        <w:rPr>
          <w:rStyle w:val="eop"/>
          <w:rFonts w:ascii="Calibri" w:hAnsi="Calibri" w:cs="Calibri"/>
          <w:color w:val="404040"/>
          <w:sz w:val="22"/>
          <w:szCs w:val="22"/>
          <w:shd w:val="clear" w:color="auto" w:fill="FFFFFF"/>
        </w:rPr>
        <w:t> </w:t>
      </w:r>
    </w:p>
    <w:p w14:paraId="6C60387C" w14:textId="77777777" w:rsidR="00CE6F37" w:rsidRPr="00A96255" w:rsidRDefault="00CE6F37" w:rsidP="00576CFA">
      <w:pPr>
        <w:pStyle w:val="MText"/>
      </w:pPr>
    </w:p>
    <w:p w14:paraId="5655E768" w14:textId="5429F32E" w:rsidR="00E46D96" w:rsidRPr="00A96255" w:rsidRDefault="00E46D96" w:rsidP="00F719A8">
      <w:pPr>
        <w:pStyle w:val="MHeader2"/>
      </w:pPr>
      <w:r w:rsidRPr="00A96255">
        <w:t>3.g. Institutional mandate</w:t>
      </w:r>
    </w:p>
    <w:p w14:paraId="26B863C3" w14:textId="55F8B550" w:rsidR="00576CFA" w:rsidRPr="00A96255" w:rsidRDefault="00240B4F" w:rsidP="00576CFA">
      <w:pPr>
        <w:pStyle w:val="MText"/>
      </w:pPr>
      <w:r>
        <w:rPr>
          <w:rStyle w:val="normaltextrun"/>
          <w:rFonts w:ascii="Calibri" w:hAnsi="Calibri" w:cs="Calibri"/>
          <w:color w:val="404040"/>
          <w:sz w:val="22"/>
          <w:szCs w:val="22"/>
          <w:shd w:val="clear" w:color="auto" w:fill="FFFFFF"/>
        </w:rPr>
        <w:t>WHA69.19 urges Member States to share a core set of data to WHO, to increase the evidence base on health workforce statistics globally.</w:t>
      </w:r>
    </w:p>
    <w:p w14:paraId="3D063F4C" w14:textId="4263EB4D"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0BC4632A" w:rsidR="00576CFA" w:rsidRPr="00A96255" w:rsidRDefault="00240B4F" w:rsidP="00576CFA">
      <w:pPr>
        <w:pStyle w:val="MText"/>
      </w:pPr>
      <w:r>
        <w:t>For detailed metadata and definitions, refer to the National Health Workforce Accounts (NHWA) Handbook (</w:t>
      </w:r>
      <w:hyperlink r:id="rId11" w:history="1">
        <w:r w:rsidRPr="00240B4F">
          <w:rPr>
            <w:rStyle w:val="Hyperlink"/>
          </w:rPr>
          <w:t>https://www.who.int/hrh/statistics/nhwa/en/</w:t>
        </w:r>
      </w:hyperlink>
      <w:r>
        <w:t xml:space="preserve">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197F664"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Data on health workers tend to be more complete for the public health sector and may underestimate the active workforce in the private, military, nongovernmental organization and faith-based health sectors. In many cases, information maintained at the national regulatory bodies and professional councils are not updated.</w:t>
      </w:r>
      <w:r>
        <w:rPr>
          <w:rStyle w:val="eop"/>
          <w:rFonts w:ascii="Calibri" w:hAnsi="Calibri" w:cs="Calibri"/>
          <w:color w:val="404040"/>
          <w:sz w:val="22"/>
          <w:szCs w:val="22"/>
        </w:rPr>
        <w:t> </w:t>
      </w:r>
    </w:p>
    <w:p w14:paraId="5DD41140"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 </w:t>
      </w:r>
      <w:r>
        <w:rPr>
          <w:rStyle w:val="eop"/>
          <w:rFonts w:ascii="Calibri" w:hAnsi="Calibri" w:cs="Calibri"/>
          <w:color w:val="404040"/>
          <w:sz w:val="22"/>
          <w:szCs w:val="22"/>
        </w:rPr>
        <w:t> </w:t>
      </w:r>
    </w:p>
    <w:p w14:paraId="2BA6A38F"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As data is not always published annually for each country, the latest available data has been used. Due to the differences in data sources, considerable variability remains across countries in the coverage, periodicity, quality and completeness of the original data. Densities are calculated using national population estimates from the United Nations Population Division's World Population Prospects database and may vary from densities produced by the country.</w:t>
      </w:r>
      <w:r>
        <w:rPr>
          <w:rStyle w:val="eop"/>
          <w:rFonts w:ascii="Calibri" w:hAnsi="Calibri" w:cs="Calibri"/>
          <w:color w:val="404040"/>
          <w:sz w:val="22"/>
          <w:szCs w:val="22"/>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689B7B6F"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u w:val="single"/>
          <w:shd w:val="clear" w:color="auto" w:fill="FFFFFF"/>
          <w:lang w:val="en-GB"/>
        </w:rPr>
        <w:t>Health worker densities by occupation</w:t>
      </w:r>
      <w:r>
        <w:rPr>
          <w:rStyle w:val="eop"/>
          <w:rFonts w:ascii="Calibri" w:hAnsi="Calibri" w:cs="Calibri"/>
          <w:b/>
          <w:bCs/>
          <w:color w:val="4A4A4A"/>
          <w:sz w:val="21"/>
          <w:szCs w:val="21"/>
        </w:rPr>
        <w:t> </w:t>
      </w:r>
    </w:p>
    <w:p w14:paraId="2FDB3BA6"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088C1F7B"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The figures for number of medical doctors (including generalist and specialist medical practitioners) depending on the nature of the original data source may include practising medical doctors only or all registered medical doctors.</w:t>
      </w:r>
      <w:r>
        <w:rPr>
          <w:rStyle w:val="eop"/>
          <w:rFonts w:ascii="Calibri" w:hAnsi="Calibri" w:cs="Calibri"/>
          <w:color w:val="404040"/>
          <w:sz w:val="22"/>
          <w:szCs w:val="22"/>
        </w:rPr>
        <w:t> </w:t>
      </w:r>
    </w:p>
    <w:p w14:paraId="02A072CD"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6060D007"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lastRenderedPageBreak/>
        <w:t>The figures for number of nursing and midwifery include nursing personnel and midwifery personnel, whenever available. In many countries, nurses trained with midwifery skills are counted and reported as nurses. This makes the distinction between nursing personnel and midwifery personnel difficult to draw.</w:t>
      </w:r>
      <w:r>
        <w:rPr>
          <w:rStyle w:val="eop"/>
          <w:rFonts w:ascii="Calibri" w:hAnsi="Calibri" w:cs="Calibri"/>
          <w:color w:val="404040"/>
          <w:sz w:val="22"/>
          <w:szCs w:val="22"/>
        </w:rPr>
        <w:t> </w:t>
      </w:r>
    </w:p>
    <w:p w14:paraId="7D19872A"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5763594E"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The figures for number of dentists include dentists in the given national and/or subnational area. Depending on the nature of the original data source may include practising (active) only or all registered in the health occupation. The ISCO -08 codes included here are 2261.</w:t>
      </w:r>
      <w:r>
        <w:rPr>
          <w:rStyle w:val="eop"/>
          <w:rFonts w:ascii="Calibri" w:hAnsi="Calibri" w:cs="Calibri"/>
          <w:color w:val="404040"/>
          <w:sz w:val="22"/>
          <w:szCs w:val="22"/>
        </w:rPr>
        <w:t> </w:t>
      </w:r>
    </w:p>
    <w:p w14:paraId="1965F9B4"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7829253C"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The figures for number of pharmacists include in the given national and/or subnational area. Depending on the nature of the original data source may include practising (active) only or all registered in the health occupation. The ISCO -08 codes that relate to this occupation is 2262.</w:t>
      </w:r>
      <w:r>
        <w:rPr>
          <w:rStyle w:val="eop"/>
          <w:rFonts w:ascii="Calibri" w:hAnsi="Calibri" w:cs="Calibri"/>
          <w:color w:val="404040"/>
          <w:sz w:val="22"/>
          <w:szCs w:val="22"/>
        </w:rPr>
        <w:t> </w:t>
      </w:r>
    </w:p>
    <w:p w14:paraId="5D866D80"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0923A756"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In general, the denominator data for workforce density (i.e. national population estimates) are obtained from the United Nations Population Division's World Population Prospects database. In cases where the official health workforce report provides density indicators instead of counts, estimates of the stock were then calculated using the population estimated from the United Nations Population Division's World population prospects database (2017). </w:t>
      </w:r>
      <w:r>
        <w:rPr>
          <w:rStyle w:val="eop"/>
          <w:rFonts w:ascii="Calibri" w:hAnsi="Calibri" w:cs="Calibri"/>
          <w:color w:val="404040"/>
          <w:sz w:val="22"/>
          <w:szCs w:val="22"/>
        </w:rPr>
        <w:t> </w:t>
      </w:r>
    </w:p>
    <w:p w14:paraId="37D74DEF"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59D58C6F"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u w:val="single"/>
          <w:shd w:val="clear" w:color="auto" w:fill="FFFFFF"/>
          <w:lang w:val="en-GB"/>
        </w:rPr>
        <w:t>Health worker distribution by sex</w:t>
      </w:r>
      <w:r>
        <w:rPr>
          <w:rStyle w:val="eop"/>
          <w:rFonts w:ascii="Calibri" w:hAnsi="Calibri" w:cs="Calibri"/>
          <w:b/>
          <w:bCs/>
          <w:color w:val="4A4A4A"/>
          <w:sz w:val="21"/>
          <w:szCs w:val="21"/>
        </w:rPr>
        <w:t> </w:t>
      </w:r>
    </w:p>
    <w:p w14:paraId="70796A85"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Arial" w:hAnsi="Arial" w:cs="Arial"/>
          <w:b/>
          <w:bCs/>
          <w:color w:val="404040"/>
          <w:sz w:val="22"/>
          <w:szCs w:val="22"/>
        </w:rPr>
        <w:t> </w:t>
      </w:r>
    </w:p>
    <w:p w14:paraId="7CF8553E"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color w:val="404040"/>
          <w:sz w:val="22"/>
          <w:szCs w:val="22"/>
          <w:shd w:val="clear" w:color="auto" w:fill="FFFFFF"/>
          <w:lang w:val="en-GB"/>
        </w:rPr>
        <w:t>The number of male medical doctors as reported by the country is expressed as a percentage of total male and female medical doctors reported by the country</w:t>
      </w:r>
      <w:r>
        <w:rPr>
          <w:rStyle w:val="eop"/>
          <w:rFonts w:ascii="Calibri" w:hAnsi="Calibri" w:cs="Calibri"/>
          <w:b/>
          <w:bCs/>
          <w:color w:val="404040"/>
          <w:sz w:val="22"/>
          <w:szCs w:val="22"/>
        </w:rPr>
        <w:t> </w:t>
      </w:r>
    </w:p>
    <w:p w14:paraId="5DEB1F23"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Arial" w:hAnsi="Arial" w:cs="Arial"/>
          <w:b/>
          <w:bCs/>
          <w:color w:val="404040"/>
          <w:sz w:val="22"/>
          <w:szCs w:val="22"/>
        </w:rPr>
        <w:t> </w:t>
      </w:r>
    </w:p>
    <w:p w14:paraId="2016660C"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color w:val="404040"/>
          <w:sz w:val="22"/>
          <w:szCs w:val="22"/>
          <w:shd w:val="clear" w:color="auto" w:fill="FFFFFF"/>
          <w:lang w:val="en-GB"/>
        </w:rPr>
        <w:t>The number of female medical doctors as reported by the country is expressed as a percentage of total male and female medical doctors reported by the country</w:t>
      </w:r>
      <w:r>
        <w:rPr>
          <w:rStyle w:val="eop"/>
          <w:rFonts w:ascii="Calibri" w:hAnsi="Calibri" w:cs="Calibri"/>
          <w:b/>
          <w:bCs/>
          <w:color w:val="404040"/>
          <w:sz w:val="22"/>
          <w:szCs w:val="22"/>
        </w:rPr>
        <w:t> </w:t>
      </w:r>
    </w:p>
    <w:p w14:paraId="16559628"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Arial" w:hAnsi="Arial" w:cs="Arial"/>
          <w:b/>
          <w:bCs/>
          <w:color w:val="404040"/>
          <w:sz w:val="22"/>
          <w:szCs w:val="22"/>
        </w:rPr>
        <w:t> </w:t>
      </w:r>
    </w:p>
    <w:p w14:paraId="6C6E2E0E"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color w:val="404040"/>
          <w:sz w:val="22"/>
          <w:szCs w:val="22"/>
          <w:shd w:val="clear" w:color="auto" w:fill="FFFFFF"/>
          <w:lang w:val="en-GB"/>
        </w:rPr>
        <w:t>The number of male nursing personnel as reported by the country is expressed as a percentage of total male and female nursing personnel reported by the country</w:t>
      </w:r>
      <w:r>
        <w:rPr>
          <w:rStyle w:val="eop"/>
          <w:rFonts w:ascii="Calibri" w:hAnsi="Calibri" w:cs="Calibri"/>
          <w:b/>
          <w:bCs/>
          <w:color w:val="404040"/>
          <w:sz w:val="22"/>
          <w:szCs w:val="22"/>
        </w:rPr>
        <w:t> </w:t>
      </w:r>
    </w:p>
    <w:p w14:paraId="59E9D1C2"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Arial" w:hAnsi="Arial" w:cs="Arial"/>
          <w:b/>
          <w:bCs/>
          <w:color w:val="404040"/>
          <w:sz w:val="22"/>
          <w:szCs w:val="22"/>
        </w:rPr>
        <w:t> </w:t>
      </w:r>
    </w:p>
    <w:p w14:paraId="7A20F749"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color w:val="404040"/>
          <w:sz w:val="22"/>
          <w:szCs w:val="22"/>
          <w:shd w:val="clear" w:color="auto" w:fill="FFFFFF"/>
          <w:lang w:val="en-GB"/>
        </w:rPr>
        <w:t>The number of female nursing personnel as reported by the country is expressed as a percentage of total male and female nursing personnel reported by the country</w:t>
      </w:r>
      <w:r>
        <w:rPr>
          <w:rStyle w:val="eop"/>
          <w:rFonts w:ascii="Calibri" w:hAnsi="Calibri" w:cs="Calibri"/>
          <w:b/>
          <w:bCs/>
          <w:color w:val="404040"/>
          <w:sz w:val="22"/>
          <w:szCs w:val="22"/>
        </w:rPr>
        <w:t> </w:t>
      </w:r>
    </w:p>
    <w:p w14:paraId="5DBB965E"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24C9BEFA" w:rsidR="00576CFA" w:rsidRPr="00A96255" w:rsidRDefault="00240B4F" w:rsidP="00576CFA">
      <w:pPr>
        <w:pStyle w:val="MText"/>
      </w:pPr>
      <w:r>
        <w:t>The data recorded in the NHWA data platform is validated by country focal points. Data quality checks and country consultation are employed</w:t>
      </w:r>
      <w:r w:rsidR="008F24DD">
        <w:t>.</w:t>
      </w:r>
    </w:p>
    <w:p w14:paraId="49CB8337" w14:textId="195BDE66" w:rsidR="00EC2915" w:rsidRDefault="00EC2915"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E5D43E3" w14:textId="77777777" w:rsidR="009A4299" w:rsidRDefault="009A4299" w:rsidP="00576CFA">
      <w:pPr>
        <w:pStyle w:val="MText"/>
        <w:rPr>
          <w:highlight w:val="yellow"/>
        </w:rPr>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8DCB865" w14:textId="77777777" w:rsidR="00D51E7C" w:rsidRPr="005D5A56" w:rsidRDefault="00D51E7C" w:rsidP="00D51E7C">
      <w:pPr>
        <w:pStyle w:val="MText"/>
      </w:pPr>
      <w:r w:rsidRPr="005D5A56">
        <w:t>•</w:t>
      </w:r>
      <w:r w:rsidRPr="005D5A56">
        <w:tab/>
        <w:t>At country level</w:t>
      </w:r>
    </w:p>
    <w:p w14:paraId="1B6182A5" w14:textId="54983DC5" w:rsidR="00D51E7C" w:rsidRPr="005D5A56" w:rsidRDefault="00D51E7C" w:rsidP="00D51E7C">
      <w:pPr>
        <w:pStyle w:val="MText"/>
      </w:pPr>
    </w:p>
    <w:p w14:paraId="06DDC253" w14:textId="77777777" w:rsidR="00D51E7C" w:rsidRDefault="00D51E7C" w:rsidP="00D51E7C">
      <w:pPr>
        <w:pStyle w:val="MText"/>
      </w:pPr>
      <w:r w:rsidRPr="005D5A56">
        <w:t>•</w:t>
      </w:r>
      <w:r w:rsidRPr="005D5A56">
        <w:tab/>
        <w:t>At regional and global levels</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4.g. Regional aggregations</w:t>
      </w:r>
    </w:p>
    <w:p w14:paraId="2A165769"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global average density was estimated as the population weighted average of the national densities.</w:t>
      </w:r>
      <w:r>
        <w:rPr>
          <w:rStyle w:val="eop"/>
          <w:rFonts w:ascii="Calibri" w:hAnsi="Calibri" w:cs="Calibri"/>
          <w:color w:val="4A4A4A"/>
          <w:sz w:val="21"/>
          <w:szCs w:val="21"/>
        </w:rPr>
        <w:t> </w:t>
      </w:r>
    </w:p>
    <w:p w14:paraId="3624316F" w14:textId="00CC8E3D" w:rsidR="003C42C5" w:rsidRDefault="003C42C5" w:rsidP="003C42C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regional average density, data for the countries with missing values</w:t>
      </w:r>
      <w:r w:rsidR="008F24DD">
        <w:rPr>
          <w:rStyle w:val="normaltextrun"/>
          <w:rFonts w:ascii="Calibri" w:hAnsi="Calibri" w:cs="Calibri"/>
          <w:color w:val="4A4A4A"/>
          <w:sz w:val="21"/>
          <w:szCs w:val="21"/>
          <w:lang w:val="en-GB"/>
        </w:rPr>
        <w:t>, if any</w:t>
      </w:r>
      <w:r>
        <w:rPr>
          <w:rStyle w:val="normaltextrun"/>
          <w:rFonts w:ascii="Calibri" w:hAnsi="Calibri" w:cs="Calibri"/>
          <w:color w:val="4A4A4A"/>
          <w:sz w:val="21"/>
          <w:szCs w:val="21"/>
          <w:lang w:val="en-GB"/>
        </w:rPr>
        <w:t xml:space="preserve"> in the </w:t>
      </w:r>
      <w:r w:rsidR="008F24DD">
        <w:rPr>
          <w:rStyle w:val="normaltextrun"/>
          <w:rFonts w:ascii="Calibri" w:hAnsi="Calibri" w:cs="Calibri"/>
          <w:color w:val="4A4A4A"/>
          <w:sz w:val="21"/>
          <w:szCs w:val="21"/>
          <w:lang w:val="en-GB"/>
        </w:rPr>
        <w:t xml:space="preserve">last 5 years </w:t>
      </w:r>
      <w:r>
        <w:rPr>
          <w:rStyle w:val="normaltextrun"/>
          <w:rFonts w:ascii="Calibri" w:hAnsi="Calibri" w:cs="Calibri"/>
          <w:color w:val="4A4A4A"/>
          <w:sz w:val="21"/>
          <w:szCs w:val="21"/>
          <w:lang w:val="en-GB"/>
        </w:rPr>
        <w:t>were first estimated with neighbouring comparable countries. Then the regional average was also computed as a weighted average by pooling these estimated values plus the available national densities.</w:t>
      </w:r>
      <w:r>
        <w:rPr>
          <w:rStyle w:val="eop"/>
          <w:rFonts w:ascii="Calibri" w:hAnsi="Calibri" w:cs="Calibri"/>
          <w:color w:val="4A4A4A"/>
          <w:sz w:val="21"/>
          <w:szCs w:val="21"/>
        </w:rPr>
        <w:t> </w:t>
      </w:r>
    </w:p>
    <w:p w14:paraId="25894472"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population for estimating densities at regional and global level were extracted from the UN Population Division 2017.</w:t>
      </w:r>
      <w:r>
        <w:rPr>
          <w:rStyle w:val="eop"/>
          <w:rFonts w:ascii="Calibri" w:hAnsi="Calibri" w:cs="Calibri"/>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232A6EE0" w:rsidR="00576CFA" w:rsidRPr="00A96255" w:rsidRDefault="008F24DD" w:rsidP="00576CFA">
      <w:pPr>
        <w:pStyle w:val="MText"/>
      </w:pPr>
      <w:r>
        <w:t>Countries are requested to refer to the National Health Workforce Accounts (NHWA) Handbook (</w:t>
      </w:r>
      <w:hyperlink r:id="rId12" w:history="1">
        <w:r w:rsidRPr="00240B4F">
          <w:rPr>
            <w:rStyle w:val="Hyperlink"/>
          </w:rPr>
          <w:t>https://www.who.int/hrh/statistics/nhwa/en/</w:t>
        </w:r>
      </w:hyperlink>
      <w:r>
        <w:t xml:space="preserve"> ), for guidance on indicators and methodology.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5D5A56" w:rsidRDefault="00D51E7C" w:rsidP="00576CFA">
      <w:pPr>
        <w:pStyle w:val="MText"/>
      </w:pPr>
      <w:r w:rsidRPr="005D5A56">
        <w:t>Data availability:</w:t>
      </w:r>
    </w:p>
    <w:p w14:paraId="2D0542F7" w14:textId="3DE6BFAB" w:rsidR="00D51E7C" w:rsidRPr="00C019E5" w:rsidRDefault="00D51E7C" w:rsidP="00576CFA">
      <w:pPr>
        <w:pStyle w:val="MText"/>
        <w:rPr>
          <w:highlight w:val="cyan"/>
        </w:rPr>
      </w:pPr>
    </w:p>
    <w:p w14:paraId="5853D6F7" w14:textId="6C55F574" w:rsidR="00D51E7C" w:rsidRPr="003C42C5" w:rsidRDefault="00D51E7C" w:rsidP="00576CFA">
      <w:pPr>
        <w:pStyle w:val="MText"/>
      </w:pPr>
      <w:r w:rsidRPr="003C42C5">
        <w:t>Time series:</w:t>
      </w:r>
    </w:p>
    <w:p w14:paraId="17C25F96"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normaltextrun"/>
          <w:rFonts w:ascii="Calibri" w:hAnsi="Calibri" w:cs="Calibri"/>
          <w:color w:val="404040"/>
          <w:sz w:val="22"/>
          <w:szCs w:val="22"/>
          <w:lang w:val="en-GB"/>
        </w:rPr>
        <w:t>Data available for 2000-2018.</w:t>
      </w:r>
      <w:r>
        <w:rPr>
          <w:rStyle w:val="eop"/>
          <w:rFonts w:ascii="Calibri" w:hAnsi="Calibri" w:cs="Calibri"/>
          <w:color w:val="404040"/>
          <w:sz w:val="22"/>
          <w:szCs w:val="22"/>
        </w:rPr>
        <w:t> </w:t>
      </w:r>
    </w:p>
    <w:p w14:paraId="16D9B970" w14:textId="77777777" w:rsidR="003C42C5" w:rsidRDefault="003C42C5" w:rsidP="003C42C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Web link to the database:  </w:t>
      </w:r>
      <w:hyperlink r:id="rId13" w:tgtFrame="_blank" w:history="1">
        <w:r>
          <w:rPr>
            <w:rStyle w:val="normaltextrun"/>
            <w:rFonts w:ascii="Calibri" w:hAnsi="Calibri" w:cs="Calibri"/>
            <w:color w:val="4040FF"/>
            <w:sz w:val="22"/>
            <w:szCs w:val="22"/>
            <w:u w:val="single"/>
            <w:lang w:val="en-GB"/>
          </w:rPr>
          <w:t>http://www.who.int/hrh/statistics/hwfstats/en/</w:t>
        </w:r>
      </w:hyperlink>
      <w:r>
        <w:rPr>
          <w:rStyle w:val="eop"/>
          <w:color w:val="4A4A4A"/>
          <w:sz w:val="21"/>
          <w:szCs w:val="21"/>
        </w:rPr>
        <w:t> </w:t>
      </w:r>
    </w:p>
    <w:p w14:paraId="38B6618C" w14:textId="77777777" w:rsidR="003C42C5" w:rsidRPr="00C019E5" w:rsidRDefault="003C42C5" w:rsidP="00576CFA">
      <w:pPr>
        <w:pStyle w:val="MText"/>
        <w:rPr>
          <w:highlight w:val="cyan"/>
        </w:rPr>
      </w:pPr>
    </w:p>
    <w:p w14:paraId="760C013A" w14:textId="4597FCBD" w:rsidR="00D51E7C" w:rsidRPr="00C019E5" w:rsidRDefault="00D51E7C" w:rsidP="00576CFA">
      <w:pPr>
        <w:pStyle w:val="MText"/>
        <w:rPr>
          <w:highlight w:val="cyan"/>
        </w:rPr>
      </w:pPr>
    </w:p>
    <w:p w14:paraId="72C7C370" w14:textId="2F12A835" w:rsidR="00D51E7C" w:rsidRDefault="00D51E7C" w:rsidP="00576CFA">
      <w:pPr>
        <w:pStyle w:val="MText"/>
      </w:pPr>
      <w:r w:rsidRPr="003C42C5">
        <w:t>Disaggregation:</w:t>
      </w:r>
    </w:p>
    <w:p w14:paraId="79CBD796" w14:textId="302DCADF" w:rsidR="003C42C5" w:rsidRDefault="003C42C5" w:rsidP="00576CFA">
      <w:pPr>
        <w:pStyle w:val="MText"/>
      </w:pPr>
      <w:r>
        <w:rPr>
          <w:rStyle w:val="normaltextrun"/>
          <w:rFonts w:ascii="Calibri" w:hAnsi="Calibri" w:cs="Calibri"/>
          <w:color w:val="404040"/>
          <w:sz w:val="22"/>
          <w:szCs w:val="22"/>
          <w:shd w:val="clear" w:color="auto" w:fill="FFFFFF"/>
        </w:rPr>
        <w:t>National level data</w:t>
      </w:r>
      <w:r>
        <w:rPr>
          <w:rStyle w:val="eop"/>
          <w:rFonts w:ascii="Calibri" w:hAnsi="Calibri" w:cs="Calibri"/>
          <w:color w:val="404040"/>
          <w:sz w:val="22"/>
          <w:szCs w:val="22"/>
          <w:shd w:val="clear" w:color="auto" w:fill="FFFFFF"/>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5D5A56">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466342D"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0"/>
          <w:szCs w:val="20"/>
          <w:lang w:val="en-GB"/>
        </w:rPr>
        <w:t>URL:</w:t>
      </w:r>
      <w:r>
        <w:rPr>
          <w:rStyle w:val="eop"/>
          <w:rFonts w:ascii="Calibri" w:hAnsi="Calibri" w:cs="Calibri"/>
          <w:color w:val="4A4A4A"/>
          <w:sz w:val="20"/>
          <w:szCs w:val="20"/>
        </w:rPr>
        <w:t> </w:t>
      </w:r>
    </w:p>
    <w:p w14:paraId="3FEC8614" w14:textId="77777777" w:rsidR="003C42C5" w:rsidRDefault="005D5A56" w:rsidP="003C42C5">
      <w:pPr>
        <w:pStyle w:val="paragraph"/>
        <w:spacing w:before="0" w:beforeAutospacing="0" w:after="0" w:afterAutospacing="0"/>
        <w:textAlignment w:val="baseline"/>
        <w:rPr>
          <w:rFonts w:ascii="Segoe UI" w:hAnsi="Segoe UI" w:cs="Segoe UI"/>
          <w:color w:val="404040"/>
          <w:sz w:val="18"/>
          <w:szCs w:val="18"/>
        </w:rPr>
      </w:pPr>
      <w:hyperlink r:id="rId14" w:tgtFrame="_blank" w:history="1">
        <w:r w:rsidR="003C42C5">
          <w:rPr>
            <w:rStyle w:val="normaltextrun"/>
            <w:rFonts w:ascii="Calibri" w:hAnsi="Calibri" w:cs="Calibri"/>
            <w:color w:val="4040FF"/>
            <w:sz w:val="21"/>
            <w:szCs w:val="21"/>
            <w:u w:val="single"/>
            <w:lang w:val="en-GB"/>
          </w:rPr>
          <w:t>http://www.who.int/hrh/statistics/hwfstats/en/</w:t>
        </w:r>
      </w:hyperlink>
      <w:r w:rsidR="003C42C5">
        <w:rPr>
          <w:rStyle w:val="normaltextrun"/>
          <w:rFonts w:ascii="Calibri" w:hAnsi="Calibri" w:cs="Calibri"/>
          <w:color w:val="4A4A4A"/>
          <w:sz w:val="22"/>
          <w:szCs w:val="22"/>
          <w:lang w:val="en-GB"/>
        </w:rPr>
        <w:t> </w:t>
      </w:r>
      <w:r w:rsidR="003C42C5">
        <w:rPr>
          <w:rStyle w:val="eop"/>
          <w:rFonts w:ascii="Calibri" w:hAnsi="Calibri" w:cs="Calibri"/>
          <w:color w:val="4A4A4A"/>
          <w:sz w:val="22"/>
          <w:szCs w:val="22"/>
        </w:rPr>
        <w:t> </w:t>
      </w:r>
    </w:p>
    <w:p w14:paraId="6FE07E09"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A4A4A"/>
          <w:sz w:val="20"/>
          <w:szCs w:val="20"/>
        </w:rPr>
        <w:t> </w:t>
      </w:r>
    </w:p>
    <w:p w14:paraId="12501822" w14:textId="77777777" w:rsidR="003C42C5" w:rsidRDefault="003C42C5" w:rsidP="003C42C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0"/>
          <w:szCs w:val="20"/>
          <w:lang w:val="en-GB"/>
        </w:rPr>
        <w:t>References:</w:t>
      </w:r>
      <w:r>
        <w:rPr>
          <w:rStyle w:val="eop"/>
          <w:rFonts w:ascii="Calibri" w:hAnsi="Calibri" w:cs="Calibri"/>
          <w:color w:val="4A4A4A"/>
          <w:sz w:val="20"/>
          <w:szCs w:val="20"/>
        </w:rPr>
        <w:t> </w:t>
      </w:r>
    </w:p>
    <w:p w14:paraId="25BA8361" w14:textId="77777777" w:rsidR="003C42C5" w:rsidRDefault="003C42C5" w:rsidP="003C42C5">
      <w:pPr>
        <w:pStyle w:val="paragraph"/>
        <w:numPr>
          <w:ilvl w:val="0"/>
          <w:numId w:val="5"/>
        </w:numPr>
        <w:spacing w:before="0" w:beforeAutospacing="0" w:after="0" w:afterAutospacing="0"/>
        <w:ind w:left="360" w:firstLine="0"/>
        <w:textAlignment w:val="baseline"/>
        <w:rPr>
          <w:rFonts w:ascii="Calibri" w:hAnsi="Calibri" w:cs="Calibri"/>
          <w:color w:val="404040"/>
          <w:sz w:val="22"/>
          <w:szCs w:val="22"/>
        </w:rPr>
      </w:pPr>
      <w:r>
        <w:rPr>
          <w:rStyle w:val="normaltextrun"/>
          <w:rFonts w:ascii="Calibri" w:hAnsi="Calibri" w:cs="Calibri"/>
          <w:color w:val="404040"/>
          <w:sz w:val="22"/>
          <w:szCs w:val="22"/>
          <w:lang w:val="en-GB"/>
        </w:rPr>
        <w:lastRenderedPageBreak/>
        <w:t>Sixty-ninth World Health Assembly Agenda Item 16.1. Global strategy on human resources for health: workforce 2030 (2016), available from (</w:t>
      </w:r>
      <w:hyperlink r:id="rId15" w:tgtFrame="_blank" w:history="1">
        <w:r>
          <w:rPr>
            <w:rStyle w:val="normaltextrun"/>
            <w:rFonts w:ascii="Calibri" w:hAnsi="Calibri" w:cs="Calibri"/>
            <w:color w:val="4040FF"/>
            <w:sz w:val="22"/>
            <w:szCs w:val="22"/>
            <w:u w:val="single"/>
            <w:lang w:val="en-GB"/>
          </w:rPr>
          <w:t>http://apps.who.int/gb/ebwha/pdf_files/WHA69/A69_R19-en.pdf</w:t>
        </w:r>
      </w:hyperlink>
      <w:r>
        <w:rPr>
          <w:rStyle w:val="normaltextrun"/>
          <w:rFonts w:ascii="Calibri" w:hAnsi="Calibri" w:cs="Calibri"/>
          <w:color w:val="404040"/>
          <w:sz w:val="22"/>
          <w:szCs w:val="22"/>
          <w:lang w:val="en-GB"/>
        </w:rPr>
        <w:t>)</w:t>
      </w:r>
      <w:r>
        <w:rPr>
          <w:rStyle w:val="eop"/>
          <w:rFonts w:ascii="Calibri" w:hAnsi="Calibri" w:cs="Calibri"/>
          <w:color w:val="404040"/>
          <w:sz w:val="22"/>
          <w:szCs w:val="22"/>
        </w:rPr>
        <w:t> </w:t>
      </w:r>
    </w:p>
    <w:p w14:paraId="7F4EEE76" w14:textId="77777777" w:rsidR="003C42C5" w:rsidRDefault="003C42C5" w:rsidP="003C42C5">
      <w:pPr>
        <w:pStyle w:val="paragraph"/>
        <w:numPr>
          <w:ilvl w:val="0"/>
          <w:numId w:val="6"/>
        </w:numPr>
        <w:spacing w:before="0" w:beforeAutospacing="0" w:after="0" w:afterAutospacing="0"/>
        <w:ind w:left="360" w:firstLine="0"/>
        <w:textAlignment w:val="baseline"/>
        <w:rPr>
          <w:rFonts w:ascii="Calibri" w:hAnsi="Calibri" w:cs="Calibri"/>
          <w:color w:val="404040"/>
          <w:sz w:val="22"/>
          <w:szCs w:val="22"/>
        </w:rPr>
      </w:pPr>
      <w:r>
        <w:rPr>
          <w:rStyle w:val="normaltextrun"/>
          <w:rFonts w:ascii="Calibri" w:hAnsi="Calibri" w:cs="Calibri"/>
          <w:color w:val="404040"/>
          <w:sz w:val="22"/>
          <w:szCs w:val="22"/>
          <w:lang w:val="en-GB"/>
        </w:rPr>
        <w:t>WHO (2014). Global strategy on human resources for health: Workforce 2030 (</w:t>
      </w:r>
      <w:hyperlink r:id="rId16" w:tgtFrame="_blank" w:history="1">
        <w:r>
          <w:rPr>
            <w:rStyle w:val="normaltextrun"/>
            <w:rFonts w:ascii="Calibri" w:hAnsi="Calibri" w:cs="Calibri"/>
            <w:color w:val="4040FF"/>
            <w:sz w:val="22"/>
            <w:szCs w:val="22"/>
            <w:u w:val="single"/>
            <w:lang w:val="en-GB"/>
          </w:rPr>
          <w:t>http://who.int/hrh/resources/pub_globstrathrh-2030/en/</w:t>
        </w:r>
      </w:hyperlink>
      <w:r>
        <w:rPr>
          <w:rStyle w:val="normaltextrun"/>
          <w:rFonts w:ascii="Calibri" w:hAnsi="Calibri" w:cs="Calibri"/>
          <w:color w:val="404040"/>
          <w:sz w:val="22"/>
          <w:szCs w:val="22"/>
          <w:lang w:val="en-GB"/>
        </w:rPr>
        <w:t>)   </w:t>
      </w:r>
      <w:r>
        <w:rPr>
          <w:rStyle w:val="eop"/>
          <w:rFonts w:ascii="Calibri" w:hAnsi="Calibri" w:cs="Calibri"/>
          <w:color w:val="404040"/>
          <w:sz w:val="22"/>
          <w:szCs w:val="22"/>
        </w:rPr>
        <w:t> </w:t>
      </w:r>
    </w:p>
    <w:p w14:paraId="121F16FC" w14:textId="77777777" w:rsidR="003C42C5" w:rsidRDefault="003C42C5" w:rsidP="003C42C5">
      <w:pPr>
        <w:pStyle w:val="paragraph"/>
        <w:numPr>
          <w:ilvl w:val="0"/>
          <w:numId w:val="6"/>
        </w:numPr>
        <w:spacing w:before="0" w:beforeAutospacing="0" w:after="0" w:afterAutospacing="0"/>
        <w:ind w:left="360" w:firstLine="0"/>
        <w:textAlignment w:val="baseline"/>
        <w:rPr>
          <w:rFonts w:ascii="Calibri" w:hAnsi="Calibri" w:cs="Calibri"/>
          <w:color w:val="404040"/>
          <w:sz w:val="22"/>
          <w:szCs w:val="22"/>
        </w:rPr>
      </w:pPr>
      <w:r>
        <w:rPr>
          <w:rStyle w:val="normaltextrun"/>
          <w:rFonts w:ascii="Calibri" w:hAnsi="Calibri" w:cs="Calibri"/>
          <w:color w:val="404040"/>
          <w:sz w:val="22"/>
          <w:szCs w:val="22"/>
          <w:lang w:val="en-GB"/>
        </w:rPr>
        <w:t>"WHO Global Health Workforce Statistics." World Health Organization, n.d. Web. Feb. 2018. (</w:t>
      </w:r>
      <w:hyperlink r:id="rId17" w:tgtFrame="_blank" w:history="1">
        <w:r>
          <w:rPr>
            <w:rStyle w:val="normaltextrun"/>
            <w:rFonts w:ascii="Calibri" w:hAnsi="Calibri" w:cs="Calibri"/>
            <w:color w:val="4040FF"/>
            <w:sz w:val="22"/>
            <w:szCs w:val="22"/>
            <w:u w:val="single"/>
            <w:lang w:val="en-GB"/>
          </w:rPr>
          <w:t>http://www.who.int/hrh/statistics/hwfstats/en/</w:t>
        </w:r>
      </w:hyperlink>
      <w:r>
        <w:rPr>
          <w:rStyle w:val="normaltextrun"/>
          <w:rFonts w:ascii="Calibri" w:hAnsi="Calibri" w:cs="Calibri"/>
          <w:color w:val="404040"/>
          <w:sz w:val="22"/>
          <w:szCs w:val="22"/>
          <w:lang w:val="en-GB"/>
        </w:rPr>
        <w:t>)</w:t>
      </w:r>
      <w:r>
        <w:rPr>
          <w:rStyle w:val="eop"/>
          <w:rFonts w:ascii="Calibri" w:hAnsi="Calibri" w:cs="Calibri"/>
          <w:color w:val="404040"/>
          <w:sz w:val="22"/>
          <w:szCs w:val="22"/>
        </w:rPr>
        <w:t> </w:t>
      </w:r>
    </w:p>
    <w:p w14:paraId="4DC18D99" w14:textId="77777777" w:rsidR="003C42C5" w:rsidRDefault="003C42C5" w:rsidP="003C42C5">
      <w:pPr>
        <w:pStyle w:val="paragraph"/>
        <w:numPr>
          <w:ilvl w:val="0"/>
          <w:numId w:val="6"/>
        </w:numPr>
        <w:spacing w:before="0" w:beforeAutospacing="0" w:after="0" w:afterAutospacing="0"/>
        <w:ind w:left="360" w:firstLine="0"/>
        <w:textAlignment w:val="baseline"/>
        <w:rPr>
          <w:rFonts w:ascii="Calibri" w:hAnsi="Calibri" w:cs="Calibri"/>
          <w:color w:val="404040"/>
          <w:sz w:val="22"/>
          <w:szCs w:val="22"/>
        </w:rPr>
      </w:pPr>
      <w:r>
        <w:rPr>
          <w:rStyle w:val="normaltextrun"/>
          <w:rFonts w:ascii="Calibri" w:hAnsi="Calibri" w:cs="Calibri"/>
          <w:color w:val="404040"/>
          <w:sz w:val="22"/>
          <w:szCs w:val="22"/>
          <w:lang w:val="en-GB"/>
        </w:rPr>
        <w:t>"WHO Global Health Workforce Statistics." World Health Organization, n.d. Web. Feb. 2018. (</w:t>
      </w:r>
      <w:hyperlink r:id="rId18" w:tgtFrame="_blank" w:history="1">
        <w:r>
          <w:rPr>
            <w:rStyle w:val="normaltextrun"/>
            <w:rFonts w:ascii="Calibri" w:hAnsi="Calibri" w:cs="Calibri"/>
            <w:color w:val="4040FF"/>
            <w:sz w:val="22"/>
            <w:szCs w:val="22"/>
            <w:u w:val="single"/>
            <w:lang w:val="en-GB"/>
          </w:rPr>
          <w:t>http://apps.who.int/gho/data/node.main.A1444?lang=en&amp;showonly=HWF</w:t>
        </w:r>
      </w:hyperlink>
      <w:r>
        <w:rPr>
          <w:rStyle w:val="normaltextrun"/>
          <w:rFonts w:ascii="Calibri" w:hAnsi="Calibri" w:cs="Calibri"/>
          <w:color w:val="404040"/>
          <w:sz w:val="22"/>
          <w:szCs w:val="22"/>
          <w:lang w:val="en-GB"/>
        </w:rPr>
        <w:t>)</w:t>
      </w:r>
      <w:r>
        <w:rPr>
          <w:rStyle w:val="eop"/>
          <w:rFonts w:ascii="Calibri" w:hAnsi="Calibri" w:cs="Calibri"/>
          <w:color w:val="404040"/>
          <w:sz w:val="22"/>
          <w:szCs w:val="22"/>
        </w:rPr>
        <w:t> </w:t>
      </w:r>
    </w:p>
    <w:p w14:paraId="15620E70" w14:textId="77777777" w:rsidR="003C42C5" w:rsidRDefault="003C42C5" w:rsidP="003C42C5">
      <w:pPr>
        <w:pStyle w:val="paragraph"/>
        <w:numPr>
          <w:ilvl w:val="0"/>
          <w:numId w:val="6"/>
        </w:numPr>
        <w:spacing w:before="0" w:beforeAutospacing="0" w:after="0" w:afterAutospacing="0"/>
        <w:ind w:left="360" w:firstLine="0"/>
        <w:textAlignment w:val="baseline"/>
        <w:rPr>
          <w:rFonts w:ascii="Calibri" w:hAnsi="Calibri" w:cs="Calibri"/>
          <w:color w:val="404040"/>
          <w:sz w:val="22"/>
          <w:szCs w:val="22"/>
        </w:rPr>
      </w:pPr>
      <w:r>
        <w:rPr>
          <w:rStyle w:val="normaltextrun"/>
          <w:rFonts w:ascii="Calibri" w:hAnsi="Calibri" w:cs="Calibri"/>
          <w:color w:val="404040"/>
          <w:sz w:val="22"/>
          <w:szCs w:val="22"/>
          <w:lang w:val="en-GB"/>
        </w:rPr>
        <w:t>WHO, National Health Workforce Accounts: A Handbook, n.d. Wed. Feb. 2018. (</w:t>
      </w:r>
      <w:hyperlink r:id="rId19" w:tgtFrame="_blank" w:history="1">
        <w:r>
          <w:rPr>
            <w:rStyle w:val="normaltextrun"/>
            <w:rFonts w:ascii="Calibri" w:hAnsi="Calibri" w:cs="Calibri"/>
            <w:color w:val="4040FF"/>
            <w:sz w:val="22"/>
            <w:szCs w:val="22"/>
            <w:u w:val="single"/>
            <w:lang w:val="en-GB"/>
          </w:rPr>
          <w:t>http://www.who.int/hrh/statistics/nhwa/en/</w:t>
        </w:r>
      </w:hyperlink>
      <w:r>
        <w:rPr>
          <w:rStyle w:val="normaltextrun"/>
          <w:rFonts w:ascii="Calibri" w:hAnsi="Calibri" w:cs="Calibri"/>
          <w:color w:val="404040"/>
          <w:sz w:val="22"/>
          <w:szCs w:val="22"/>
          <w:lang w:val="en-GB"/>
        </w:rPr>
        <w:t>) </w:t>
      </w:r>
      <w:r>
        <w:rPr>
          <w:rStyle w:val="eop"/>
          <w:rFonts w:ascii="Calibri" w:hAnsi="Calibri" w:cs="Calibri"/>
          <w:color w:val="404040"/>
          <w:sz w:val="22"/>
          <w:szCs w:val="22"/>
        </w:rPr>
        <w:t> </w:t>
      </w:r>
    </w:p>
    <w:p w14:paraId="6DD088B8" w14:textId="77777777" w:rsidR="003C42C5" w:rsidRDefault="003C42C5" w:rsidP="003C42C5">
      <w:pPr>
        <w:pStyle w:val="paragraph"/>
        <w:numPr>
          <w:ilvl w:val="0"/>
          <w:numId w:val="6"/>
        </w:numPr>
        <w:spacing w:before="0" w:beforeAutospacing="0" w:after="0" w:afterAutospacing="0"/>
        <w:ind w:left="360" w:firstLine="0"/>
        <w:textAlignment w:val="baseline"/>
        <w:rPr>
          <w:rFonts w:ascii="Calibri" w:hAnsi="Calibri" w:cs="Calibri"/>
          <w:color w:val="404040"/>
          <w:sz w:val="22"/>
          <w:szCs w:val="22"/>
        </w:rPr>
      </w:pPr>
      <w:r>
        <w:rPr>
          <w:rStyle w:val="normaltextrun"/>
          <w:rFonts w:ascii="Calibri" w:hAnsi="Calibri" w:cs="Calibri"/>
          <w:color w:val="404040"/>
          <w:sz w:val="22"/>
          <w:szCs w:val="22"/>
          <w:lang w:val="en-GB"/>
        </w:rPr>
        <w:t>WHO 13</w:t>
      </w:r>
      <w:r>
        <w:rPr>
          <w:rStyle w:val="normaltextrun"/>
          <w:rFonts w:ascii="Calibri" w:hAnsi="Calibri" w:cs="Calibri"/>
          <w:color w:val="404040"/>
          <w:sz w:val="17"/>
          <w:szCs w:val="17"/>
          <w:vertAlign w:val="superscript"/>
          <w:lang w:val="en-GB"/>
        </w:rPr>
        <w:t>th</w:t>
      </w:r>
      <w:r>
        <w:rPr>
          <w:rStyle w:val="normaltextrun"/>
          <w:rFonts w:ascii="Calibri" w:hAnsi="Calibri" w:cs="Calibri"/>
          <w:color w:val="404040"/>
          <w:sz w:val="22"/>
          <w:szCs w:val="22"/>
          <w:lang w:val="en-GB"/>
        </w:rPr>
        <w:t> Global Programme of Work (https://www.who.int/about/what-we-do/gpw-thirteen-consultation/en/)</w:t>
      </w:r>
      <w:r>
        <w:rPr>
          <w:rStyle w:val="eop"/>
          <w:rFonts w:ascii="Calibri" w:hAnsi="Calibri" w:cs="Calibri"/>
          <w:color w:val="404040"/>
          <w:sz w:val="22"/>
          <w:szCs w:val="22"/>
        </w:rPr>
        <w:t> </w:t>
      </w:r>
    </w:p>
    <w:p w14:paraId="7419F739" w14:textId="77777777" w:rsidR="003C42C5" w:rsidRDefault="003C42C5" w:rsidP="003C42C5">
      <w:pPr>
        <w:pStyle w:val="paragraph"/>
        <w:spacing w:before="0" w:beforeAutospacing="0" w:after="0" w:afterAutospacing="0"/>
        <w:textAlignment w:val="baseline"/>
        <w:rPr>
          <w:rFonts w:ascii="Segoe UI" w:hAnsi="Segoe UI" w:cs="Segoe UI"/>
          <w:color w:val="404040"/>
          <w:sz w:val="18"/>
          <w:szCs w:val="18"/>
        </w:rPr>
      </w:pPr>
      <w:r>
        <w:rPr>
          <w:rStyle w:val="eop"/>
          <w:rFonts w:ascii="Calibri" w:hAnsi="Calibri" w:cs="Calibri"/>
          <w:color w:val="404040"/>
          <w:sz w:val="22"/>
          <w:szCs w:val="22"/>
        </w:rPr>
        <w:t> </w:t>
      </w:r>
    </w:p>
    <w:p w14:paraId="384B0992" w14:textId="36889691" w:rsidR="00186795" w:rsidRDefault="00186795"/>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A79C1" w14:textId="77777777" w:rsidR="00795058" w:rsidRDefault="00795058" w:rsidP="00573C0B">
      <w:pPr>
        <w:spacing w:after="0" w:line="240" w:lineRule="auto"/>
      </w:pPr>
      <w:r>
        <w:separator/>
      </w:r>
    </w:p>
  </w:endnote>
  <w:endnote w:type="continuationSeparator" w:id="0">
    <w:p w14:paraId="3F6971EF" w14:textId="77777777" w:rsidR="00795058" w:rsidRDefault="00795058" w:rsidP="00573C0B">
      <w:pPr>
        <w:spacing w:after="0" w:line="240" w:lineRule="auto"/>
      </w:pPr>
      <w:r>
        <w:continuationSeparator/>
      </w:r>
    </w:p>
  </w:endnote>
  <w:endnote w:type="continuationNotice" w:id="1">
    <w:p w14:paraId="2463DC29" w14:textId="77777777" w:rsidR="00795058" w:rsidRDefault="007950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41A77" w14:textId="77777777" w:rsidR="00795058" w:rsidRDefault="00795058" w:rsidP="00573C0B">
      <w:pPr>
        <w:spacing w:after="0" w:line="240" w:lineRule="auto"/>
      </w:pPr>
      <w:r>
        <w:separator/>
      </w:r>
    </w:p>
  </w:footnote>
  <w:footnote w:type="continuationSeparator" w:id="0">
    <w:p w14:paraId="15FF1B99" w14:textId="77777777" w:rsidR="00795058" w:rsidRDefault="00795058" w:rsidP="00573C0B">
      <w:pPr>
        <w:spacing w:after="0" w:line="240" w:lineRule="auto"/>
      </w:pPr>
      <w:r>
        <w:continuationSeparator/>
      </w:r>
    </w:p>
  </w:footnote>
  <w:footnote w:type="continuationNotice" w:id="1">
    <w:p w14:paraId="01920797" w14:textId="77777777" w:rsidR="00795058" w:rsidRDefault="007950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F9A4406"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A4299">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301B1"/>
    <w:multiLevelType w:val="multilevel"/>
    <w:tmpl w:val="22A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658A0"/>
    <w:multiLevelType w:val="multilevel"/>
    <w:tmpl w:val="9AE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40B4F"/>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C42C5"/>
    <w:rsid w:val="003F0BD3"/>
    <w:rsid w:val="003F278A"/>
    <w:rsid w:val="003F7A02"/>
    <w:rsid w:val="00422EA5"/>
    <w:rsid w:val="00422EFA"/>
    <w:rsid w:val="0042791F"/>
    <w:rsid w:val="004456ED"/>
    <w:rsid w:val="0048045A"/>
    <w:rsid w:val="004841B8"/>
    <w:rsid w:val="004930F2"/>
    <w:rsid w:val="004A6B66"/>
    <w:rsid w:val="004B0F1C"/>
    <w:rsid w:val="004F2EE6"/>
    <w:rsid w:val="00502DBA"/>
    <w:rsid w:val="005040C4"/>
    <w:rsid w:val="00507637"/>
    <w:rsid w:val="00507852"/>
    <w:rsid w:val="00514DBF"/>
    <w:rsid w:val="00550921"/>
    <w:rsid w:val="00563712"/>
    <w:rsid w:val="0056716E"/>
    <w:rsid w:val="00573631"/>
    <w:rsid w:val="00573C0B"/>
    <w:rsid w:val="005768D7"/>
    <w:rsid w:val="00576CFA"/>
    <w:rsid w:val="0058556D"/>
    <w:rsid w:val="00592AF2"/>
    <w:rsid w:val="005947AD"/>
    <w:rsid w:val="00597748"/>
    <w:rsid w:val="005979E8"/>
    <w:rsid w:val="005D0AF4"/>
    <w:rsid w:val="005D5A56"/>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95058"/>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8F24DD"/>
    <w:rsid w:val="00917851"/>
    <w:rsid w:val="00917F65"/>
    <w:rsid w:val="009311E7"/>
    <w:rsid w:val="00942694"/>
    <w:rsid w:val="009A4299"/>
    <w:rsid w:val="009A7E3A"/>
    <w:rsid w:val="009B1265"/>
    <w:rsid w:val="009B4A15"/>
    <w:rsid w:val="009B5693"/>
    <w:rsid w:val="009C61A2"/>
    <w:rsid w:val="009C78E4"/>
    <w:rsid w:val="009D687E"/>
    <w:rsid w:val="009F1004"/>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15017"/>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CE6F37"/>
    <w:rsid w:val="00D24330"/>
    <w:rsid w:val="00D40056"/>
    <w:rsid w:val="00D51E7C"/>
    <w:rsid w:val="00D54F29"/>
    <w:rsid w:val="00D7020C"/>
    <w:rsid w:val="00D70AD9"/>
    <w:rsid w:val="00D72152"/>
    <w:rsid w:val="00D94BA5"/>
    <w:rsid w:val="00D9510F"/>
    <w:rsid w:val="00DA615C"/>
    <w:rsid w:val="00DB5771"/>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3C42C5"/>
  </w:style>
  <w:style w:type="character" w:customStyle="1" w:styleId="eop">
    <w:name w:val="eop"/>
    <w:basedOn w:val="DefaultParagraphFont"/>
    <w:rsid w:val="003C42C5"/>
  </w:style>
  <w:style w:type="paragraph" w:customStyle="1" w:styleId="paragraph">
    <w:name w:val="paragraph"/>
    <w:basedOn w:val="Normal"/>
    <w:rsid w:val="003C42C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cxw250098576">
    <w:name w:val="scxw250098576"/>
    <w:basedOn w:val="DefaultParagraphFont"/>
    <w:rsid w:val="003C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2584">
      <w:bodyDiv w:val="1"/>
      <w:marLeft w:val="0"/>
      <w:marRight w:val="0"/>
      <w:marTop w:val="0"/>
      <w:marBottom w:val="0"/>
      <w:divBdr>
        <w:top w:val="none" w:sz="0" w:space="0" w:color="auto"/>
        <w:left w:val="none" w:sz="0" w:space="0" w:color="auto"/>
        <w:bottom w:val="none" w:sz="0" w:space="0" w:color="auto"/>
        <w:right w:val="none" w:sz="0" w:space="0" w:color="auto"/>
      </w:divBdr>
      <w:divsChild>
        <w:div w:id="765929268">
          <w:marLeft w:val="0"/>
          <w:marRight w:val="0"/>
          <w:marTop w:val="0"/>
          <w:marBottom w:val="0"/>
          <w:divBdr>
            <w:top w:val="none" w:sz="0" w:space="0" w:color="auto"/>
            <w:left w:val="none" w:sz="0" w:space="0" w:color="auto"/>
            <w:bottom w:val="none" w:sz="0" w:space="0" w:color="auto"/>
            <w:right w:val="none" w:sz="0" w:space="0" w:color="auto"/>
          </w:divBdr>
        </w:div>
        <w:div w:id="310594735">
          <w:marLeft w:val="0"/>
          <w:marRight w:val="0"/>
          <w:marTop w:val="0"/>
          <w:marBottom w:val="0"/>
          <w:divBdr>
            <w:top w:val="none" w:sz="0" w:space="0" w:color="auto"/>
            <w:left w:val="none" w:sz="0" w:space="0" w:color="auto"/>
            <w:bottom w:val="none" w:sz="0" w:space="0" w:color="auto"/>
            <w:right w:val="none" w:sz="0" w:space="0" w:color="auto"/>
          </w:divBdr>
        </w:div>
        <w:div w:id="2124885845">
          <w:marLeft w:val="0"/>
          <w:marRight w:val="0"/>
          <w:marTop w:val="0"/>
          <w:marBottom w:val="0"/>
          <w:divBdr>
            <w:top w:val="none" w:sz="0" w:space="0" w:color="auto"/>
            <w:left w:val="none" w:sz="0" w:space="0" w:color="auto"/>
            <w:bottom w:val="none" w:sz="0" w:space="0" w:color="auto"/>
            <w:right w:val="none" w:sz="0" w:space="0" w:color="auto"/>
          </w:divBdr>
        </w:div>
        <w:div w:id="1772512110">
          <w:marLeft w:val="0"/>
          <w:marRight w:val="0"/>
          <w:marTop w:val="0"/>
          <w:marBottom w:val="0"/>
          <w:divBdr>
            <w:top w:val="none" w:sz="0" w:space="0" w:color="auto"/>
            <w:left w:val="none" w:sz="0" w:space="0" w:color="auto"/>
            <w:bottom w:val="none" w:sz="0" w:space="0" w:color="auto"/>
            <w:right w:val="none" w:sz="0" w:space="0" w:color="auto"/>
          </w:divBdr>
        </w:div>
        <w:div w:id="216819421">
          <w:marLeft w:val="0"/>
          <w:marRight w:val="0"/>
          <w:marTop w:val="0"/>
          <w:marBottom w:val="0"/>
          <w:divBdr>
            <w:top w:val="none" w:sz="0" w:space="0" w:color="auto"/>
            <w:left w:val="none" w:sz="0" w:space="0" w:color="auto"/>
            <w:bottom w:val="none" w:sz="0" w:space="0" w:color="auto"/>
            <w:right w:val="none" w:sz="0" w:space="0" w:color="auto"/>
          </w:divBdr>
        </w:div>
        <w:div w:id="1423448393">
          <w:marLeft w:val="0"/>
          <w:marRight w:val="0"/>
          <w:marTop w:val="0"/>
          <w:marBottom w:val="0"/>
          <w:divBdr>
            <w:top w:val="none" w:sz="0" w:space="0" w:color="auto"/>
            <w:left w:val="none" w:sz="0" w:space="0" w:color="auto"/>
            <w:bottom w:val="none" w:sz="0" w:space="0" w:color="auto"/>
            <w:right w:val="none" w:sz="0" w:space="0" w:color="auto"/>
          </w:divBdr>
        </w:div>
        <w:div w:id="303119211">
          <w:marLeft w:val="0"/>
          <w:marRight w:val="0"/>
          <w:marTop w:val="0"/>
          <w:marBottom w:val="0"/>
          <w:divBdr>
            <w:top w:val="none" w:sz="0" w:space="0" w:color="auto"/>
            <w:left w:val="none" w:sz="0" w:space="0" w:color="auto"/>
            <w:bottom w:val="none" w:sz="0" w:space="0" w:color="auto"/>
            <w:right w:val="none" w:sz="0" w:space="0" w:color="auto"/>
          </w:divBdr>
        </w:div>
        <w:div w:id="494347540">
          <w:marLeft w:val="0"/>
          <w:marRight w:val="0"/>
          <w:marTop w:val="0"/>
          <w:marBottom w:val="0"/>
          <w:divBdr>
            <w:top w:val="none" w:sz="0" w:space="0" w:color="auto"/>
            <w:left w:val="none" w:sz="0" w:space="0" w:color="auto"/>
            <w:bottom w:val="none" w:sz="0" w:space="0" w:color="auto"/>
            <w:right w:val="none" w:sz="0" w:space="0" w:color="auto"/>
          </w:divBdr>
        </w:div>
        <w:div w:id="1971131708">
          <w:marLeft w:val="0"/>
          <w:marRight w:val="0"/>
          <w:marTop w:val="0"/>
          <w:marBottom w:val="0"/>
          <w:divBdr>
            <w:top w:val="none" w:sz="0" w:space="0" w:color="auto"/>
            <w:left w:val="none" w:sz="0" w:space="0" w:color="auto"/>
            <w:bottom w:val="none" w:sz="0" w:space="0" w:color="auto"/>
            <w:right w:val="none" w:sz="0" w:space="0" w:color="auto"/>
          </w:divBdr>
        </w:div>
        <w:div w:id="774520279">
          <w:marLeft w:val="0"/>
          <w:marRight w:val="0"/>
          <w:marTop w:val="0"/>
          <w:marBottom w:val="0"/>
          <w:divBdr>
            <w:top w:val="none" w:sz="0" w:space="0" w:color="auto"/>
            <w:left w:val="none" w:sz="0" w:space="0" w:color="auto"/>
            <w:bottom w:val="none" w:sz="0" w:space="0" w:color="auto"/>
            <w:right w:val="none" w:sz="0" w:space="0" w:color="auto"/>
          </w:divBdr>
        </w:div>
        <w:div w:id="2119137497">
          <w:marLeft w:val="0"/>
          <w:marRight w:val="0"/>
          <w:marTop w:val="0"/>
          <w:marBottom w:val="0"/>
          <w:divBdr>
            <w:top w:val="none" w:sz="0" w:space="0" w:color="auto"/>
            <w:left w:val="none" w:sz="0" w:space="0" w:color="auto"/>
            <w:bottom w:val="none" w:sz="0" w:space="0" w:color="auto"/>
            <w:right w:val="none" w:sz="0" w:space="0" w:color="auto"/>
          </w:divBdr>
        </w:div>
        <w:div w:id="1523515509">
          <w:marLeft w:val="0"/>
          <w:marRight w:val="0"/>
          <w:marTop w:val="0"/>
          <w:marBottom w:val="0"/>
          <w:divBdr>
            <w:top w:val="none" w:sz="0" w:space="0" w:color="auto"/>
            <w:left w:val="none" w:sz="0" w:space="0" w:color="auto"/>
            <w:bottom w:val="none" w:sz="0" w:space="0" w:color="auto"/>
            <w:right w:val="none" w:sz="0" w:space="0" w:color="auto"/>
          </w:divBdr>
        </w:div>
        <w:div w:id="216936001">
          <w:marLeft w:val="0"/>
          <w:marRight w:val="0"/>
          <w:marTop w:val="0"/>
          <w:marBottom w:val="0"/>
          <w:divBdr>
            <w:top w:val="none" w:sz="0" w:space="0" w:color="auto"/>
            <w:left w:val="none" w:sz="0" w:space="0" w:color="auto"/>
            <w:bottom w:val="none" w:sz="0" w:space="0" w:color="auto"/>
            <w:right w:val="none" w:sz="0" w:space="0" w:color="auto"/>
          </w:divBdr>
        </w:div>
        <w:div w:id="329332031">
          <w:marLeft w:val="0"/>
          <w:marRight w:val="0"/>
          <w:marTop w:val="0"/>
          <w:marBottom w:val="0"/>
          <w:divBdr>
            <w:top w:val="none" w:sz="0" w:space="0" w:color="auto"/>
            <w:left w:val="none" w:sz="0" w:space="0" w:color="auto"/>
            <w:bottom w:val="none" w:sz="0" w:space="0" w:color="auto"/>
            <w:right w:val="none" w:sz="0" w:space="0" w:color="auto"/>
          </w:divBdr>
        </w:div>
        <w:div w:id="1431469985">
          <w:marLeft w:val="0"/>
          <w:marRight w:val="0"/>
          <w:marTop w:val="0"/>
          <w:marBottom w:val="0"/>
          <w:divBdr>
            <w:top w:val="none" w:sz="0" w:space="0" w:color="auto"/>
            <w:left w:val="none" w:sz="0" w:space="0" w:color="auto"/>
            <w:bottom w:val="none" w:sz="0" w:space="0" w:color="auto"/>
            <w:right w:val="none" w:sz="0" w:space="0" w:color="auto"/>
          </w:divBdr>
        </w:div>
        <w:div w:id="1884906622">
          <w:marLeft w:val="0"/>
          <w:marRight w:val="0"/>
          <w:marTop w:val="0"/>
          <w:marBottom w:val="0"/>
          <w:divBdr>
            <w:top w:val="none" w:sz="0" w:space="0" w:color="auto"/>
            <w:left w:val="none" w:sz="0" w:space="0" w:color="auto"/>
            <w:bottom w:val="none" w:sz="0" w:space="0" w:color="auto"/>
            <w:right w:val="none" w:sz="0" w:space="0" w:color="auto"/>
          </w:divBdr>
        </w:div>
        <w:div w:id="1295793900">
          <w:marLeft w:val="0"/>
          <w:marRight w:val="0"/>
          <w:marTop w:val="0"/>
          <w:marBottom w:val="0"/>
          <w:divBdr>
            <w:top w:val="none" w:sz="0" w:space="0" w:color="auto"/>
            <w:left w:val="none" w:sz="0" w:space="0" w:color="auto"/>
            <w:bottom w:val="none" w:sz="0" w:space="0" w:color="auto"/>
            <w:right w:val="none" w:sz="0" w:space="0" w:color="auto"/>
          </w:divBdr>
        </w:div>
        <w:div w:id="156314110">
          <w:marLeft w:val="0"/>
          <w:marRight w:val="0"/>
          <w:marTop w:val="0"/>
          <w:marBottom w:val="0"/>
          <w:divBdr>
            <w:top w:val="none" w:sz="0" w:space="0" w:color="auto"/>
            <w:left w:val="none" w:sz="0" w:space="0" w:color="auto"/>
            <w:bottom w:val="none" w:sz="0" w:space="0" w:color="auto"/>
            <w:right w:val="none" w:sz="0" w:space="0" w:color="auto"/>
          </w:divBdr>
        </w:div>
        <w:div w:id="175193326">
          <w:marLeft w:val="0"/>
          <w:marRight w:val="0"/>
          <w:marTop w:val="0"/>
          <w:marBottom w:val="0"/>
          <w:divBdr>
            <w:top w:val="none" w:sz="0" w:space="0" w:color="auto"/>
            <w:left w:val="none" w:sz="0" w:space="0" w:color="auto"/>
            <w:bottom w:val="none" w:sz="0" w:space="0" w:color="auto"/>
            <w:right w:val="none" w:sz="0" w:space="0" w:color="auto"/>
          </w:divBdr>
        </w:div>
        <w:div w:id="425536313">
          <w:marLeft w:val="0"/>
          <w:marRight w:val="0"/>
          <w:marTop w:val="0"/>
          <w:marBottom w:val="0"/>
          <w:divBdr>
            <w:top w:val="none" w:sz="0" w:space="0" w:color="auto"/>
            <w:left w:val="none" w:sz="0" w:space="0" w:color="auto"/>
            <w:bottom w:val="none" w:sz="0" w:space="0" w:color="auto"/>
            <w:right w:val="none" w:sz="0" w:space="0" w:color="auto"/>
          </w:divBdr>
        </w:div>
        <w:div w:id="896093689">
          <w:marLeft w:val="0"/>
          <w:marRight w:val="0"/>
          <w:marTop w:val="0"/>
          <w:marBottom w:val="0"/>
          <w:divBdr>
            <w:top w:val="none" w:sz="0" w:space="0" w:color="auto"/>
            <w:left w:val="none" w:sz="0" w:space="0" w:color="auto"/>
            <w:bottom w:val="none" w:sz="0" w:space="0" w:color="auto"/>
            <w:right w:val="none" w:sz="0" w:space="0" w:color="auto"/>
          </w:divBdr>
        </w:div>
        <w:div w:id="1769160318">
          <w:marLeft w:val="0"/>
          <w:marRight w:val="0"/>
          <w:marTop w:val="0"/>
          <w:marBottom w:val="0"/>
          <w:divBdr>
            <w:top w:val="none" w:sz="0" w:space="0" w:color="auto"/>
            <w:left w:val="none" w:sz="0" w:space="0" w:color="auto"/>
            <w:bottom w:val="none" w:sz="0" w:space="0" w:color="auto"/>
            <w:right w:val="none" w:sz="0" w:space="0" w:color="auto"/>
          </w:divBdr>
        </w:div>
      </w:divsChild>
    </w:div>
    <w:div w:id="687409654">
      <w:bodyDiv w:val="1"/>
      <w:marLeft w:val="0"/>
      <w:marRight w:val="0"/>
      <w:marTop w:val="0"/>
      <w:marBottom w:val="0"/>
      <w:divBdr>
        <w:top w:val="none" w:sz="0" w:space="0" w:color="auto"/>
        <w:left w:val="none" w:sz="0" w:space="0" w:color="auto"/>
        <w:bottom w:val="none" w:sz="0" w:space="0" w:color="auto"/>
        <w:right w:val="none" w:sz="0" w:space="0" w:color="auto"/>
      </w:divBdr>
      <w:divsChild>
        <w:div w:id="1923946521">
          <w:marLeft w:val="0"/>
          <w:marRight w:val="0"/>
          <w:marTop w:val="0"/>
          <w:marBottom w:val="0"/>
          <w:divBdr>
            <w:top w:val="none" w:sz="0" w:space="0" w:color="auto"/>
            <w:left w:val="none" w:sz="0" w:space="0" w:color="auto"/>
            <w:bottom w:val="none" w:sz="0" w:space="0" w:color="auto"/>
            <w:right w:val="none" w:sz="0" w:space="0" w:color="auto"/>
          </w:divBdr>
        </w:div>
        <w:div w:id="23100383">
          <w:marLeft w:val="0"/>
          <w:marRight w:val="0"/>
          <w:marTop w:val="0"/>
          <w:marBottom w:val="0"/>
          <w:divBdr>
            <w:top w:val="none" w:sz="0" w:space="0" w:color="auto"/>
            <w:left w:val="none" w:sz="0" w:space="0" w:color="auto"/>
            <w:bottom w:val="none" w:sz="0" w:space="0" w:color="auto"/>
            <w:right w:val="none" w:sz="0" w:space="0" w:color="auto"/>
          </w:divBdr>
        </w:div>
        <w:div w:id="987058029">
          <w:marLeft w:val="0"/>
          <w:marRight w:val="0"/>
          <w:marTop w:val="0"/>
          <w:marBottom w:val="0"/>
          <w:divBdr>
            <w:top w:val="none" w:sz="0" w:space="0" w:color="auto"/>
            <w:left w:val="none" w:sz="0" w:space="0" w:color="auto"/>
            <w:bottom w:val="none" w:sz="0" w:space="0" w:color="auto"/>
            <w:right w:val="none" w:sz="0" w:space="0" w:color="auto"/>
          </w:divBdr>
        </w:div>
      </w:divsChild>
    </w:div>
    <w:div w:id="754278325">
      <w:bodyDiv w:val="1"/>
      <w:marLeft w:val="0"/>
      <w:marRight w:val="0"/>
      <w:marTop w:val="0"/>
      <w:marBottom w:val="0"/>
      <w:divBdr>
        <w:top w:val="none" w:sz="0" w:space="0" w:color="auto"/>
        <w:left w:val="none" w:sz="0" w:space="0" w:color="auto"/>
        <w:bottom w:val="none" w:sz="0" w:space="0" w:color="auto"/>
        <w:right w:val="none" w:sz="0" w:space="0" w:color="auto"/>
      </w:divBdr>
      <w:divsChild>
        <w:div w:id="2053531199">
          <w:marLeft w:val="0"/>
          <w:marRight w:val="0"/>
          <w:marTop w:val="0"/>
          <w:marBottom w:val="0"/>
          <w:divBdr>
            <w:top w:val="none" w:sz="0" w:space="0" w:color="auto"/>
            <w:left w:val="none" w:sz="0" w:space="0" w:color="auto"/>
            <w:bottom w:val="none" w:sz="0" w:space="0" w:color="auto"/>
            <w:right w:val="none" w:sz="0" w:space="0" w:color="auto"/>
          </w:divBdr>
        </w:div>
        <w:div w:id="707144289">
          <w:marLeft w:val="0"/>
          <w:marRight w:val="0"/>
          <w:marTop w:val="0"/>
          <w:marBottom w:val="0"/>
          <w:divBdr>
            <w:top w:val="none" w:sz="0" w:space="0" w:color="auto"/>
            <w:left w:val="none" w:sz="0" w:space="0" w:color="auto"/>
            <w:bottom w:val="none" w:sz="0" w:space="0" w:color="auto"/>
            <w:right w:val="none" w:sz="0" w:space="0" w:color="auto"/>
          </w:divBdr>
        </w:div>
        <w:div w:id="1712224071">
          <w:marLeft w:val="0"/>
          <w:marRight w:val="0"/>
          <w:marTop w:val="0"/>
          <w:marBottom w:val="0"/>
          <w:divBdr>
            <w:top w:val="none" w:sz="0" w:space="0" w:color="auto"/>
            <w:left w:val="none" w:sz="0" w:space="0" w:color="auto"/>
            <w:bottom w:val="none" w:sz="0" w:space="0" w:color="auto"/>
            <w:right w:val="none" w:sz="0" w:space="0" w:color="auto"/>
          </w:divBdr>
        </w:div>
        <w:div w:id="2064592790">
          <w:marLeft w:val="0"/>
          <w:marRight w:val="0"/>
          <w:marTop w:val="0"/>
          <w:marBottom w:val="0"/>
          <w:divBdr>
            <w:top w:val="none" w:sz="0" w:space="0" w:color="auto"/>
            <w:left w:val="none" w:sz="0" w:space="0" w:color="auto"/>
            <w:bottom w:val="none" w:sz="0" w:space="0" w:color="auto"/>
            <w:right w:val="none" w:sz="0" w:space="0" w:color="auto"/>
          </w:divBdr>
        </w:div>
      </w:divsChild>
    </w:div>
    <w:div w:id="824203451">
      <w:bodyDiv w:val="1"/>
      <w:marLeft w:val="0"/>
      <w:marRight w:val="0"/>
      <w:marTop w:val="0"/>
      <w:marBottom w:val="0"/>
      <w:divBdr>
        <w:top w:val="none" w:sz="0" w:space="0" w:color="auto"/>
        <w:left w:val="none" w:sz="0" w:space="0" w:color="auto"/>
        <w:bottom w:val="none" w:sz="0" w:space="0" w:color="auto"/>
        <w:right w:val="none" w:sz="0" w:space="0" w:color="auto"/>
      </w:divBdr>
      <w:divsChild>
        <w:div w:id="1362977028">
          <w:marLeft w:val="0"/>
          <w:marRight w:val="0"/>
          <w:marTop w:val="0"/>
          <w:marBottom w:val="0"/>
          <w:divBdr>
            <w:top w:val="none" w:sz="0" w:space="0" w:color="auto"/>
            <w:left w:val="none" w:sz="0" w:space="0" w:color="auto"/>
            <w:bottom w:val="none" w:sz="0" w:space="0" w:color="auto"/>
            <w:right w:val="none" w:sz="0" w:space="0" w:color="auto"/>
          </w:divBdr>
        </w:div>
        <w:div w:id="36584935">
          <w:marLeft w:val="0"/>
          <w:marRight w:val="0"/>
          <w:marTop w:val="0"/>
          <w:marBottom w:val="0"/>
          <w:divBdr>
            <w:top w:val="none" w:sz="0" w:space="0" w:color="auto"/>
            <w:left w:val="none" w:sz="0" w:space="0" w:color="auto"/>
            <w:bottom w:val="none" w:sz="0" w:space="0" w:color="auto"/>
            <w:right w:val="none" w:sz="0" w:space="0" w:color="auto"/>
          </w:divBdr>
        </w:div>
        <w:div w:id="1661345533">
          <w:marLeft w:val="0"/>
          <w:marRight w:val="0"/>
          <w:marTop w:val="0"/>
          <w:marBottom w:val="0"/>
          <w:divBdr>
            <w:top w:val="none" w:sz="0" w:space="0" w:color="auto"/>
            <w:left w:val="none" w:sz="0" w:space="0" w:color="auto"/>
            <w:bottom w:val="none" w:sz="0" w:space="0" w:color="auto"/>
            <w:right w:val="none" w:sz="0" w:space="0" w:color="auto"/>
          </w:divBdr>
        </w:div>
        <w:div w:id="1514687846">
          <w:marLeft w:val="0"/>
          <w:marRight w:val="0"/>
          <w:marTop w:val="0"/>
          <w:marBottom w:val="0"/>
          <w:divBdr>
            <w:top w:val="none" w:sz="0" w:space="0" w:color="auto"/>
            <w:left w:val="none" w:sz="0" w:space="0" w:color="auto"/>
            <w:bottom w:val="none" w:sz="0" w:space="0" w:color="auto"/>
            <w:right w:val="none" w:sz="0" w:space="0" w:color="auto"/>
          </w:divBdr>
        </w:div>
        <w:div w:id="1352687937">
          <w:marLeft w:val="0"/>
          <w:marRight w:val="0"/>
          <w:marTop w:val="0"/>
          <w:marBottom w:val="0"/>
          <w:divBdr>
            <w:top w:val="none" w:sz="0" w:space="0" w:color="auto"/>
            <w:left w:val="none" w:sz="0" w:space="0" w:color="auto"/>
            <w:bottom w:val="none" w:sz="0" w:space="0" w:color="auto"/>
            <w:right w:val="none" w:sz="0" w:space="0" w:color="auto"/>
          </w:divBdr>
        </w:div>
        <w:div w:id="823543080">
          <w:marLeft w:val="0"/>
          <w:marRight w:val="0"/>
          <w:marTop w:val="0"/>
          <w:marBottom w:val="0"/>
          <w:divBdr>
            <w:top w:val="none" w:sz="0" w:space="0" w:color="auto"/>
            <w:left w:val="none" w:sz="0" w:space="0" w:color="auto"/>
            <w:bottom w:val="none" w:sz="0" w:space="0" w:color="auto"/>
            <w:right w:val="none" w:sz="0" w:space="0" w:color="auto"/>
          </w:divBdr>
        </w:div>
        <w:div w:id="943344629">
          <w:marLeft w:val="0"/>
          <w:marRight w:val="0"/>
          <w:marTop w:val="0"/>
          <w:marBottom w:val="0"/>
          <w:divBdr>
            <w:top w:val="none" w:sz="0" w:space="0" w:color="auto"/>
            <w:left w:val="none" w:sz="0" w:space="0" w:color="auto"/>
            <w:bottom w:val="none" w:sz="0" w:space="0" w:color="auto"/>
            <w:right w:val="none" w:sz="0" w:space="0" w:color="auto"/>
          </w:divBdr>
        </w:div>
        <w:div w:id="73093903">
          <w:marLeft w:val="0"/>
          <w:marRight w:val="0"/>
          <w:marTop w:val="0"/>
          <w:marBottom w:val="0"/>
          <w:divBdr>
            <w:top w:val="none" w:sz="0" w:space="0" w:color="auto"/>
            <w:left w:val="none" w:sz="0" w:space="0" w:color="auto"/>
            <w:bottom w:val="none" w:sz="0" w:space="0" w:color="auto"/>
            <w:right w:val="none" w:sz="0" w:space="0" w:color="auto"/>
          </w:divBdr>
        </w:div>
        <w:div w:id="2070417269">
          <w:marLeft w:val="0"/>
          <w:marRight w:val="0"/>
          <w:marTop w:val="0"/>
          <w:marBottom w:val="0"/>
          <w:divBdr>
            <w:top w:val="none" w:sz="0" w:space="0" w:color="auto"/>
            <w:left w:val="none" w:sz="0" w:space="0" w:color="auto"/>
            <w:bottom w:val="none" w:sz="0" w:space="0" w:color="auto"/>
            <w:right w:val="none" w:sz="0" w:space="0" w:color="auto"/>
          </w:divBdr>
        </w:div>
        <w:div w:id="2057926259">
          <w:marLeft w:val="0"/>
          <w:marRight w:val="0"/>
          <w:marTop w:val="0"/>
          <w:marBottom w:val="0"/>
          <w:divBdr>
            <w:top w:val="none" w:sz="0" w:space="0" w:color="auto"/>
            <w:left w:val="none" w:sz="0" w:space="0" w:color="auto"/>
            <w:bottom w:val="none" w:sz="0" w:space="0" w:color="auto"/>
            <w:right w:val="none" w:sz="0" w:space="0" w:color="auto"/>
          </w:divBdr>
        </w:div>
        <w:div w:id="1218131326">
          <w:marLeft w:val="0"/>
          <w:marRight w:val="0"/>
          <w:marTop w:val="0"/>
          <w:marBottom w:val="0"/>
          <w:divBdr>
            <w:top w:val="none" w:sz="0" w:space="0" w:color="auto"/>
            <w:left w:val="none" w:sz="0" w:space="0" w:color="auto"/>
            <w:bottom w:val="none" w:sz="0" w:space="0" w:color="auto"/>
            <w:right w:val="none" w:sz="0" w:space="0" w:color="auto"/>
          </w:divBdr>
        </w:div>
        <w:div w:id="955721685">
          <w:marLeft w:val="0"/>
          <w:marRight w:val="0"/>
          <w:marTop w:val="0"/>
          <w:marBottom w:val="0"/>
          <w:divBdr>
            <w:top w:val="none" w:sz="0" w:space="0" w:color="auto"/>
            <w:left w:val="none" w:sz="0" w:space="0" w:color="auto"/>
            <w:bottom w:val="none" w:sz="0" w:space="0" w:color="auto"/>
            <w:right w:val="none" w:sz="0" w:space="0" w:color="auto"/>
          </w:divBdr>
        </w:div>
        <w:div w:id="938175002">
          <w:marLeft w:val="0"/>
          <w:marRight w:val="0"/>
          <w:marTop w:val="0"/>
          <w:marBottom w:val="0"/>
          <w:divBdr>
            <w:top w:val="none" w:sz="0" w:space="0" w:color="auto"/>
            <w:left w:val="none" w:sz="0" w:space="0" w:color="auto"/>
            <w:bottom w:val="none" w:sz="0" w:space="0" w:color="auto"/>
            <w:right w:val="none" w:sz="0" w:space="0" w:color="auto"/>
          </w:divBdr>
        </w:div>
        <w:div w:id="569116344">
          <w:marLeft w:val="0"/>
          <w:marRight w:val="0"/>
          <w:marTop w:val="0"/>
          <w:marBottom w:val="0"/>
          <w:divBdr>
            <w:top w:val="none" w:sz="0" w:space="0" w:color="auto"/>
            <w:left w:val="none" w:sz="0" w:space="0" w:color="auto"/>
            <w:bottom w:val="none" w:sz="0" w:space="0" w:color="auto"/>
            <w:right w:val="none" w:sz="0" w:space="0" w:color="auto"/>
          </w:divBdr>
        </w:div>
        <w:div w:id="1119373006">
          <w:marLeft w:val="0"/>
          <w:marRight w:val="0"/>
          <w:marTop w:val="0"/>
          <w:marBottom w:val="0"/>
          <w:divBdr>
            <w:top w:val="none" w:sz="0" w:space="0" w:color="auto"/>
            <w:left w:val="none" w:sz="0" w:space="0" w:color="auto"/>
            <w:bottom w:val="none" w:sz="0" w:space="0" w:color="auto"/>
            <w:right w:val="none" w:sz="0" w:space="0" w:color="auto"/>
          </w:divBdr>
        </w:div>
        <w:div w:id="1831022389">
          <w:marLeft w:val="0"/>
          <w:marRight w:val="0"/>
          <w:marTop w:val="0"/>
          <w:marBottom w:val="0"/>
          <w:divBdr>
            <w:top w:val="none" w:sz="0" w:space="0" w:color="auto"/>
            <w:left w:val="none" w:sz="0" w:space="0" w:color="auto"/>
            <w:bottom w:val="none" w:sz="0" w:space="0" w:color="auto"/>
            <w:right w:val="none" w:sz="0" w:space="0" w:color="auto"/>
          </w:divBdr>
        </w:div>
        <w:div w:id="384180367">
          <w:marLeft w:val="0"/>
          <w:marRight w:val="0"/>
          <w:marTop w:val="0"/>
          <w:marBottom w:val="0"/>
          <w:divBdr>
            <w:top w:val="none" w:sz="0" w:space="0" w:color="auto"/>
            <w:left w:val="none" w:sz="0" w:space="0" w:color="auto"/>
            <w:bottom w:val="none" w:sz="0" w:space="0" w:color="auto"/>
            <w:right w:val="none" w:sz="0" w:space="0" w:color="auto"/>
          </w:divBdr>
        </w:div>
        <w:div w:id="357776349">
          <w:marLeft w:val="0"/>
          <w:marRight w:val="0"/>
          <w:marTop w:val="0"/>
          <w:marBottom w:val="0"/>
          <w:divBdr>
            <w:top w:val="none" w:sz="0" w:space="0" w:color="auto"/>
            <w:left w:val="none" w:sz="0" w:space="0" w:color="auto"/>
            <w:bottom w:val="none" w:sz="0" w:space="0" w:color="auto"/>
            <w:right w:val="none" w:sz="0" w:space="0" w:color="auto"/>
          </w:divBdr>
        </w:div>
        <w:div w:id="513694448">
          <w:marLeft w:val="0"/>
          <w:marRight w:val="0"/>
          <w:marTop w:val="0"/>
          <w:marBottom w:val="0"/>
          <w:divBdr>
            <w:top w:val="none" w:sz="0" w:space="0" w:color="auto"/>
            <w:left w:val="none" w:sz="0" w:space="0" w:color="auto"/>
            <w:bottom w:val="none" w:sz="0" w:space="0" w:color="auto"/>
            <w:right w:val="none" w:sz="0" w:space="0" w:color="auto"/>
          </w:divBdr>
        </w:div>
        <w:div w:id="1555122157">
          <w:marLeft w:val="0"/>
          <w:marRight w:val="0"/>
          <w:marTop w:val="0"/>
          <w:marBottom w:val="0"/>
          <w:divBdr>
            <w:top w:val="none" w:sz="0" w:space="0" w:color="auto"/>
            <w:left w:val="none" w:sz="0" w:space="0" w:color="auto"/>
            <w:bottom w:val="none" w:sz="0" w:space="0" w:color="auto"/>
            <w:right w:val="none" w:sz="0" w:space="0" w:color="auto"/>
          </w:divBdr>
        </w:div>
        <w:div w:id="1617978701">
          <w:marLeft w:val="0"/>
          <w:marRight w:val="0"/>
          <w:marTop w:val="0"/>
          <w:marBottom w:val="0"/>
          <w:divBdr>
            <w:top w:val="none" w:sz="0" w:space="0" w:color="auto"/>
            <w:left w:val="none" w:sz="0" w:space="0" w:color="auto"/>
            <w:bottom w:val="none" w:sz="0" w:space="0" w:color="auto"/>
            <w:right w:val="none" w:sz="0" w:space="0" w:color="auto"/>
          </w:divBdr>
        </w:div>
        <w:div w:id="1557204953">
          <w:marLeft w:val="0"/>
          <w:marRight w:val="0"/>
          <w:marTop w:val="0"/>
          <w:marBottom w:val="0"/>
          <w:divBdr>
            <w:top w:val="none" w:sz="0" w:space="0" w:color="auto"/>
            <w:left w:val="none" w:sz="0" w:space="0" w:color="auto"/>
            <w:bottom w:val="none" w:sz="0" w:space="0" w:color="auto"/>
            <w:right w:val="none" w:sz="0" w:space="0" w:color="auto"/>
          </w:divBdr>
        </w:div>
        <w:div w:id="84039601">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2523018">
      <w:bodyDiv w:val="1"/>
      <w:marLeft w:val="0"/>
      <w:marRight w:val="0"/>
      <w:marTop w:val="0"/>
      <w:marBottom w:val="0"/>
      <w:divBdr>
        <w:top w:val="none" w:sz="0" w:space="0" w:color="auto"/>
        <w:left w:val="none" w:sz="0" w:space="0" w:color="auto"/>
        <w:bottom w:val="none" w:sz="0" w:space="0" w:color="auto"/>
        <w:right w:val="none" w:sz="0" w:space="0" w:color="auto"/>
      </w:divBdr>
      <w:divsChild>
        <w:div w:id="268438124">
          <w:marLeft w:val="0"/>
          <w:marRight w:val="0"/>
          <w:marTop w:val="0"/>
          <w:marBottom w:val="0"/>
          <w:divBdr>
            <w:top w:val="none" w:sz="0" w:space="0" w:color="auto"/>
            <w:left w:val="none" w:sz="0" w:space="0" w:color="auto"/>
            <w:bottom w:val="none" w:sz="0" w:space="0" w:color="auto"/>
            <w:right w:val="none" w:sz="0" w:space="0" w:color="auto"/>
          </w:divBdr>
        </w:div>
        <w:div w:id="1778672006">
          <w:marLeft w:val="0"/>
          <w:marRight w:val="0"/>
          <w:marTop w:val="0"/>
          <w:marBottom w:val="0"/>
          <w:divBdr>
            <w:top w:val="none" w:sz="0" w:space="0" w:color="auto"/>
            <w:left w:val="none" w:sz="0" w:space="0" w:color="auto"/>
            <w:bottom w:val="none" w:sz="0" w:space="0" w:color="auto"/>
            <w:right w:val="none" w:sz="0" w:space="0" w:color="auto"/>
          </w:divBdr>
        </w:div>
        <w:div w:id="2133471364">
          <w:marLeft w:val="0"/>
          <w:marRight w:val="0"/>
          <w:marTop w:val="0"/>
          <w:marBottom w:val="0"/>
          <w:divBdr>
            <w:top w:val="none" w:sz="0" w:space="0" w:color="auto"/>
            <w:left w:val="none" w:sz="0" w:space="0" w:color="auto"/>
            <w:bottom w:val="none" w:sz="0" w:space="0" w:color="auto"/>
            <w:right w:val="none" w:sz="0" w:space="0" w:color="auto"/>
          </w:divBdr>
        </w:div>
      </w:divsChild>
    </w:div>
    <w:div w:id="1763914874">
      <w:bodyDiv w:val="1"/>
      <w:marLeft w:val="0"/>
      <w:marRight w:val="0"/>
      <w:marTop w:val="0"/>
      <w:marBottom w:val="0"/>
      <w:divBdr>
        <w:top w:val="none" w:sz="0" w:space="0" w:color="auto"/>
        <w:left w:val="none" w:sz="0" w:space="0" w:color="auto"/>
        <w:bottom w:val="none" w:sz="0" w:space="0" w:color="auto"/>
        <w:right w:val="none" w:sz="0" w:space="0" w:color="auto"/>
      </w:divBdr>
      <w:divsChild>
        <w:div w:id="1781142928">
          <w:marLeft w:val="0"/>
          <w:marRight w:val="0"/>
          <w:marTop w:val="0"/>
          <w:marBottom w:val="0"/>
          <w:divBdr>
            <w:top w:val="none" w:sz="0" w:space="0" w:color="auto"/>
            <w:left w:val="none" w:sz="0" w:space="0" w:color="auto"/>
            <w:bottom w:val="none" w:sz="0" w:space="0" w:color="auto"/>
            <w:right w:val="none" w:sz="0" w:space="0" w:color="auto"/>
          </w:divBdr>
          <w:divsChild>
            <w:div w:id="894122175">
              <w:marLeft w:val="0"/>
              <w:marRight w:val="0"/>
              <w:marTop w:val="0"/>
              <w:marBottom w:val="0"/>
              <w:divBdr>
                <w:top w:val="none" w:sz="0" w:space="0" w:color="auto"/>
                <w:left w:val="none" w:sz="0" w:space="0" w:color="auto"/>
                <w:bottom w:val="none" w:sz="0" w:space="0" w:color="auto"/>
                <w:right w:val="none" w:sz="0" w:space="0" w:color="auto"/>
              </w:divBdr>
            </w:div>
            <w:div w:id="514148658">
              <w:marLeft w:val="0"/>
              <w:marRight w:val="0"/>
              <w:marTop w:val="0"/>
              <w:marBottom w:val="0"/>
              <w:divBdr>
                <w:top w:val="none" w:sz="0" w:space="0" w:color="auto"/>
                <w:left w:val="none" w:sz="0" w:space="0" w:color="auto"/>
                <w:bottom w:val="none" w:sz="0" w:space="0" w:color="auto"/>
                <w:right w:val="none" w:sz="0" w:space="0" w:color="auto"/>
              </w:divBdr>
            </w:div>
            <w:div w:id="780954108">
              <w:marLeft w:val="0"/>
              <w:marRight w:val="0"/>
              <w:marTop w:val="0"/>
              <w:marBottom w:val="0"/>
              <w:divBdr>
                <w:top w:val="none" w:sz="0" w:space="0" w:color="auto"/>
                <w:left w:val="none" w:sz="0" w:space="0" w:color="auto"/>
                <w:bottom w:val="none" w:sz="0" w:space="0" w:color="auto"/>
                <w:right w:val="none" w:sz="0" w:space="0" w:color="auto"/>
              </w:divBdr>
            </w:div>
            <w:div w:id="461535095">
              <w:marLeft w:val="0"/>
              <w:marRight w:val="0"/>
              <w:marTop w:val="0"/>
              <w:marBottom w:val="0"/>
              <w:divBdr>
                <w:top w:val="none" w:sz="0" w:space="0" w:color="auto"/>
                <w:left w:val="none" w:sz="0" w:space="0" w:color="auto"/>
                <w:bottom w:val="none" w:sz="0" w:space="0" w:color="auto"/>
                <w:right w:val="none" w:sz="0" w:space="0" w:color="auto"/>
              </w:divBdr>
            </w:div>
            <w:div w:id="1043024113">
              <w:marLeft w:val="0"/>
              <w:marRight w:val="0"/>
              <w:marTop w:val="0"/>
              <w:marBottom w:val="0"/>
              <w:divBdr>
                <w:top w:val="none" w:sz="0" w:space="0" w:color="auto"/>
                <w:left w:val="none" w:sz="0" w:space="0" w:color="auto"/>
                <w:bottom w:val="none" w:sz="0" w:space="0" w:color="auto"/>
                <w:right w:val="none" w:sz="0" w:space="0" w:color="auto"/>
              </w:divBdr>
            </w:div>
          </w:divsChild>
        </w:div>
        <w:div w:id="309604693">
          <w:marLeft w:val="0"/>
          <w:marRight w:val="0"/>
          <w:marTop w:val="0"/>
          <w:marBottom w:val="0"/>
          <w:divBdr>
            <w:top w:val="none" w:sz="0" w:space="0" w:color="auto"/>
            <w:left w:val="none" w:sz="0" w:space="0" w:color="auto"/>
            <w:bottom w:val="none" w:sz="0" w:space="0" w:color="auto"/>
            <w:right w:val="none" w:sz="0" w:space="0" w:color="auto"/>
          </w:divBdr>
          <w:divsChild>
            <w:div w:id="1802645785">
              <w:marLeft w:val="0"/>
              <w:marRight w:val="0"/>
              <w:marTop w:val="0"/>
              <w:marBottom w:val="0"/>
              <w:divBdr>
                <w:top w:val="none" w:sz="0" w:space="0" w:color="auto"/>
                <w:left w:val="none" w:sz="0" w:space="0" w:color="auto"/>
                <w:bottom w:val="none" w:sz="0" w:space="0" w:color="auto"/>
                <w:right w:val="none" w:sz="0" w:space="0" w:color="auto"/>
              </w:divBdr>
            </w:div>
          </w:divsChild>
        </w:div>
        <w:div w:id="38544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ho.int/hrh/statistics/hwfstats/en/" TargetMode="External"/><Relationship Id="rId18" Type="http://schemas.openxmlformats.org/officeDocument/2006/relationships/hyperlink" Target="http://apps.who.int/gho/data/node.main.A1444?lang=en&amp;showonly=HW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who.int/hrh/statistics/nhwa/en/" TargetMode="External"/><Relationship Id="rId17" Type="http://schemas.openxmlformats.org/officeDocument/2006/relationships/hyperlink" Target="http://www.who.int/hrh/statistics/hwfstats/en/" TargetMode="External"/><Relationship Id="rId2" Type="http://schemas.openxmlformats.org/officeDocument/2006/relationships/customXml" Target="../customXml/item2.xml"/><Relationship Id="rId16" Type="http://schemas.openxmlformats.org/officeDocument/2006/relationships/hyperlink" Target="http://who.int/hrh/resources/pub_globstrathrh-2030/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hrh/statistics/nhwa/en/" TargetMode="External"/><Relationship Id="rId5" Type="http://schemas.openxmlformats.org/officeDocument/2006/relationships/numbering" Target="numbering.xml"/><Relationship Id="rId15" Type="http://schemas.openxmlformats.org/officeDocument/2006/relationships/hyperlink" Target="http://apps.who.int/gb/ebwha/pdf_files/WHA69/A69_R19-en.pdf" TargetMode="External"/><Relationship Id="rId10" Type="http://schemas.openxmlformats.org/officeDocument/2006/relationships/endnotes" Target="endnotes.xml"/><Relationship Id="rId19" Type="http://schemas.openxmlformats.org/officeDocument/2006/relationships/hyperlink" Target="http://www.who.int/hrh/statistics/nhwa/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hrh/statistics/hwfstats/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d114b01d-ae01-4749-b845-9d88e7ef5c0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f2d2d782-0088-4826-96df-71eba56e6d2e"/>
    <ds:schemaRef ds:uri="http://www.w3.org/XML/1998/namespace"/>
    <ds:schemaRef ds:uri="http://purl.org/dc/dcmitype/"/>
  </ds:schemaRefs>
</ds:datastoreItem>
</file>

<file path=customXml/itemProps3.xml><?xml version="1.0" encoding="utf-8"?>
<ds:datastoreItem xmlns:ds="http://schemas.openxmlformats.org/officeDocument/2006/customXml" ds:itemID="{9C15DE16-D256-4B79-9090-0CA6AD3DA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6DD9E-DECE-4AA9-8BFC-0749086C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2021-03-27T19:53:00Z</dcterms:created>
  <dcterms:modified xsi:type="dcterms:W3CDTF">2021-03-27T19:53:00Z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