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AF7A563" w:rsidR="00D24330" w:rsidRPr="00A96255" w:rsidRDefault="00352D75" w:rsidP="002F5F0C">
      <w:pPr>
        <w:pStyle w:val="MGTHeader"/>
      </w:pPr>
      <w:r w:rsidRPr="00352D75">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71B50B92" w:rsidR="00D24330" w:rsidRPr="00A96255" w:rsidRDefault="00352D75" w:rsidP="00D24330">
      <w:pPr>
        <w:pStyle w:val="MGTHeader"/>
      </w:pPr>
      <w:r w:rsidRPr="00352D75">
        <w:t xml:space="preserve">Target 4.2: By 2030, ensure that all girls and boys have access to quality early childhood development, </w:t>
      </w:r>
      <w:proofErr w:type="gramStart"/>
      <w:r w:rsidRPr="00352D75">
        <w:t>care</w:t>
      </w:r>
      <w:proofErr w:type="gramEnd"/>
      <w:r w:rsidRPr="00352D75">
        <w:t xml:space="preserve"> and pre-primary education so that they are ready for primary education</w:t>
      </w:r>
    </w:p>
    <w:p w14:paraId="3E67E7E0" w14:textId="77777777" w:rsidR="00D24330" w:rsidRPr="00A96255" w:rsidRDefault="00D24330" w:rsidP="00D24330">
      <w:pPr>
        <w:pStyle w:val="MIndHeader"/>
      </w:pPr>
      <w:r w:rsidRPr="00A96255">
        <w:t>0.c. Indicator</w:t>
      </w:r>
    </w:p>
    <w:p w14:paraId="6045F6C3" w14:textId="4BA49666" w:rsidR="00D24330" w:rsidRPr="00A96255" w:rsidRDefault="00352D75" w:rsidP="00D24330">
      <w:pPr>
        <w:pStyle w:val="MGTHeader"/>
      </w:pPr>
      <w:r w:rsidRPr="00352D75">
        <w:t>Indicator 4.2.2: Participation rate in organized learning (one year before the official primary entry age), by sex</w:t>
      </w:r>
    </w:p>
    <w:p w14:paraId="37E5E4F6" w14:textId="77777777" w:rsidR="00D24330" w:rsidRPr="00A96255" w:rsidRDefault="00D24330" w:rsidP="00D24330">
      <w:pPr>
        <w:pStyle w:val="MIndHeader"/>
      </w:pPr>
      <w:r w:rsidRPr="00A96255">
        <w:t>0.d. Series</w:t>
      </w:r>
    </w:p>
    <w:p w14:paraId="771888BA" w14:textId="330E6F90" w:rsidR="00D24330" w:rsidRPr="00A96255" w:rsidRDefault="00F97AE5" w:rsidP="00D24330">
      <w:pPr>
        <w:pStyle w:val="MGTHeader"/>
      </w:pPr>
      <w:r>
        <w:t xml:space="preserve">Not applicable. </w:t>
      </w:r>
      <w:r w:rsidR="00D24330" w:rsidRPr="00A96255">
        <w:tab/>
      </w:r>
    </w:p>
    <w:p w14:paraId="157DACE7" w14:textId="77777777" w:rsidR="00D24330" w:rsidRPr="00A96255" w:rsidRDefault="00D24330" w:rsidP="00D24330">
      <w:pPr>
        <w:pStyle w:val="MIndHeader"/>
      </w:pPr>
      <w:r w:rsidRPr="00A96255">
        <w:t>0.e. Metadata update</w:t>
      </w:r>
    </w:p>
    <w:p w14:paraId="03424B60" w14:textId="676A0B6B" w:rsidR="00D24330" w:rsidRPr="00A96255" w:rsidRDefault="00097164" w:rsidP="00D24330">
      <w:pPr>
        <w:pStyle w:val="MGTHeader"/>
      </w:pPr>
      <w:r>
        <w:t>July 2021</w:t>
      </w:r>
    </w:p>
    <w:p w14:paraId="415C9FF1" w14:textId="77777777" w:rsidR="00D24330" w:rsidRPr="00A96255" w:rsidRDefault="00D24330" w:rsidP="00D24330">
      <w:pPr>
        <w:pStyle w:val="MIndHeader"/>
      </w:pPr>
      <w:r w:rsidRPr="00A96255">
        <w:t>0.f. Related indicators</w:t>
      </w:r>
    </w:p>
    <w:p w14:paraId="21524279" w14:textId="3BD31023" w:rsidR="00D24330" w:rsidRPr="00A96255" w:rsidRDefault="00352D75" w:rsidP="00D24330">
      <w:pPr>
        <w:pStyle w:val="MGTHeader"/>
      </w:pPr>
      <w:r w:rsidRPr="00352D75">
        <w:t>1.4, 4.5</w:t>
      </w:r>
    </w:p>
    <w:p w14:paraId="077BC49E" w14:textId="6B646920" w:rsidR="00D24330" w:rsidRPr="00A96255" w:rsidRDefault="00D24330" w:rsidP="00D24330">
      <w:pPr>
        <w:pStyle w:val="MIndHeader"/>
      </w:pPr>
      <w:r w:rsidRPr="00A96255">
        <w:t>0.g. International organisations(s) responsible for global monitoring</w:t>
      </w:r>
    </w:p>
    <w:p w14:paraId="0393368E" w14:textId="6A44E514" w:rsidR="00621893" w:rsidRPr="00A96255" w:rsidRDefault="00352D75" w:rsidP="00D24330">
      <w:pPr>
        <w:pStyle w:val="MGTHeader"/>
        <w:rPr>
          <w:color w:val="4A4A4A"/>
        </w:rPr>
      </w:pPr>
      <w:r w:rsidRPr="00352D75">
        <w:t>UNESCO Institute for Statistics (UNESCO-UIS)</w:t>
      </w:r>
      <w:r w:rsidR="00FD097B">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0152EF7" w:rsidR="00576CFA" w:rsidRDefault="00352D75" w:rsidP="00576CFA">
      <w:pPr>
        <w:pStyle w:val="MText"/>
      </w:pPr>
      <w:r w:rsidRPr="00352D75">
        <w:t>UNESCO Institute for Statistics (UNESCO-UIS)</w:t>
      </w:r>
      <w:r w:rsidR="00FD097B">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192AC1F" w14:textId="77777777" w:rsidR="00352D75" w:rsidRPr="00515170" w:rsidRDefault="00352D75" w:rsidP="00352D75">
      <w:pPr>
        <w:pStyle w:val="MText"/>
        <w:rPr>
          <w:b/>
          <w:bCs/>
        </w:rPr>
      </w:pPr>
      <w:r w:rsidRPr="00515170">
        <w:rPr>
          <w:b/>
          <w:bCs/>
        </w:rPr>
        <w:t>Definition:</w:t>
      </w:r>
    </w:p>
    <w:p w14:paraId="6E54D3D6" w14:textId="010273E8" w:rsidR="00EC2915" w:rsidRDefault="00352D75" w:rsidP="00352D75">
      <w:pPr>
        <w:pStyle w:val="MText"/>
      </w:pPr>
      <w:r>
        <w:t>The participation rate in organized learning (one year before the official primary entry age), by sex as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w:t>
      </w:r>
    </w:p>
    <w:p w14:paraId="5625414E" w14:textId="6E4725C0" w:rsidR="00352D75" w:rsidRDefault="00352D75" w:rsidP="00352D75">
      <w:pPr>
        <w:pStyle w:val="MText"/>
      </w:pPr>
    </w:p>
    <w:p w14:paraId="392E3D70" w14:textId="77777777" w:rsidR="00352D75" w:rsidRPr="00515170" w:rsidRDefault="00352D75" w:rsidP="00352D75">
      <w:pPr>
        <w:pStyle w:val="MText"/>
        <w:rPr>
          <w:b/>
          <w:bCs/>
        </w:rPr>
      </w:pPr>
      <w:r w:rsidRPr="00515170">
        <w:rPr>
          <w:b/>
          <w:bCs/>
        </w:rPr>
        <w:t>Concepts:</w:t>
      </w:r>
    </w:p>
    <w:p w14:paraId="63428E80" w14:textId="77777777" w:rsidR="00352D75" w:rsidRDefault="00352D75" w:rsidP="00352D75">
      <w:pPr>
        <w:pStyle w:val="MText"/>
      </w:pPr>
      <w:r>
        <w:t xml:space="preserve">An organized learning programme is one which consists of a coherent set or sequence of educational activities designed with the intention of achieving pre-determined learning outcomes or the </w:t>
      </w:r>
      <w:r>
        <w:lastRenderedPageBreak/>
        <w:t xml:space="preserve">accomplishment of a specific set of educational tasks. Early childhood and primary education programmes are examples of organized learning programmes. </w:t>
      </w:r>
    </w:p>
    <w:p w14:paraId="0B61C049" w14:textId="77777777" w:rsidR="00352D75" w:rsidRDefault="00352D75" w:rsidP="00352D75">
      <w:pPr>
        <w:pStyle w:val="MText"/>
      </w:pPr>
    </w:p>
    <w:p w14:paraId="401A66B1" w14:textId="77777777" w:rsidR="00352D75" w:rsidRDefault="00352D75" w:rsidP="00352D75">
      <w:pPr>
        <w:pStyle w:val="MText"/>
      </w:pPr>
      <w:r>
        <w:t xml:space="preserve">Early childhood and primary education are defined in the 2011 revision of the International Standard Classification of Education (ISCED 2011). Early childhood education is typically designed with a holistic approach to support children’s early cognitive, physical, </w:t>
      </w:r>
      <w:proofErr w:type="gramStart"/>
      <w:r>
        <w:t>social</w:t>
      </w:r>
      <w:proofErr w:type="gramEnd"/>
      <w:r>
        <w:t xml:space="preserve">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knowledge and personal development. It focuses on learning at a basic level of complexity with little, if any, specialisation. </w:t>
      </w:r>
    </w:p>
    <w:p w14:paraId="4FE27AA7" w14:textId="77777777" w:rsidR="00352D75" w:rsidRDefault="00352D75" w:rsidP="00352D75">
      <w:pPr>
        <w:pStyle w:val="MText"/>
      </w:pPr>
    </w:p>
    <w:p w14:paraId="3A8028F1" w14:textId="6A19D42A" w:rsidR="00352D75" w:rsidRDefault="00352D75" w:rsidP="00352D75">
      <w:pPr>
        <w:pStyle w:val="MText"/>
      </w:pPr>
      <w:r>
        <w:t>The official primary entry age is the age at which children are obliged to start primary education according to national legislation or policies. Where more than one age is specified, for example, in different parts of a country, the most common official entry age (</w:t>
      </w:r>
      <w:proofErr w:type="gramStart"/>
      <w:r>
        <w:t>i.e.</w:t>
      </w:r>
      <w:proofErr w:type="gramEnd"/>
      <w:r>
        <w:t xml:space="preserve"> the age at which most children in the country are expected to start primary) is used for the calculation of this indicator at the global level.</w:t>
      </w:r>
    </w:p>
    <w:p w14:paraId="23AE7CE6" w14:textId="77777777" w:rsidR="00352D75" w:rsidRPr="00A96255" w:rsidRDefault="00352D75" w:rsidP="00352D75">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829081F" w14:textId="77777777" w:rsidR="00097164" w:rsidRDefault="00A26D33" w:rsidP="00576CFA">
      <w:pPr>
        <w:pStyle w:val="MText"/>
      </w:pPr>
      <w:r>
        <w:t>Percentage. This indicator is expressed as the percentage of children (one year before the official primary entry age) who participate in organized learning in early childhood and primary education.</w:t>
      </w:r>
    </w:p>
    <w:p w14:paraId="548E9AAA" w14:textId="5CE3BF26" w:rsidR="00EC2915" w:rsidRPr="00A96255" w:rsidRDefault="00A26D33" w:rsidP="00576CFA">
      <w:pPr>
        <w:pStyle w:val="MText"/>
      </w:pPr>
      <w:r>
        <w:t xml:space="preserve"> </w:t>
      </w:r>
    </w:p>
    <w:p w14:paraId="651AA7AC" w14:textId="5144B8C4" w:rsidR="00DA615C" w:rsidRPr="00A96255" w:rsidRDefault="008B0AC7" w:rsidP="00F719A8">
      <w:pPr>
        <w:pStyle w:val="MHeader2"/>
      </w:pPr>
      <w:r w:rsidRPr="00A96255">
        <w:t>2.c. Classifications</w:t>
      </w:r>
    </w:p>
    <w:p w14:paraId="3D384BA8" w14:textId="072884EA" w:rsidR="00EC2915" w:rsidRDefault="00A15B4C" w:rsidP="00576CFA">
      <w:pPr>
        <w:pStyle w:val="MText"/>
      </w:pPr>
      <w:r w:rsidRPr="00A15B4C">
        <w:t xml:space="preserve">The International Standard Classification of Education (ISCED) is used to define </w:t>
      </w:r>
      <w:r>
        <w:t xml:space="preserve">early childhood and </w:t>
      </w:r>
      <w:r w:rsidRPr="00A15B4C">
        <w:t xml:space="preserve">primary education.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02021364" w:rsidR="00576CFA" w:rsidRPr="00A96255" w:rsidRDefault="00352D75" w:rsidP="00576CFA">
      <w:pPr>
        <w:pStyle w:val="MText"/>
      </w:pPr>
      <w:r w:rsidRPr="00352D75">
        <w:t>Administrative data from schools and other centres of organized learning or from household surveys on enrolment by single year of age in early learning programmes; population censuses and surveys for population estimates by single year of age (if using administrative data on enrolment); administrative data from ministries of education on the official entrance age to primary education.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CF584C9" w14:textId="77777777" w:rsidR="00352D75" w:rsidRDefault="00352D75" w:rsidP="00352D75">
      <w:pPr>
        <w:pStyle w:val="MText"/>
      </w:pPr>
      <w:r>
        <w:t>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(ISCED) to ensure international comparability of resulting indicators.</w:t>
      </w:r>
    </w:p>
    <w:p w14:paraId="21F40177" w14:textId="77777777" w:rsidR="00352D75" w:rsidRDefault="00352D75" w:rsidP="00352D75">
      <w:pPr>
        <w:pStyle w:val="MText"/>
      </w:pPr>
    </w:p>
    <w:p w14:paraId="28E9022E" w14:textId="77777777" w:rsidR="00352D75" w:rsidRDefault="00352D75" w:rsidP="00352D75">
      <w:pPr>
        <w:pStyle w:val="MText"/>
      </w:pPr>
      <w:r>
        <w:t xml:space="preserve">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w:t>
      </w:r>
      <w:r>
        <w:lastRenderedPageBreak/>
        <w:t>implausible but correct results). During this process countries are also encouraged to provide estimates for missing or incomplete data items.</w:t>
      </w:r>
    </w:p>
    <w:p w14:paraId="0E057149" w14:textId="77777777" w:rsidR="00352D75" w:rsidRDefault="00352D75" w:rsidP="00352D75">
      <w:pPr>
        <w:pStyle w:val="MText"/>
      </w:pPr>
    </w:p>
    <w:p w14:paraId="5823FBC8" w14:textId="01D7B771" w:rsidR="00576CFA" w:rsidRPr="00A96255" w:rsidRDefault="00352D75" w:rsidP="00352D75">
      <w:pPr>
        <w:pStyle w:val="MText"/>
      </w:pPr>
      <w:r>
        <w:t>In addition, countries also have an opportunity to see and comment on the main indicators the UIS produces in an annual “country review” of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D5C9873" w:rsidR="00576CFA" w:rsidRPr="00A96255" w:rsidRDefault="00352D75" w:rsidP="00576CFA">
      <w:pPr>
        <w:pStyle w:val="MText"/>
      </w:pPr>
      <w:r w:rsidRPr="00352D75">
        <w:t>Annual UIS survey (latest launched in October 20</w:t>
      </w:r>
      <w:r w:rsidR="003B0E30">
        <w:t>20</w:t>
      </w:r>
      <w:r w:rsidRPr="00352D75">
        <w:t>) and UOE survey (latest launched in June 2</w:t>
      </w:r>
      <w:r w:rsidR="003B0E30">
        <w:t>020</w:t>
      </w:r>
      <w:r w:rsidRPr="00352D75">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4EC7D67" w:rsidR="00576CFA" w:rsidRPr="00A96255" w:rsidRDefault="00352D75" w:rsidP="00576CFA">
      <w:pPr>
        <w:pStyle w:val="MText"/>
      </w:pPr>
      <w:r w:rsidRPr="00352D75">
        <w:t>Biannual UIS data release (February and September).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BFDC3B5" w:rsidR="00576CFA" w:rsidRPr="00A96255" w:rsidRDefault="00352D75" w:rsidP="00576CFA">
      <w:pPr>
        <w:pStyle w:val="MText"/>
      </w:pPr>
      <w:r w:rsidRPr="00352D75">
        <w:t>Ministries of Education and/or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97E6C2D" w:rsidR="00576CFA" w:rsidRPr="00A96255" w:rsidRDefault="00352D75" w:rsidP="00576CFA">
      <w:pPr>
        <w:pStyle w:val="MText"/>
      </w:pPr>
      <w:r w:rsidRPr="00352D75">
        <w:t>UNESCO Institute for Statistics</w:t>
      </w:r>
      <w:r w:rsidR="003E3220">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624F607" w14:textId="77777777" w:rsidR="00554F21" w:rsidRPr="001A69DA" w:rsidRDefault="00554F21" w:rsidP="00554F21">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eastAsia="Times New Roman" w:cs="Times New Roman"/>
          <w:color w:val="4A4A4A"/>
          <w:sz w:val="21"/>
          <w:szCs w:val="21"/>
          <w:lang w:eastAsia="en-GB"/>
        </w:rPr>
        <w:t>culture</w:t>
      </w:r>
      <w:proofErr w:type="gramEnd"/>
      <w:r w:rsidRPr="001A69DA">
        <w:rPr>
          <w:rFonts w:eastAsia="Times New Roman" w:cs="Times New Roman"/>
          <w:color w:val="4A4A4A"/>
          <w:sz w:val="21"/>
          <w:szCs w:val="21"/>
          <w:lang w:eastAsia="en-GB"/>
        </w:rPr>
        <w:t xml:space="preserve"> and communication for countries at all stages of development.</w:t>
      </w:r>
    </w:p>
    <w:p w14:paraId="12FF32DA" w14:textId="77777777" w:rsidR="00554F21" w:rsidRPr="001A69DA" w:rsidRDefault="00554F21" w:rsidP="00554F21">
      <w:pPr>
        <w:pBdr>
          <w:top w:val="nil"/>
          <w:left w:val="nil"/>
          <w:bottom w:val="nil"/>
          <w:right w:val="nil"/>
          <w:between w:val="nil"/>
        </w:pBdr>
        <w:shd w:val="clear" w:color="auto" w:fill="FFFFFF"/>
        <w:spacing w:after="0"/>
        <w:rPr>
          <w:rFonts w:ascii="Calibri" w:hAnsi="Calibri"/>
        </w:rPr>
      </w:pPr>
    </w:p>
    <w:p w14:paraId="634E9389" w14:textId="77777777" w:rsidR="00554F21" w:rsidRDefault="00554F21" w:rsidP="00554F21">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Education 2030 Framework for Action 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ascii="Calibri" w:eastAsiaTheme="minorEastAsia" w:hAnsi="Calibri" w:cstheme="minorBidi"/>
          <w:i/>
          <w:szCs w:val="22"/>
          <w:lang w:eastAsia="zh-CN"/>
        </w:rPr>
        <w:t>approaches</w:t>
      </w:r>
      <w:proofErr w:type="gramEnd"/>
      <w:r w:rsidRPr="001A69DA">
        <w:rPr>
          <w:rFonts w:ascii="Calibri" w:eastAsiaTheme="minorEastAsia" w:hAnsi="Calibri" w:cstheme="minorBidi"/>
          <w:i/>
          <w:szCs w:val="22"/>
          <w:lang w:eastAsia="zh-CN"/>
        </w:rPr>
        <w:t xml:space="preserve">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91DC540" w14:textId="77777777" w:rsidR="00554F21" w:rsidRPr="00A96255" w:rsidRDefault="00554F21"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2A49B892" w:rsidR="00576CFA" w:rsidRPr="00A96255" w:rsidRDefault="00352D75" w:rsidP="00576CFA">
      <w:pPr>
        <w:pStyle w:val="MText"/>
      </w:pPr>
      <w:r w:rsidRPr="00352D75">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98C00AE" w14:textId="7AD03686" w:rsidR="00EC2915" w:rsidRDefault="00352D75" w:rsidP="00576CFA">
      <w:pPr>
        <w:pStyle w:val="MText"/>
      </w:pPr>
      <w:r w:rsidRPr="00352D75">
        <w:t xml:space="preserve">Participation in learning programmes in the early years is not full time for many children, meaning that exposure to learning environments outside of the home will vary in intensity. The indicator measures the </w:t>
      </w:r>
      <w:r w:rsidRPr="00352D75">
        <w:lastRenderedPageBreak/>
        <w:t>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 and defined in a manner that is easily understood by survey respondents, ideally with complementary information collected on the amount of time children spend in learning programmes.</w:t>
      </w:r>
    </w:p>
    <w:p w14:paraId="20C8B129" w14:textId="77777777" w:rsidR="00352D75" w:rsidRPr="00A96255" w:rsidRDefault="00352D75" w:rsidP="00576CFA">
      <w:pPr>
        <w:pStyle w:val="MText"/>
      </w:pPr>
    </w:p>
    <w:p w14:paraId="79EEEE38" w14:textId="75AB172D" w:rsidR="00E1050F" w:rsidRPr="00A96255" w:rsidRDefault="00E1050F" w:rsidP="00F719A8">
      <w:pPr>
        <w:pStyle w:val="MHeader2"/>
      </w:pPr>
      <w:r w:rsidRPr="00A96255">
        <w:t>4.c. Method of computation</w:t>
      </w:r>
    </w:p>
    <w:p w14:paraId="147B5BEE"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w:t>
      </w:r>
    </w:p>
    <w:p w14:paraId="5B826751"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p>
    <w:p w14:paraId="17495D15" w14:textId="6385C78B" w:rsidR="00352D75" w:rsidRPr="00515170" w:rsidRDefault="00352D75" w:rsidP="00352D75">
      <w:pPr>
        <w:pStyle w:val="form-control-static"/>
        <w:shd w:val="clear" w:color="auto" w:fill="FFFFFF"/>
        <w:spacing w:before="0" w:beforeAutospacing="0" w:after="0" w:afterAutospacing="0"/>
        <w:rPr>
          <w:rFonts w:asciiTheme="minorHAnsi" w:hAnsiTheme="minorHAnsi"/>
          <w:color w:val="4A4A4A"/>
          <w:sz w:val="21"/>
          <w:lang w:val="en-US"/>
        </w:rPr>
      </w:pPr>
      <w:r>
        <w:rPr>
          <w:rFonts w:asciiTheme="minorHAnsi" w:hAnsiTheme="minorHAnsi"/>
          <w:color w:val="4A4A4A"/>
          <w:sz w:val="21"/>
          <w:szCs w:val="21"/>
          <w:lang w:val="de-DE"/>
        </w:rPr>
        <w:t>PROL</w:t>
      </w:r>
      <w:r w:rsidRPr="00715DE9">
        <w:rPr>
          <w:rFonts w:asciiTheme="minorHAnsi" w:hAnsiTheme="minorHAnsi"/>
          <w:color w:val="4A4A4A"/>
          <w:sz w:val="21"/>
          <w:szCs w:val="21"/>
          <w:vertAlign w:val="subscript"/>
          <w:lang w:val="de-DE"/>
        </w:rPr>
        <w:t>0t</w:t>
      </w:r>
      <w:proofErr w:type="gramStart"/>
      <w:r w:rsidRPr="00715DE9">
        <w:rPr>
          <w:rFonts w:asciiTheme="minorHAnsi" w:hAnsiTheme="minorHAnsi"/>
          <w:color w:val="4A4A4A"/>
          <w:sz w:val="21"/>
          <w:szCs w:val="21"/>
          <w:vertAlign w:val="subscript"/>
          <w:lang w:val="de-DE"/>
        </w:rPr>
        <w:t>1,AG</w:t>
      </w:r>
      <w:proofErr w:type="gramEnd"/>
      <w:r w:rsidRPr="00715DE9">
        <w:rPr>
          <w:rFonts w:asciiTheme="minorHAnsi" w:hAnsiTheme="minorHAnsi"/>
          <w:color w:val="4A4A4A"/>
          <w:sz w:val="21"/>
          <w:szCs w:val="21"/>
          <w:vertAlign w:val="subscript"/>
          <w:lang w:val="de-DE"/>
        </w:rPr>
        <w:t>(a-1)</w:t>
      </w:r>
      <w:r>
        <w:rPr>
          <w:rFonts w:asciiTheme="minorHAnsi" w:hAnsiTheme="minorHAnsi"/>
          <w:color w:val="4A4A4A"/>
          <w:sz w:val="21"/>
          <w:szCs w:val="21"/>
          <w:lang w:val="de-DE"/>
        </w:rPr>
        <w:t xml:space="preserve"> = E</w:t>
      </w:r>
      <w:r w:rsidRPr="00715DE9">
        <w:rPr>
          <w:rFonts w:asciiTheme="minorHAnsi" w:hAnsiTheme="minorHAnsi"/>
          <w:color w:val="4A4A4A"/>
          <w:sz w:val="21"/>
          <w:szCs w:val="21"/>
          <w:vertAlign w:val="subscript"/>
          <w:lang w:val="de-DE"/>
        </w:rPr>
        <w:t>0t1,AG(a-1)</w:t>
      </w:r>
      <w:r w:rsidR="00715DE9" w:rsidRPr="00515170">
        <w:rPr>
          <w:rFonts w:asciiTheme="minorHAnsi" w:hAnsiTheme="minorHAnsi"/>
          <w:color w:val="4A4A4A"/>
          <w:sz w:val="21"/>
          <w:lang w:val="en-US"/>
        </w:rPr>
        <w:t>/</w:t>
      </w:r>
      <w:r w:rsidRPr="00515170">
        <w:rPr>
          <w:rFonts w:asciiTheme="minorHAnsi" w:hAnsiTheme="minorHAnsi"/>
          <w:color w:val="4A4A4A"/>
          <w:sz w:val="21"/>
          <w:lang w:val="en-US"/>
        </w:rPr>
        <w:t>SAP</w:t>
      </w:r>
      <w:r w:rsidRPr="00515170">
        <w:rPr>
          <w:rFonts w:asciiTheme="minorHAnsi" w:hAnsiTheme="minorHAnsi"/>
          <w:color w:val="4A4A4A"/>
          <w:sz w:val="21"/>
          <w:vertAlign w:val="subscript"/>
          <w:lang w:val="en-US"/>
        </w:rPr>
        <w:t>AG(a-1)</w:t>
      </w:r>
    </w:p>
    <w:p w14:paraId="7484B5F5" w14:textId="77777777" w:rsidR="00352D75" w:rsidRPr="00515170" w:rsidRDefault="00352D75" w:rsidP="00352D75">
      <w:pPr>
        <w:pStyle w:val="form-control-static"/>
        <w:shd w:val="clear" w:color="auto" w:fill="FFFFFF"/>
        <w:spacing w:before="0" w:beforeAutospacing="0" w:after="0" w:afterAutospacing="0"/>
        <w:rPr>
          <w:rFonts w:asciiTheme="minorHAnsi" w:hAnsiTheme="minorHAnsi"/>
          <w:color w:val="4A4A4A"/>
          <w:sz w:val="21"/>
          <w:lang w:val="en-US"/>
        </w:rPr>
      </w:pPr>
    </w:p>
    <w:p w14:paraId="22457536"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5DAE602C"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p>
    <w:p w14:paraId="05AC63BC"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PROL</w:t>
      </w:r>
      <w:r w:rsidRPr="00715DE9">
        <w:rPr>
          <w:rFonts w:asciiTheme="minorHAnsi" w:hAnsiTheme="minorHAnsi"/>
          <w:color w:val="4A4A4A"/>
          <w:sz w:val="21"/>
          <w:szCs w:val="21"/>
          <w:vertAlign w:val="subscript"/>
        </w:rPr>
        <w:t>0t</w:t>
      </w:r>
      <w:proofErr w:type="gramStart"/>
      <w:r w:rsidRPr="00715DE9">
        <w:rPr>
          <w:rFonts w:asciiTheme="minorHAnsi" w:hAnsiTheme="minorHAnsi"/>
          <w:color w:val="4A4A4A"/>
          <w:sz w:val="21"/>
          <w:szCs w:val="21"/>
          <w:vertAlign w:val="subscript"/>
        </w:rPr>
        <w:t>1,AG</w:t>
      </w:r>
      <w:proofErr w:type="gramEnd"/>
      <w:r w:rsidRPr="00715DE9">
        <w:rPr>
          <w:rFonts w:asciiTheme="minorHAnsi" w:hAnsiTheme="minorHAnsi"/>
          <w:color w:val="4A4A4A"/>
          <w:sz w:val="21"/>
          <w:szCs w:val="21"/>
          <w:vertAlign w:val="subscript"/>
        </w:rPr>
        <w:t>(a-1)</w:t>
      </w:r>
      <w:r>
        <w:rPr>
          <w:rFonts w:asciiTheme="minorHAnsi" w:hAnsiTheme="minorHAnsi"/>
          <w:color w:val="4A4A4A"/>
          <w:sz w:val="21"/>
          <w:szCs w:val="21"/>
        </w:rPr>
        <w:t xml:space="preserve"> = participation rate in organized learning one year before the official entry age a to primary education</w:t>
      </w:r>
    </w:p>
    <w:p w14:paraId="417ADE6A"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p>
    <w:p w14:paraId="21B36E6A"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E</w:t>
      </w:r>
      <w:r w:rsidRPr="00715DE9">
        <w:rPr>
          <w:rFonts w:asciiTheme="minorHAnsi" w:hAnsiTheme="minorHAnsi"/>
          <w:color w:val="4A4A4A"/>
          <w:sz w:val="21"/>
          <w:szCs w:val="21"/>
          <w:vertAlign w:val="subscript"/>
        </w:rPr>
        <w:t>0t</w:t>
      </w:r>
      <w:proofErr w:type="gramStart"/>
      <w:r w:rsidRPr="00715DE9">
        <w:rPr>
          <w:rFonts w:asciiTheme="minorHAnsi" w:hAnsiTheme="minorHAnsi"/>
          <w:color w:val="4A4A4A"/>
          <w:sz w:val="21"/>
          <w:szCs w:val="21"/>
          <w:vertAlign w:val="subscript"/>
        </w:rPr>
        <w:t>1,AG</w:t>
      </w:r>
      <w:proofErr w:type="gramEnd"/>
      <w:r w:rsidRPr="00715DE9">
        <w:rPr>
          <w:rFonts w:asciiTheme="minorHAnsi" w:hAnsiTheme="minorHAnsi"/>
          <w:color w:val="4A4A4A"/>
          <w:sz w:val="21"/>
          <w:szCs w:val="21"/>
          <w:vertAlign w:val="subscript"/>
        </w:rPr>
        <w:t>(a-1)</w:t>
      </w:r>
      <w:r>
        <w:rPr>
          <w:rFonts w:asciiTheme="minorHAnsi" w:hAnsiTheme="minorHAnsi"/>
          <w:color w:val="4A4A4A"/>
          <w:sz w:val="21"/>
          <w:szCs w:val="21"/>
        </w:rPr>
        <w:t xml:space="preserve"> = enrolment in early childhood or primary education (ISCED levels 0 and 1) aged one year below the official entry age a to primary education</w:t>
      </w:r>
    </w:p>
    <w:p w14:paraId="7B9F8D2E"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p>
    <w:p w14:paraId="4FC242CD" w14:textId="29282BF4" w:rsidR="00576CFA" w:rsidRP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SAP</w:t>
      </w:r>
      <w:r w:rsidRPr="00715DE9">
        <w:rPr>
          <w:rFonts w:asciiTheme="minorHAnsi" w:hAnsiTheme="minorHAnsi"/>
          <w:color w:val="4A4A4A"/>
          <w:sz w:val="21"/>
          <w:szCs w:val="21"/>
          <w:vertAlign w:val="subscript"/>
        </w:rPr>
        <w:t>AG(a-1)</w:t>
      </w:r>
      <w:r>
        <w:rPr>
          <w:rFonts w:asciiTheme="minorHAnsi" w:hAnsiTheme="minorHAnsi"/>
          <w:color w:val="4A4A4A"/>
          <w:sz w:val="21"/>
          <w:szCs w:val="21"/>
        </w:rPr>
        <w:t xml:space="preserve"> = school-age population aged one year below the official entry age a to primary education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9D4C7D1" w14:textId="651E0199" w:rsidR="00DB4324" w:rsidRDefault="0083557A" w:rsidP="00576CFA">
      <w:pPr>
        <w:pStyle w:val="MText"/>
      </w:pPr>
      <w:r>
        <w:t>The</w:t>
      </w:r>
      <w:r w:rsidRPr="00F674FB">
        <w:t xml:space="preserve"> UNESCO Institute for Statistics </w:t>
      </w:r>
      <w:r>
        <w:t>shares</w:t>
      </w:r>
      <w:r w:rsidRPr="00F674FB">
        <w:t xml:space="preserve"> all indicator values and notes on methodology </w:t>
      </w:r>
      <w:r>
        <w:t xml:space="preserve">with </w:t>
      </w:r>
      <w:r w:rsidRPr="00F674FB">
        <w:t xml:space="preserve">National Statistical Offices, Ministries of Education, or other relevant agencies </w:t>
      </w:r>
      <w:r>
        <w:t xml:space="preserve">in individual countries </w:t>
      </w:r>
      <w:r w:rsidRPr="00F674FB">
        <w:t>for their review</w:t>
      </w:r>
      <w:r>
        <w:t xml:space="preserve">, </w:t>
      </w:r>
      <w:proofErr w:type="gramStart"/>
      <w:r>
        <w:t>feedback</w:t>
      </w:r>
      <w:proofErr w:type="gramEnd"/>
      <w:r w:rsidRPr="00F674FB">
        <w:t xml:space="preserve"> and </w:t>
      </w:r>
      <w:r>
        <w:t>validation b</w:t>
      </w:r>
      <w:r w:rsidRPr="004B2B5C">
        <w:t xml:space="preserve">efore </w:t>
      </w:r>
      <w:r>
        <w:t xml:space="preserve">the publication of the data. </w:t>
      </w:r>
    </w:p>
    <w:p w14:paraId="4B304012" w14:textId="77777777" w:rsidR="00097164" w:rsidRDefault="00097164" w:rsidP="00576CFA">
      <w:pPr>
        <w:pStyle w:val="MText"/>
      </w:pPr>
    </w:p>
    <w:p w14:paraId="2CF2A343" w14:textId="0A7F0CBE" w:rsidR="00E1050F" w:rsidRPr="00A96255" w:rsidRDefault="00E1050F" w:rsidP="00F719A8">
      <w:pPr>
        <w:pStyle w:val="MHeader2"/>
      </w:pPr>
      <w:r w:rsidRPr="00A96255">
        <w:t>4.e. Adjustments</w:t>
      </w:r>
    </w:p>
    <w:p w14:paraId="5032CC5E" w14:textId="237934D1" w:rsidR="00576CFA" w:rsidRPr="00A96255" w:rsidRDefault="000D5B58" w:rsidP="00D5459D">
      <w:pPr>
        <w:pStyle w:val="MText"/>
      </w:pPr>
      <w:r w:rsidRPr="000D5B58">
        <w:t>Data should be reported according to the levels of education defined in the International Standard Classification of Education (ISCED) to ensure international comparability of resulting indicators.</w:t>
      </w:r>
      <w:r w:rsidR="00D5459D">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729E5A60" w14:textId="77777777" w:rsidR="00352D75" w:rsidRPr="00515170" w:rsidRDefault="00352D75" w:rsidP="00352D75">
      <w:pPr>
        <w:pStyle w:val="MText"/>
        <w:rPr>
          <w:b/>
          <w:bCs/>
        </w:rPr>
      </w:pPr>
      <w:r w:rsidRPr="00515170">
        <w:rPr>
          <w:b/>
          <w:bCs/>
        </w:rPr>
        <w:t>•</w:t>
      </w:r>
      <w:r w:rsidRPr="00515170">
        <w:rPr>
          <w:b/>
          <w:bCs/>
        </w:rPr>
        <w:tab/>
        <w:t>At country level</w:t>
      </w:r>
    </w:p>
    <w:p w14:paraId="1136751F" w14:textId="77777777" w:rsidR="00352D75" w:rsidRDefault="00352D75" w:rsidP="00352D75">
      <w:pPr>
        <w:pStyle w:val="MText"/>
      </w:pPr>
      <w:r>
        <w:t xml:space="preserve">The UIS estimates certain key items of data that may be missing or incomplete </w:t>
      </w:r>
      <w:proofErr w:type="gramStart"/>
      <w:r>
        <w:t>in order to</w:t>
      </w:r>
      <w:proofErr w:type="gramEnd"/>
      <w:r>
        <w:t xml:space="preserve"> have publishable estimates at the country level. Where this is not possible the UIS imputes missing values for use only for calculating regional and global aggregates.</w:t>
      </w:r>
    </w:p>
    <w:p w14:paraId="7137D012" w14:textId="77777777" w:rsidR="00352D75" w:rsidRDefault="00352D75" w:rsidP="00352D75">
      <w:pPr>
        <w:pStyle w:val="MText"/>
      </w:pPr>
    </w:p>
    <w:p w14:paraId="05362A05" w14:textId="77777777" w:rsidR="00352D75" w:rsidRDefault="00352D75" w:rsidP="00352D75">
      <w:pPr>
        <w:pStyle w:val="MText"/>
      </w:pPr>
      <w:r>
        <w:t>For the purposes of calculating participation rates by age, the UIS may make one or more of the following:</w:t>
      </w:r>
    </w:p>
    <w:p w14:paraId="09F6AF74" w14:textId="77777777" w:rsidR="00352D75" w:rsidRDefault="00352D75" w:rsidP="00352D75">
      <w:pPr>
        <w:pStyle w:val="MText"/>
      </w:pPr>
    </w:p>
    <w:p w14:paraId="57B59A01" w14:textId="77777777" w:rsidR="00352D75" w:rsidRDefault="00352D75" w:rsidP="00515170">
      <w:pPr>
        <w:pStyle w:val="MText"/>
      </w:pPr>
      <w:r>
        <w:t>• An adjustment to account for over- or under-reporting, for example:</w:t>
      </w:r>
    </w:p>
    <w:p w14:paraId="6CE20049" w14:textId="77777777" w:rsidR="00352D75" w:rsidRDefault="00352D75" w:rsidP="00352D75">
      <w:pPr>
        <w:pStyle w:val="MText"/>
      </w:pPr>
    </w:p>
    <w:p w14:paraId="3531EE40" w14:textId="77777777" w:rsidR="00352D75" w:rsidRDefault="00352D75" w:rsidP="00515170">
      <w:pPr>
        <w:pStyle w:val="MText"/>
        <w:ind w:left="720"/>
      </w:pPr>
      <w:r>
        <w:t xml:space="preserve">o </w:t>
      </w:r>
      <w:proofErr w:type="gramStart"/>
      <w:r>
        <w:t>To</w:t>
      </w:r>
      <w:proofErr w:type="gramEnd"/>
      <w:r>
        <w:t xml:space="preserve"> include enrolments in a type of education – such as private education or special education – not reported by the country; and/or </w:t>
      </w:r>
    </w:p>
    <w:p w14:paraId="578DDF4C" w14:textId="77777777" w:rsidR="00352D75" w:rsidRDefault="00352D75" w:rsidP="00515170">
      <w:pPr>
        <w:pStyle w:val="MText"/>
        <w:ind w:left="720"/>
      </w:pPr>
    </w:p>
    <w:p w14:paraId="78BC3C79" w14:textId="77777777" w:rsidR="00352D75" w:rsidRDefault="00352D75" w:rsidP="00515170">
      <w:pPr>
        <w:pStyle w:val="MText"/>
        <w:ind w:left="720"/>
      </w:pPr>
      <w:r>
        <w:t xml:space="preserve">o </w:t>
      </w:r>
      <w:proofErr w:type="gramStart"/>
      <w:r>
        <w:t>To</w:t>
      </w:r>
      <w:proofErr w:type="gramEnd"/>
      <w:r>
        <w:t xml:space="preserve"> include enrolments in a part of the country not reported by the country.</w:t>
      </w:r>
    </w:p>
    <w:p w14:paraId="6868F44D" w14:textId="77777777" w:rsidR="00352D75" w:rsidRDefault="00352D75" w:rsidP="00515170">
      <w:pPr>
        <w:pStyle w:val="MText"/>
      </w:pPr>
    </w:p>
    <w:p w14:paraId="1D71220A" w14:textId="77777777" w:rsidR="00352D75" w:rsidRDefault="00352D75" w:rsidP="00515170">
      <w:pPr>
        <w:pStyle w:val="MText"/>
      </w:pPr>
      <w:r>
        <w:t>• An estimate of the number of enrolments in the given age group if the age distribution was not reported by the country</w:t>
      </w:r>
    </w:p>
    <w:p w14:paraId="18339AF9" w14:textId="77777777" w:rsidR="00352D75" w:rsidRDefault="00352D75" w:rsidP="00515170">
      <w:pPr>
        <w:pStyle w:val="MText"/>
      </w:pPr>
    </w:p>
    <w:p w14:paraId="0ECD04EC" w14:textId="77777777" w:rsidR="00352D75" w:rsidRDefault="00352D75" w:rsidP="00515170">
      <w:pPr>
        <w:pStyle w:val="MText"/>
      </w:pPr>
      <w:r>
        <w:t>• A redistribution of enrolments of unknown age (across known ages)</w:t>
      </w:r>
    </w:p>
    <w:p w14:paraId="6A4289A1" w14:textId="77777777" w:rsidR="00352D75" w:rsidRDefault="00352D75" w:rsidP="00515170">
      <w:pPr>
        <w:pStyle w:val="MText"/>
      </w:pPr>
    </w:p>
    <w:p w14:paraId="15A6D2A9" w14:textId="77777777" w:rsidR="00352D75" w:rsidRDefault="00352D75" w:rsidP="00515170">
      <w:pPr>
        <w:pStyle w:val="MText"/>
      </w:pPr>
      <w:r>
        <w:t>• An estimate of the population in the official age group for small countries (if neither the UN Population Division nor the country itself can provide estimates of their own).</w:t>
      </w:r>
    </w:p>
    <w:p w14:paraId="3BEC69D2" w14:textId="77777777" w:rsidR="00352D75" w:rsidRDefault="00352D75" w:rsidP="00352D75">
      <w:pPr>
        <w:pStyle w:val="MText"/>
      </w:pPr>
    </w:p>
    <w:p w14:paraId="77A4819D" w14:textId="11CCF2DF" w:rsidR="00352D75" w:rsidRDefault="00352D75" w:rsidP="00352D75">
      <w:pPr>
        <w:pStyle w:val="MText"/>
      </w:pPr>
      <w:r>
        <w:t>In all cases estimates are based on evidence from the country itself (</w:t>
      </w:r>
      <w:proofErr w:type="gramStart"/>
      <w:r>
        <w:t>e</w:t>
      </w:r>
      <w:r w:rsidR="004C3E39">
        <w:t>.</w:t>
      </w:r>
      <w:r>
        <w:t>g</w:t>
      </w:r>
      <w:r w:rsidR="004C3E39">
        <w:t>.</w:t>
      </w:r>
      <w:proofErr w:type="gramEnd"/>
      <w: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w:t>
      </w:r>
      <w:proofErr w:type="spellStart"/>
      <w:r>
        <w:t>i</w:t>
      </w:r>
      <w:proofErr w:type="spellEnd"/>
      <w:r>
        <w:t xml:space="preserve">) as observed data if the missing items are found in a national source; (ii) as national estimates if the country is persuaded to produce estimates and submit them in place of missing data; or (iii) as UIS </w:t>
      </w:r>
      <w:proofErr w:type="gramStart"/>
      <w:r>
        <w:t>estimates, if</w:t>
      </w:r>
      <w:proofErr w:type="gramEnd"/>
      <w:r>
        <w:t xml:space="preserve"> the estimates are made by the UIS.</w:t>
      </w:r>
    </w:p>
    <w:p w14:paraId="7D0D6C8D" w14:textId="77777777" w:rsidR="00352D75" w:rsidRDefault="00352D75" w:rsidP="00352D75">
      <w:pPr>
        <w:pStyle w:val="MText"/>
      </w:pPr>
    </w:p>
    <w:p w14:paraId="070A5BA1" w14:textId="77777777" w:rsidR="00352D75" w:rsidRDefault="00352D75" w:rsidP="00352D75">
      <w:pPr>
        <w:pStyle w:val="MText"/>
      </w:pPr>
      <w:r>
        <w:t xml:space="preserve">The age distribution of enrolments is </w:t>
      </w:r>
      <w:proofErr w:type="gramStart"/>
      <w:r>
        <w:t>most commonly estimated</w:t>
      </w:r>
      <w:proofErr w:type="gramEnd"/>
      <w:r>
        <w:t xml:space="preserve"> from the age distribution reported in a previous year. If the country has never reported the age distribution of enrolments, the age distribution reported in another survey, if available, is used (such as Multiple Indicator Cluster Surveys (MICS) or Demographic Health Surveys (DHS)).</w:t>
      </w:r>
    </w:p>
    <w:p w14:paraId="3369F373" w14:textId="77777777" w:rsidR="00352D75" w:rsidRDefault="00352D75" w:rsidP="00352D75">
      <w:pPr>
        <w:pStyle w:val="MText"/>
      </w:pPr>
    </w:p>
    <w:p w14:paraId="02AD52F4" w14:textId="77777777" w:rsidR="00352D75" w:rsidRDefault="00352D75" w:rsidP="00352D75">
      <w:pPr>
        <w:pStyle w:val="MText"/>
      </w:pPr>
      <w:r>
        <w:t>Enrolments of unknown age are redistributed across known ages if they constitute more than 5% of the total enrolments in that level of education. No estimation is made if they are 5% or less.</w:t>
      </w:r>
    </w:p>
    <w:p w14:paraId="4E541BC1" w14:textId="77777777" w:rsidR="00352D75" w:rsidRDefault="00352D75" w:rsidP="00352D75">
      <w:pPr>
        <w:pStyle w:val="MText"/>
      </w:pPr>
    </w:p>
    <w:p w14:paraId="0BB98F0A" w14:textId="77777777" w:rsidR="00352D75" w:rsidRDefault="00352D75" w:rsidP="00352D75">
      <w:pPr>
        <w:pStyle w:val="MText"/>
      </w:pPr>
      <w:r>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r>
    </w:p>
    <w:p w14:paraId="68B12788" w14:textId="77777777" w:rsidR="00352D75" w:rsidRDefault="00352D75" w:rsidP="00352D75">
      <w:pPr>
        <w:pStyle w:val="MText"/>
      </w:pPr>
    </w:p>
    <w:p w14:paraId="6F466F62" w14:textId="77777777" w:rsidR="00352D75" w:rsidRPr="00515170" w:rsidRDefault="00352D75" w:rsidP="00352D75">
      <w:pPr>
        <w:pStyle w:val="MText"/>
        <w:rPr>
          <w:b/>
          <w:bCs/>
        </w:rPr>
      </w:pPr>
      <w:r w:rsidRPr="00515170">
        <w:rPr>
          <w:b/>
          <w:bCs/>
        </w:rPr>
        <w:t>•</w:t>
      </w:r>
      <w:r w:rsidRPr="00515170">
        <w:rPr>
          <w:b/>
          <w:bCs/>
        </w:rPr>
        <w:tab/>
        <w:t>At regional and global levels</w:t>
      </w:r>
    </w:p>
    <w:p w14:paraId="3F26CE00" w14:textId="77777777" w:rsidR="00352D75" w:rsidRDefault="00352D75" w:rsidP="00352D75">
      <w:pPr>
        <w:pStyle w:val="MText"/>
      </w:pPr>
      <w: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r>
    </w:p>
    <w:p w14:paraId="4EB9ABA4" w14:textId="77777777" w:rsidR="00352D75" w:rsidRDefault="00352D75" w:rsidP="00352D75">
      <w:pPr>
        <w:pStyle w:val="MText"/>
      </w:pPr>
    </w:p>
    <w:p w14:paraId="43FAA405" w14:textId="77777777" w:rsidR="00352D75" w:rsidRDefault="00352D75" w:rsidP="00352D75">
      <w:pPr>
        <w:pStyle w:val="MText"/>
      </w:pPr>
      <w:r>
        <w:t xml:space="preserve">When data are not available for all countries, the UIS imputes national data for the sole purpose of calculating regional averages. These imputed data are not published nor otherwise disseminated. </w:t>
      </w:r>
    </w:p>
    <w:p w14:paraId="01732DCF" w14:textId="77777777" w:rsidR="00352D75" w:rsidRDefault="00352D75" w:rsidP="00352D75">
      <w:pPr>
        <w:pStyle w:val="MText"/>
      </w:pPr>
    </w:p>
    <w:p w14:paraId="3AB11772" w14:textId="77777777" w:rsidR="00352D75" w:rsidRDefault="00352D75" w:rsidP="00352D75">
      <w:pPr>
        <w:pStyle w:val="MText"/>
      </w:pPr>
      <w: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36DD4190" w14:textId="77777777" w:rsidR="00352D75" w:rsidRDefault="00352D75" w:rsidP="00352D75">
      <w:pPr>
        <w:pStyle w:val="MText"/>
      </w:pPr>
    </w:p>
    <w:p w14:paraId="61290BC0" w14:textId="77777777" w:rsidR="00352D75" w:rsidRDefault="00352D75" w:rsidP="00352D75">
      <w:pPr>
        <w:pStyle w:val="MText"/>
      </w:pPr>
      <w:r>
        <w:t>Where the relevant data are not available at all for a country, estimates may be based on another variable which is clearly linked to the item being estimated. For example, enrolments by age may be based on total enrolments.</w:t>
      </w:r>
    </w:p>
    <w:p w14:paraId="7EB4A7CD" w14:textId="77777777" w:rsidR="00352D75" w:rsidRDefault="00352D75" w:rsidP="00352D75">
      <w:pPr>
        <w:pStyle w:val="MText"/>
      </w:pPr>
    </w:p>
    <w:p w14:paraId="7396689E" w14:textId="77777777" w:rsidR="00352D75" w:rsidRDefault="00352D75" w:rsidP="00352D75">
      <w:pPr>
        <w:pStyle w:val="MText"/>
      </w:pPr>
      <w:r>
        <w:t>Where no data are available for the country in any year that can inform the estimate, the unweighted average for the region in which the country lies is used.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022CB579" w:rsidR="00576CFA" w:rsidRPr="00A96255" w:rsidRDefault="00352D75" w:rsidP="00E1050F">
      <w:pPr>
        <w:pStyle w:val="MText"/>
      </w:pPr>
      <w:r w:rsidRPr="00352D75">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F204AFF" w14:textId="2D829DA3" w:rsidR="007D41EE" w:rsidRPr="00A96255" w:rsidRDefault="00D5459D" w:rsidP="00824D07">
      <w:pPr>
        <w:pStyle w:val="MText"/>
      </w:pPr>
      <w:r w:rsidRPr="00D5459D">
        <w:t>The UIS has elaborated guidance for the countries on the methodology that should be used to calculate this indicator. ISCED mappings that help countries report their data in an internationally comparable framework are available on the website of the UNESCO Institute for Statistics (http://uis.unesco.org/en/isced-mappings).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53B6949E" w:rsidR="00EC2915" w:rsidRDefault="000508B3" w:rsidP="00576CFA">
      <w:pPr>
        <w:pStyle w:val="MText"/>
      </w:pPr>
      <w:r w:rsidRPr="000508B3">
        <w:t>The UIS maintains the global database used to produce this indicator.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 The international reporting of enrolment data should be based on the 2011 International Standard Classification of Education maintained by the UIS. Population data are produced and maintained by the United Nations Population Division (UNPD).</w:t>
      </w:r>
    </w:p>
    <w:p w14:paraId="0BD25427" w14:textId="77777777" w:rsidR="000508B3" w:rsidRPr="00A96255" w:rsidRDefault="000508B3" w:rsidP="00576CFA">
      <w:pPr>
        <w:pStyle w:val="MText"/>
      </w:pPr>
    </w:p>
    <w:p w14:paraId="17B979CA" w14:textId="449C0153" w:rsidR="00E1050F" w:rsidRPr="00A96255" w:rsidRDefault="00E1050F" w:rsidP="00F719A8">
      <w:pPr>
        <w:pStyle w:val="MHeader2"/>
      </w:pPr>
      <w:r w:rsidRPr="00A96255">
        <w:t>4.j Quality assurance</w:t>
      </w:r>
    </w:p>
    <w:p w14:paraId="4372C210" w14:textId="77777777" w:rsidR="003E3220" w:rsidRDefault="003E3220" w:rsidP="003E3220">
      <w:pPr>
        <w:pStyle w:val="MText"/>
      </w:pPr>
      <w:r>
        <w:t>The process for quality assurance includes review of survey documentation to make sure that the definition of organized learning programmes is consistent across various surveys, review of the indicator values across time, calculation of measures of reliability, examination of consistency of indicator values derived from different sources and, if necessary, consultation with data providers.</w:t>
      </w:r>
    </w:p>
    <w:p w14:paraId="7E6B04E3" w14:textId="2A0296FD" w:rsidR="00576CFA" w:rsidRPr="00A96255" w:rsidRDefault="003E3220" w:rsidP="007B59CD">
      <w:pPr>
        <w:pStyle w:val="MText"/>
      </w:pPr>
      <w:r>
        <w:t xml:space="preserve">Before its annual data release and the addition of any indicators to the global SDG Indicators Database, the UNESCO Institute for Statistics submits all indicator values and notes on methodology to National Statistical Offices, Ministries of </w:t>
      </w:r>
      <w:proofErr w:type="gramStart"/>
      <w:r>
        <w:t>Education</w:t>
      </w:r>
      <w:proofErr w:type="gramEnd"/>
      <w:r>
        <w:t xml:space="preserve">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397D3A35" w:rsidR="00576CFA" w:rsidRDefault="00F53E48" w:rsidP="00576CFA">
      <w:pPr>
        <w:pStyle w:val="MText"/>
      </w:pPr>
      <w:r w:rsidRPr="00F53E48">
        <w:t xml:space="preserve">The indicator should be based on enrolment by single year of age in early learning programmes in all types of education institutions, including public, private and all other institutions that provide organized educational programmes. Criteria for quality assessment </w:t>
      </w:r>
      <w:proofErr w:type="gramStart"/>
      <w:r w:rsidRPr="00F53E48">
        <w:t>include:</w:t>
      </w:r>
      <w:proofErr w:type="gramEnd"/>
      <w:r w:rsidRPr="00F53E48">
        <w:t xml:space="preserve"> data sources must include proper </w:t>
      </w:r>
      <w:r w:rsidRPr="00F53E48">
        <w:lastRenderedPageBreak/>
        <w:t>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15170" w:rsidRDefault="00D51E7C" w:rsidP="00576CFA">
      <w:pPr>
        <w:pStyle w:val="MText"/>
        <w:rPr>
          <w:b/>
          <w:bCs/>
        </w:rPr>
      </w:pPr>
      <w:r w:rsidRPr="00515170">
        <w:rPr>
          <w:b/>
          <w:bCs/>
        </w:rPr>
        <w:t>Data availability:</w:t>
      </w:r>
    </w:p>
    <w:p w14:paraId="30A0F4FB" w14:textId="77777777" w:rsidR="00352D75" w:rsidRDefault="00352D75" w:rsidP="00352D75">
      <w:pPr>
        <w:pStyle w:val="MText"/>
      </w:pPr>
      <w:r w:rsidRPr="00CB088D">
        <w:t>167</w:t>
      </w:r>
      <w:r>
        <w:t xml:space="preserve"> countries with at least one data point in the period 2010-20</w:t>
      </w:r>
      <w:r w:rsidRPr="00CB088D">
        <w:t>19</w:t>
      </w:r>
      <w:r>
        <w:t>.</w:t>
      </w:r>
    </w:p>
    <w:p w14:paraId="29E31FF8" w14:textId="77777777" w:rsidR="00352D75" w:rsidRDefault="00352D75" w:rsidP="00352D75">
      <w:pPr>
        <w:pStyle w:val="MText"/>
      </w:pPr>
    </w:p>
    <w:p w14:paraId="19B97F5F" w14:textId="7AE5A175" w:rsidR="00352D75" w:rsidRPr="00515170" w:rsidRDefault="00352D75" w:rsidP="00352D75">
      <w:pPr>
        <w:pStyle w:val="MText"/>
        <w:rPr>
          <w:b/>
          <w:bCs/>
        </w:rPr>
      </w:pPr>
      <w:r w:rsidRPr="00515170">
        <w:rPr>
          <w:b/>
          <w:bCs/>
        </w:rPr>
        <w:t>Time series:</w:t>
      </w:r>
    </w:p>
    <w:p w14:paraId="7C582019" w14:textId="77777777" w:rsidR="00352D75" w:rsidRDefault="00352D75" w:rsidP="00352D75">
      <w:pPr>
        <w:pStyle w:val="MText"/>
      </w:pPr>
      <w:r>
        <w:t>1998-20</w:t>
      </w:r>
      <w:r w:rsidRPr="00CB088D">
        <w:t>19</w:t>
      </w:r>
      <w:r>
        <w:t xml:space="preserve"> in UIS database; 2000-20</w:t>
      </w:r>
      <w:r w:rsidRPr="00CB088D">
        <w:t>19</w:t>
      </w:r>
      <w:r>
        <w:t xml:space="preserve"> in SDG global database. </w:t>
      </w:r>
    </w:p>
    <w:p w14:paraId="760C013A" w14:textId="4597FCBD" w:rsidR="00D51E7C" w:rsidRPr="00C019E5" w:rsidRDefault="00D51E7C" w:rsidP="00576CFA">
      <w:pPr>
        <w:pStyle w:val="MText"/>
        <w:rPr>
          <w:highlight w:val="cyan"/>
        </w:rPr>
      </w:pPr>
    </w:p>
    <w:p w14:paraId="6B14251B" w14:textId="3D0F9019" w:rsidR="00352D75" w:rsidRPr="00515170" w:rsidRDefault="00352D75" w:rsidP="00352D75">
      <w:pPr>
        <w:pStyle w:val="MText"/>
        <w:rPr>
          <w:b/>
          <w:bCs/>
        </w:rPr>
      </w:pPr>
      <w:r w:rsidRPr="00515170">
        <w:rPr>
          <w:b/>
          <w:bCs/>
        </w:rPr>
        <w:t>Disaggregation:</w:t>
      </w:r>
    </w:p>
    <w:p w14:paraId="42E8CA56" w14:textId="00C1E089" w:rsidR="00D51E7C" w:rsidRDefault="00352D75" w:rsidP="00352D75">
      <w:pPr>
        <w:pStyle w:val="MText"/>
      </w:pPr>
      <w:r>
        <w:t xml:space="preserve">By age and sex from administrative sources, and by age, sex, </w:t>
      </w:r>
      <w:proofErr w:type="gramStart"/>
      <w:r>
        <w:t>location</w:t>
      </w:r>
      <w:proofErr w:type="gramEnd"/>
      <w:r>
        <w:t xml:space="preserve"> and income from household surveys.</w:t>
      </w:r>
    </w:p>
    <w:p w14:paraId="28CFA609" w14:textId="77777777" w:rsidR="00352D75" w:rsidRPr="00A96255" w:rsidRDefault="00352D75" w:rsidP="00352D75">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5975A5C" w14:textId="77777777" w:rsidR="00352D75" w:rsidRPr="00515170" w:rsidRDefault="00352D75" w:rsidP="00352D75">
      <w:pPr>
        <w:pStyle w:val="MText"/>
        <w:rPr>
          <w:b/>
          <w:bCs/>
        </w:rPr>
      </w:pPr>
      <w:r w:rsidRPr="00515170">
        <w:rPr>
          <w:b/>
          <w:bCs/>
        </w:rPr>
        <w:t>Sources of discrepancies:</w:t>
      </w:r>
    </w:p>
    <w:p w14:paraId="5AB6DD91" w14:textId="171AB32E" w:rsidR="00F719A8" w:rsidRDefault="00352D75" w:rsidP="00352D75">
      <w:pPr>
        <w:pStyle w:val="MText"/>
      </w:pPr>
      <w:r>
        <w:t>Nationally-published figures may differ from the international ones because of differences between national education systems and the International Standard Classification of Education (ISCED); or differences in coverage (</w:t>
      </w:r>
      <w:proofErr w:type="gramStart"/>
      <w:r>
        <w:t>i.e.</w:t>
      </w:r>
      <w:proofErr w:type="gramEnd"/>
      <w:r>
        <w:t xml:space="preserve"> the extent to which different types of education – e.g. private or special education – are included in one rather than the other) and/or between national and the United Nations Population Division (UNPD) population estimates.</w:t>
      </w:r>
    </w:p>
    <w:p w14:paraId="7658B85C" w14:textId="77777777" w:rsidR="00352D75" w:rsidRPr="00A96255" w:rsidRDefault="00352D75" w:rsidP="00352D75">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748C766" w14:textId="77777777" w:rsidR="00352D75" w:rsidRPr="00515170" w:rsidRDefault="00352D75" w:rsidP="00352D75">
      <w:pPr>
        <w:pStyle w:val="MText"/>
        <w:rPr>
          <w:b/>
          <w:bCs/>
        </w:rPr>
      </w:pPr>
      <w:r w:rsidRPr="00515170">
        <w:rPr>
          <w:b/>
          <w:bCs/>
        </w:rPr>
        <w:t>URL:</w:t>
      </w:r>
    </w:p>
    <w:p w14:paraId="28CE520D" w14:textId="1E4505C7" w:rsidR="00352D75" w:rsidRDefault="007923C6" w:rsidP="00352D75">
      <w:pPr>
        <w:pStyle w:val="MText"/>
      </w:pPr>
      <w:hyperlink r:id="rId12" w:history="1">
        <w:r w:rsidR="00B07FC0" w:rsidRPr="00CC7BBE">
          <w:rPr>
            <w:rStyle w:val="Hyperlink"/>
          </w:rPr>
          <w:t>http://www.uis.unesco.org</w:t>
        </w:r>
      </w:hyperlink>
      <w:r w:rsidR="00B07FC0">
        <w:t xml:space="preserve"> </w:t>
      </w:r>
    </w:p>
    <w:p w14:paraId="0E2E967D" w14:textId="77777777" w:rsidR="00352D75" w:rsidRDefault="00352D75" w:rsidP="00352D75">
      <w:pPr>
        <w:pStyle w:val="MText"/>
      </w:pPr>
    </w:p>
    <w:p w14:paraId="2C50041D" w14:textId="77777777" w:rsidR="00352D75" w:rsidRPr="00515170" w:rsidRDefault="00352D75" w:rsidP="00352D75">
      <w:pPr>
        <w:pStyle w:val="MText"/>
        <w:rPr>
          <w:b/>
          <w:bCs/>
        </w:rPr>
      </w:pPr>
      <w:r w:rsidRPr="00515170">
        <w:rPr>
          <w:b/>
          <w:bCs/>
        </w:rPr>
        <w:t>References:</w:t>
      </w:r>
    </w:p>
    <w:p w14:paraId="0CAC0693" w14:textId="77777777" w:rsidR="006E2A06" w:rsidRDefault="00352D75" w:rsidP="00352D75">
      <w:pPr>
        <w:pStyle w:val="MText"/>
        <w:rPr>
          <w:rStyle w:val="Hyperlink"/>
        </w:rPr>
      </w:pPr>
      <w:r>
        <w:t xml:space="preserve">The Survey of Formal Education Instruction Manual </w:t>
      </w:r>
      <w:hyperlink r:id="rId13" w:history="1">
        <w:r w:rsidR="006E2A06" w:rsidRPr="008E3BE3">
          <w:rPr>
            <w:rStyle w:val="Hyperlink"/>
          </w:rPr>
          <w:t>http://uis.unesco.org/sites/default/files/documents/instruction-manual-survey-formal-education-2017-en.pdf</w:t>
        </w:r>
      </w:hyperlink>
    </w:p>
    <w:p w14:paraId="065052E5" w14:textId="4B15542A" w:rsidR="00352D75" w:rsidRDefault="00352D75" w:rsidP="00352D75">
      <w:pPr>
        <w:pStyle w:val="MText"/>
      </w:pPr>
    </w:p>
    <w:p w14:paraId="0E68D43C" w14:textId="77777777" w:rsidR="006E2A06" w:rsidRDefault="00352D75" w:rsidP="00352D75">
      <w:pPr>
        <w:pStyle w:val="MText"/>
      </w:pPr>
      <w:r>
        <w:t>UIS Questionnaire on Students and Teachers (ISCED 0-4)</w:t>
      </w:r>
    </w:p>
    <w:p w14:paraId="66A2BF9C" w14:textId="77777777" w:rsidR="006E2A06" w:rsidRPr="00E5591D" w:rsidRDefault="007923C6" w:rsidP="006E2A06">
      <w:pPr>
        <w:pStyle w:val="form-control-static"/>
        <w:shd w:val="clear" w:color="auto" w:fill="FFFFFF"/>
        <w:spacing w:before="0" w:beforeAutospacing="0" w:after="0" w:afterAutospacing="0"/>
        <w:rPr>
          <w:rFonts w:asciiTheme="minorHAnsi" w:hAnsiTheme="minorHAnsi"/>
          <w:color w:val="4A4A4A"/>
          <w:sz w:val="21"/>
          <w:szCs w:val="21"/>
        </w:rPr>
      </w:pPr>
      <w:hyperlink r:id="rId14" w:history="1">
        <w:r w:rsidR="006E2A06" w:rsidRPr="00E5591D">
          <w:rPr>
            <w:rStyle w:val="Hyperlink"/>
            <w:rFonts w:asciiTheme="minorHAnsi" w:hAnsiTheme="minorHAnsi"/>
            <w:sz w:val="21"/>
            <w:szCs w:val="21"/>
          </w:rPr>
          <w:t>http://uis.unesco.org/en/uis-questionnaires</w:t>
        </w:r>
      </w:hyperlink>
    </w:p>
    <w:p w14:paraId="18E913AE" w14:textId="29FAB697" w:rsidR="00576CFA" w:rsidRPr="00A96255" w:rsidRDefault="00352D75" w:rsidP="00352D75">
      <w:pPr>
        <w:pStyle w:val="MText"/>
      </w:pPr>
      <w:r>
        <w:t xml:space="preserve"> </w:t>
      </w:r>
    </w:p>
    <w:p w14:paraId="384B0992" w14:textId="36889691" w:rsidR="00186795" w:rsidRDefault="00186795" w:rsidP="00515170"/>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70B4C" w14:textId="77777777" w:rsidR="007923C6" w:rsidRDefault="007923C6" w:rsidP="00573C0B">
      <w:pPr>
        <w:spacing w:after="0" w:line="240" w:lineRule="auto"/>
      </w:pPr>
      <w:r>
        <w:separator/>
      </w:r>
    </w:p>
  </w:endnote>
  <w:endnote w:type="continuationSeparator" w:id="0">
    <w:p w14:paraId="66A14999" w14:textId="77777777" w:rsidR="007923C6" w:rsidRDefault="007923C6" w:rsidP="00573C0B">
      <w:pPr>
        <w:spacing w:after="0" w:line="240" w:lineRule="auto"/>
      </w:pPr>
      <w:r>
        <w:continuationSeparator/>
      </w:r>
    </w:p>
  </w:endnote>
  <w:endnote w:type="continuationNotice" w:id="1">
    <w:p w14:paraId="69AE490B" w14:textId="77777777" w:rsidR="007923C6" w:rsidRDefault="007923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267B3" w14:textId="77777777" w:rsidR="007923C6" w:rsidRDefault="007923C6" w:rsidP="00573C0B">
      <w:pPr>
        <w:spacing w:after="0" w:line="240" w:lineRule="auto"/>
      </w:pPr>
      <w:r>
        <w:separator/>
      </w:r>
    </w:p>
  </w:footnote>
  <w:footnote w:type="continuationSeparator" w:id="0">
    <w:p w14:paraId="1D543620" w14:textId="77777777" w:rsidR="007923C6" w:rsidRDefault="007923C6" w:rsidP="00573C0B">
      <w:pPr>
        <w:spacing w:after="0" w:line="240" w:lineRule="auto"/>
      </w:pPr>
      <w:r>
        <w:continuationSeparator/>
      </w:r>
    </w:p>
  </w:footnote>
  <w:footnote w:type="continuationNotice" w:id="1">
    <w:p w14:paraId="070B7711" w14:textId="77777777" w:rsidR="007923C6" w:rsidRDefault="007923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785850FF"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97164">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F34"/>
    <w:multiLevelType w:val="hybridMultilevel"/>
    <w:tmpl w:val="6F78C638"/>
    <w:lvl w:ilvl="0" w:tplc="3C24AE18">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665A13"/>
    <w:multiLevelType w:val="hybridMultilevel"/>
    <w:tmpl w:val="6F826DA8"/>
    <w:lvl w:ilvl="0" w:tplc="EDCAEECA">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A29C9"/>
    <w:multiLevelType w:val="hybridMultilevel"/>
    <w:tmpl w:val="CBBED98E"/>
    <w:lvl w:ilvl="0" w:tplc="CC78905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20135"/>
    <w:multiLevelType w:val="hybridMultilevel"/>
    <w:tmpl w:val="1570C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1054A"/>
    <w:multiLevelType w:val="hybridMultilevel"/>
    <w:tmpl w:val="43B4C0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0"/>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08B3"/>
    <w:rsid w:val="0005455A"/>
    <w:rsid w:val="00071F07"/>
    <w:rsid w:val="0007759D"/>
    <w:rsid w:val="000777AB"/>
    <w:rsid w:val="00077F46"/>
    <w:rsid w:val="00090FB1"/>
    <w:rsid w:val="000939B6"/>
    <w:rsid w:val="00096186"/>
    <w:rsid w:val="00097164"/>
    <w:rsid w:val="00097829"/>
    <w:rsid w:val="000A72E4"/>
    <w:rsid w:val="000B0E2F"/>
    <w:rsid w:val="000B2430"/>
    <w:rsid w:val="000D0B30"/>
    <w:rsid w:val="000D5B58"/>
    <w:rsid w:val="000E21F1"/>
    <w:rsid w:val="000F30C5"/>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05967"/>
    <w:rsid w:val="00241BFE"/>
    <w:rsid w:val="00261A8D"/>
    <w:rsid w:val="00283C1C"/>
    <w:rsid w:val="00291A00"/>
    <w:rsid w:val="00291A11"/>
    <w:rsid w:val="00291F55"/>
    <w:rsid w:val="002A315C"/>
    <w:rsid w:val="002A3342"/>
    <w:rsid w:val="002A64BA"/>
    <w:rsid w:val="002B4989"/>
    <w:rsid w:val="002C2510"/>
    <w:rsid w:val="002D714E"/>
    <w:rsid w:val="002E53C3"/>
    <w:rsid w:val="002F1468"/>
    <w:rsid w:val="002F5F0C"/>
    <w:rsid w:val="003265EB"/>
    <w:rsid w:val="0034329E"/>
    <w:rsid w:val="00343FAA"/>
    <w:rsid w:val="00347F5E"/>
    <w:rsid w:val="00352D75"/>
    <w:rsid w:val="00353AE4"/>
    <w:rsid w:val="00353C98"/>
    <w:rsid w:val="00371A20"/>
    <w:rsid w:val="003806DE"/>
    <w:rsid w:val="003821B4"/>
    <w:rsid w:val="00382CF3"/>
    <w:rsid w:val="00387D52"/>
    <w:rsid w:val="003A7CEA"/>
    <w:rsid w:val="003B0E30"/>
    <w:rsid w:val="003E11BE"/>
    <w:rsid w:val="003E1989"/>
    <w:rsid w:val="003E3220"/>
    <w:rsid w:val="003E455D"/>
    <w:rsid w:val="003F0BD3"/>
    <w:rsid w:val="003F278A"/>
    <w:rsid w:val="003F7A02"/>
    <w:rsid w:val="0040181C"/>
    <w:rsid w:val="00412777"/>
    <w:rsid w:val="00422EA5"/>
    <w:rsid w:val="00422EFA"/>
    <w:rsid w:val="0042791F"/>
    <w:rsid w:val="004456ED"/>
    <w:rsid w:val="00474AB3"/>
    <w:rsid w:val="0048045A"/>
    <w:rsid w:val="004841B8"/>
    <w:rsid w:val="004930F2"/>
    <w:rsid w:val="004B0F1C"/>
    <w:rsid w:val="004C3E39"/>
    <w:rsid w:val="004F2EE6"/>
    <w:rsid w:val="00502DBA"/>
    <w:rsid w:val="005040C4"/>
    <w:rsid w:val="00507637"/>
    <w:rsid w:val="00507852"/>
    <w:rsid w:val="0051258C"/>
    <w:rsid w:val="00514DBF"/>
    <w:rsid w:val="00515170"/>
    <w:rsid w:val="00550921"/>
    <w:rsid w:val="00554F21"/>
    <w:rsid w:val="00563712"/>
    <w:rsid w:val="005707B2"/>
    <w:rsid w:val="00573631"/>
    <w:rsid w:val="00573C0B"/>
    <w:rsid w:val="00576CFA"/>
    <w:rsid w:val="0058556D"/>
    <w:rsid w:val="00592AF2"/>
    <w:rsid w:val="00592EBE"/>
    <w:rsid w:val="005947AD"/>
    <w:rsid w:val="00597748"/>
    <w:rsid w:val="005979E8"/>
    <w:rsid w:val="005C6870"/>
    <w:rsid w:val="005D0AF4"/>
    <w:rsid w:val="005E54BD"/>
    <w:rsid w:val="005F6CCA"/>
    <w:rsid w:val="006104AF"/>
    <w:rsid w:val="00621893"/>
    <w:rsid w:val="0063082B"/>
    <w:rsid w:val="006351E1"/>
    <w:rsid w:val="006447B1"/>
    <w:rsid w:val="00662775"/>
    <w:rsid w:val="00674689"/>
    <w:rsid w:val="006852FC"/>
    <w:rsid w:val="006B40AB"/>
    <w:rsid w:val="006B5DC5"/>
    <w:rsid w:val="006C4BFD"/>
    <w:rsid w:val="006C7D30"/>
    <w:rsid w:val="006E241C"/>
    <w:rsid w:val="006E2A06"/>
    <w:rsid w:val="006E3C08"/>
    <w:rsid w:val="006E4CEE"/>
    <w:rsid w:val="006F43E1"/>
    <w:rsid w:val="006F79C6"/>
    <w:rsid w:val="00700ACF"/>
    <w:rsid w:val="007076BF"/>
    <w:rsid w:val="00712487"/>
    <w:rsid w:val="00712A20"/>
    <w:rsid w:val="00715DE9"/>
    <w:rsid w:val="007530CA"/>
    <w:rsid w:val="00756D68"/>
    <w:rsid w:val="007578D9"/>
    <w:rsid w:val="00757E8A"/>
    <w:rsid w:val="00763E43"/>
    <w:rsid w:val="00764EB5"/>
    <w:rsid w:val="00777A95"/>
    <w:rsid w:val="00782416"/>
    <w:rsid w:val="007923C6"/>
    <w:rsid w:val="00797ADF"/>
    <w:rsid w:val="007A16E3"/>
    <w:rsid w:val="007B0364"/>
    <w:rsid w:val="007B1AE4"/>
    <w:rsid w:val="007B59CD"/>
    <w:rsid w:val="007D0981"/>
    <w:rsid w:val="007D1929"/>
    <w:rsid w:val="007D41EE"/>
    <w:rsid w:val="00803CF1"/>
    <w:rsid w:val="008104BB"/>
    <w:rsid w:val="00817138"/>
    <w:rsid w:val="008249C5"/>
    <w:rsid w:val="00824D07"/>
    <w:rsid w:val="0083557A"/>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32FFF"/>
    <w:rsid w:val="00942694"/>
    <w:rsid w:val="00963DFD"/>
    <w:rsid w:val="009A7E3A"/>
    <w:rsid w:val="009B1265"/>
    <w:rsid w:val="009B4A15"/>
    <w:rsid w:val="009B5693"/>
    <w:rsid w:val="009C61A2"/>
    <w:rsid w:val="009C78E4"/>
    <w:rsid w:val="009D687E"/>
    <w:rsid w:val="009F6DE7"/>
    <w:rsid w:val="00A10583"/>
    <w:rsid w:val="00A15B4C"/>
    <w:rsid w:val="00A26D33"/>
    <w:rsid w:val="00A37FCB"/>
    <w:rsid w:val="00A47EE7"/>
    <w:rsid w:val="00A54863"/>
    <w:rsid w:val="00A61D74"/>
    <w:rsid w:val="00A634C9"/>
    <w:rsid w:val="00A8688B"/>
    <w:rsid w:val="00A91163"/>
    <w:rsid w:val="00A9286F"/>
    <w:rsid w:val="00A96255"/>
    <w:rsid w:val="00AB285B"/>
    <w:rsid w:val="00AF5552"/>
    <w:rsid w:val="00AF5CB4"/>
    <w:rsid w:val="00AF5ED1"/>
    <w:rsid w:val="00AF71D6"/>
    <w:rsid w:val="00B07FC0"/>
    <w:rsid w:val="00B216EE"/>
    <w:rsid w:val="00B3175F"/>
    <w:rsid w:val="00B31E2C"/>
    <w:rsid w:val="00B329B0"/>
    <w:rsid w:val="00B402D8"/>
    <w:rsid w:val="00B4237C"/>
    <w:rsid w:val="00B42FE8"/>
    <w:rsid w:val="00B52AFD"/>
    <w:rsid w:val="00B53B17"/>
    <w:rsid w:val="00B54077"/>
    <w:rsid w:val="00B8087E"/>
    <w:rsid w:val="00BA3C54"/>
    <w:rsid w:val="00BB646E"/>
    <w:rsid w:val="00BD1BA1"/>
    <w:rsid w:val="00C019E5"/>
    <w:rsid w:val="00C35BC4"/>
    <w:rsid w:val="00C43F5B"/>
    <w:rsid w:val="00CB088D"/>
    <w:rsid w:val="00CB4371"/>
    <w:rsid w:val="00CC516D"/>
    <w:rsid w:val="00CE55C9"/>
    <w:rsid w:val="00D24330"/>
    <w:rsid w:val="00D40056"/>
    <w:rsid w:val="00D51E7C"/>
    <w:rsid w:val="00D5459D"/>
    <w:rsid w:val="00D54F29"/>
    <w:rsid w:val="00D7020C"/>
    <w:rsid w:val="00D70AD9"/>
    <w:rsid w:val="00D72152"/>
    <w:rsid w:val="00D94BA5"/>
    <w:rsid w:val="00D9510F"/>
    <w:rsid w:val="00DA615C"/>
    <w:rsid w:val="00DB4324"/>
    <w:rsid w:val="00DD1BC6"/>
    <w:rsid w:val="00DE5DC3"/>
    <w:rsid w:val="00E00D8A"/>
    <w:rsid w:val="00E1050F"/>
    <w:rsid w:val="00E11604"/>
    <w:rsid w:val="00E11D92"/>
    <w:rsid w:val="00E130A0"/>
    <w:rsid w:val="00E210C4"/>
    <w:rsid w:val="00E23DB7"/>
    <w:rsid w:val="00E46D96"/>
    <w:rsid w:val="00E50729"/>
    <w:rsid w:val="00E52CCA"/>
    <w:rsid w:val="00E66409"/>
    <w:rsid w:val="00E81D5B"/>
    <w:rsid w:val="00E87F06"/>
    <w:rsid w:val="00E976B9"/>
    <w:rsid w:val="00EA05D3"/>
    <w:rsid w:val="00EB19AD"/>
    <w:rsid w:val="00EB2F31"/>
    <w:rsid w:val="00EB6493"/>
    <w:rsid w:val="00EC2915"/>
    <w:rsid w:val="00ED05A9"/>
    <w:rsid w:val="00ED1BA0"/>
    <w:rsid w:val="00F17257"/>
    <w:rsid w:val="00F34D24"/>
    <w:rsid w:val="00F4130B"/>
    <w:rsid w:val="00F53E48"/>
    <w:rsid w:val="00F556A2"/>
    <w:rsid w:val="00F719A8"/>
    <w:rsid w:val="00F844BE"/>
    <w:rsid w:val="00F878B9"/>
    <w:rsid w:val="00F97AE5"/>
    <w:rsid w:val="00FB24E8"/>
    <w:rsid w:val="00FB27C9"/>
    <w:rsid w:val="00FB3B2B"/>
    <w:rsid w:val="00FC18DA"/>
    <w:rsid w:val="00FC3917"/>
    <w:rsid w:val="00FD097B"/>
    <w:rsid w:val="00FD60DA"/>
    <w:rsid w:val="00FE1DC0"/>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52D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07FC0"/>
    <w:rPr>
      <w:color w:val="800080" w:themeColor="followedHyperlink"/>
      <w:u w:val="single"/>
    </w:rPr>
  </w:style>
  <w:style w:type="paragraph" w:styleId="Revision">
    <w:name w:val="Revision"/>
    <w:hidden/>
    <w:uiPriority w:val="99"/>
    <w:semiHidden/>
    <w:rsid w:val="003E11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1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sites/default/files/documents/instruction-manual-survey-formal-education-2017-e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is.unesc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is.unesco.org/en/uis-question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BDD77C94-AEA0-4107-8512-ED7643891A23}">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2021-09-23T15:57:00Z</dcterms:created>
  <dcterms:modified xsi:type="dcterms:W3CDTF">2021-09-29T04:27:00Z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