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7C89A6C" w:rsidR="00D24330" w:rsidRPr="00A96255" w:rsidRDefault="00984BB9" w:rsidP="002F5F0C">
      <w:pPr>
        <w:pStyle w:val="MGTHeader"/>
      </w:pPr>
      <w:r w:rsidRPr="00984BB9">
        <w:t>Goal 5: Achieve gender equality and empower all women and girls</w:t>
      </w:r>
    </w:p>
    <w:p w14:paraId="084142D2" w14:textId="77777777" w:rsidR="00D24330" w:rsidRPr="00A96255" w:rsidRDefault="00D24330" w:rsidP="00D24330">
      <w:pPr>
        <w:pStyle w:val="MIndHeader"/>
      </w:pPr>
      <w:r w:rsidRPr="00A96255">
        <w:t>0.b. Target</w:t>
      </w:r>
    </w:p>
    <w:p w14:paraId="0D7F1B46" w14:textId="143F8BFA" w:rsidR="00D24330" w:rsidRPr="00A96255" w:rsidRDefault="00984BB9" w:rsidP="00D24330">
      <w:pPr>
        <w:pStyle w:val="MGTHeader"/>
      </w:pPr>
      <w:r w:rsidRPr="00984BB9">
        <w:t>Target 5.b: Enhance the use of enabling technology, in particular information and communications technology, to promote the empowerment of women</w:t>
      </w:r>
    </w:p>
    <w:p w14:paraId="3E67E7E0" w14:textId="77777777" w:rsidR="00D24330" w:rsidRPr="00A96255" w:rsidRDefault="00D24330" w:rsidP="00D24330">
      <w:pPr>
        <w:pStyle w:val="MIndHeader"/>
      </w:pPr>
      <w:r w:rsidRPr="00A96255">
        <w:t>0.c. Indicator</w:t>
      </w:r>
    </w:p>
    <w:p w14:paraId="6045F6C3" w14:textId="4A3A2599" w:rsidR="00D24330" w:rsidRPr="00A96255" w:rsidRDefault="00984BB9" w:rsidP="00D24330">
      <w:pPr>
        <w:pStyle w:val="MGTHeader"/>
      </w:pPr>
      <w:r w:rsidRPr="00984BB9">
        <w:t>Indicator 5.b.1: Proportion of individuals who own a mobile telephone, by sex</w:t>
      </w:r>
    </w:p>
    <w:p w14:paraId="37E5E4F6" w14:textId="77777777" w:rsidR="00D24330" w:rsidRPr="00853CBE" w:rsidRDefault="00D24330" w:rsidP="00D24330">
      <w:pPr>
        <w:pStyle w:val="MIndHeader"/>
      </w:pPr>
      <w:r w:rsidRPr="00853CBE">
        <w:t>0.d. Series</w:t>
      </w:r>
    </w:p>
    <w:p w14:paraId="771888BA" w14:textId="5F10BFE3" w:rsidR="00D24330" w:rsidRPr="00462748" w:rsidRDefault="002C59D1" w:rsidP="00D24330">
      <w:pPr>
        <w:pStyle w:val="MGTHeader"/>
        <w:rPr>
          <w:lang w:val="en-US"/>
        </w:rPr>
      </w:pPr>
      <w:r w:rsidRPr="00462748">
        <w:rPr>
          <w:lang w:val="en-US"/>
        </w:rPr>
        <w:t>Not Applicable</w:t>
      </w:r>
      <w:r w:rsidR="00D24330" w:rsidRPr="00462748">
        <w:rPr>
          <w:lang w:val="en-US"/>
        </w:rPr>
        <w:tab/>
      </w:r>
    </w:p>
    <w:p w14:paraId="157DACE7" w14:textId="77777777" w:rsidR="00D24330" w:rsidRPr="00462748" w:rsidRDefault="00D24330" w:rsidP="00D24330">
      <w:pPr>
        <w:pStyle w:val="MIndHeader"/>
        <w:rPr>
          <w:lang w:val="en-US"/>
        </w:rPr>
      </w:pPr>
      <w:r w:rsidRPr="00462748">
        <w:rPr>
          <w:lang w:val="en-US"/>
        </w:rPr>
        <w:t>0.e. Metadata update</w:t>
      </w:r>
    </w:p>
    <w:p w14:paraId="03424B60" w14:textId="2C1A00AE" w:rsidR="00D24330" w:rsidRPr="00A96255" w:rsidRDefault="00373E00" w:rsidP="00D24330">
      <w:pPr>
        <w:pStyle w:val="MGTHeader"/>
      </w:pPr>
      <w:r>
        <w:t>20 August 2021</w:t>
      </w:r>
    </w:p>
    <w:p w14:paraId="415C9FF1" w14:textId="77777777" w:rsidR="00D24330" w:rsidRPr="00A96255" w:rsidRDefault="00D24330" w:rsidP="00D24330">
      <w:pPr>
        <w:pStyle w:val="MIndHeader"/>
      </w:pPr>
      <w:r w:rsidRPr="00A96255">
        <w:t>0.f. Related indicators</w:t>
      </w:r>
    </w:p>
    <w:p w14:paraId="21524279" w14:textId="63E1C4E5" w:rsidR="00D24330" w:rsidRPr="00A96255" w:rsidRDefault="00984BB9" w:rsidP="00D24330">
      <w:pPr>
        <w:pStyle w:val="MGTHeader"/>
      </w:pPr>
      <w:r w:rsidRPr="00984BB9">
        <w:t>1.4, 2.c, 11.b, 12.8, 13.1, 16.10, 17.8</w:t>
      </w:r>
    </w:p>
    <w:p w14:paraId="077BC49E" w14:textId="77777777" w:rsidR="00D24330" w:rsidRPr="00A96255" w:rsidRDefault="00D24330" w:rsidP="00D24330">
      <w:pPr>
        <w:pStyle w:val="MIndHeader"/>
      </w:pPr>
      <w:r w:rsidRPr="00A96255">
        <w:t>0.g. International organisations(s) responsible for global monitoring</w:t>
      </w:r>
    </w:p>
    <w:p w14:paraId="0393368E" w14:textId="538762FB" w:rsidR="00621893" w:rsidRPr="00A96255" w:rsidRDefault="00984BB9" w:rsidP="00D24330">
      <w:pPr>
        <w:pStyle w:val="MGTHeader"/>
        <w:rPr>
          <w:color w:val="4A4A4A"/>
        </w:rPr>
      </w:pPr>
      <w:r w:rsidRPr="00984BB9">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2F3DE26" w:rsidR="00576CFA" w:rsidRDefault="00984BB9" w:rsidP="00576CFA">
      <w:pPr>
        <w:pStyle w:val="MText"/>
      </w:pPr>
      <w:r w:rsidRPr="00984BB9">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0C0F9AA" w14:textId="77777777" w:rsidR="00984BB9" w:rsidRPr="00462748" w:rsidRDefault="00984BB9" w:rsidP="00984BB9">
      <w:pPr>
        <w:pStyle w:val="MText"/>
        <w:rPr>
          <w:b/>
          <w:bCs/>
        </w:rPr>
      </w:pPr>
      <w:r w:rsidRPr="00462748">
        <w:rPr>
          <w:b/>
          <w:bCs/>
        </w:rPr>
        <w:t>Definition:</w:t>
      </w:r>
    </w:p>
    <w:p w14:paraId="153B09C3" w14:textId="669016DC" w:rsidR="00D51E7C" w:rsidRDefault="00984BB9" w:rsidP="00984BB9">
      <w:pPr>
        <w:pStyle w:val="MText"/>
      </w:pPr>
      <w:r>
        <w:t>The proportion of individuals who own a mobile telephone, by sex is defined as the ‘proportion of individuals who own a mobile telephone, by sex’.</w:t>
      </w:r>
    </w:p>
    <w:p w14:paraId="40C9D72E" w14:textId="1A50D0B6" w:rsidR="00984BB9" w:rsidRDefault="00984BB9" w:rsidP="00984BB9">
      <w:pPr>
        <w:pStyle w:val="MText"/>
      </w:pPr>
    </w:p>
    <w:p w14:paraId="3C0C0968" w14:textId="77777777" w:rsidR="00984BB9" w:rsidRPr="00462748" w:rsidRDefault="00984BB9" w:rsidP="00984BB9">
      <w:pPr>
        <w:pStyle w:val="MText"/>
        <w:rPr>
          <w:b/>
          <w:bCs/>
        </w:rPr>
      </w:pPr>
      <w:r w:rsidRPr="00462748">
        <w:rPr>
          <w:b/>
          <w:bCs/>
        </w:rPr>
        <w:t>Concepts:</w:t>
      </w:r>
    </w:p>
    <w:p w14:paraId="6A5EBCB3" w14:textId="77777777" w:rsidR="00984BB9" w:rsidRDefault="00984BB9" w:rsidP="00984BB9">
      <w:pPr>
        <w:pStyle w:val="MText"/>
      </w:pPr>
      <w:r>
        <w:t>An individual owns a mobile cellular phone if he/she has a mobile cellular phone device with at least one active SIM card for personal use. Mobile cellular phones supplied by employers that can be used for personal reasons (to make personal calls, access the Internet, etc.) are included. Individuals who have only active SIM card(s) and not a mobile phone device are excluded. Individuals who have a mobile phone for personal use that is not registered under his/her name are also included. An active SIM card is a SIM card that has been used in the last three months.</w:t>
      </w:r>
    </w:p>
    <w:p w14:paraId="4F7A1F01" w14:textId="77777777" w:rsidR="00984BB9" w:rsidRDefault="00984BB9" w:rsidP="00984BB9">
      <w:pPr>
        <w:pStyle w:val="MText"/>
      </w:pPr>
    </w:p>
    <w:p w14:paraId="29639728" w14:textId="1B044C7F" w:rsidR="00984BB9" w:rsidRPr="00A96255" w:rsidRDefault="00984BB9" w:rsidP="00984BB9">
      <w:pPr>
        <w:pStyle w:val="MText"/>
      </w:pPr>
      <w:r>
        <w:lastRenderedPageBreak/>
        <w:t xml:space="preserve">A mobile (cellular) telephone refers to a portable telephone subscribing to a public mobile telephone service using cellular technology, which provides access to the PSTN. This includes analogue and digital cellular systems and technologies such as IMT-2000 (3G) and IMT-Advanced. Users of both </w:t>
      </w:r>
      <w:proofErr w:type="spellStart"/>
      <w:r>
        <w:t>postpaid</w:t>
      </w:r>
      <w:proofErr w:type="spellEnd"/>
      <w:r>
        <w:t xml:space="preserve"> subscriptions and prepaid accounts are included.</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87346A5" w14:textId="77777777" w:rsidR="00373E00" w:rsidRDefault="00373E00" w:rsidP="00373E00">
      <w:pPr>
        <w:pStyle w:val="MText"/>
      </w:pPr>
      <w:r>
        <w:t>Percentage of individuals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7FD5F9DB" w14:textId="4EC1B930" w:rsidR="00373E00" w:rsidRDefault="00373E00" w:rsidP="00373E00">
      <w:pPr>
        <w:pStyle w:val="MText"/>
      </w:pPr>
      <w:r>
        <w:t xml:space="preserve">For countries that collect this data through an official survey, and if data allow breakdown and disaggregation, the indicator can be broken down by region (urban/rural), by sex, by age group, by educational level (ISCED), by labour force status (ILO), and by occupation (ISCO). ITU collects data for </w:t>
      </w:r>
      <w:proofErr w:type="gramStart"/>
      <w:r>
        <w:t>all of</w:t>
      </w:r>
      <w:proofErr w:type="gramEnd"/>
      <w:r>
        <w:t xml:space="preserve"> these breakdowns from countries.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32111FA" w14:textId="5D130277" w:rsidR="00B82A2A" w:rsidRDefault="00B82A2A" w:rsidP="00B82A2A">
      <w:pPr>
        <w:pStyle w:val="MText"/>
      </w:pPr>
      <w:r>
        <w:t xml:space="preserve">This indicator is a newly developed ITU indicator that was approved by the World Telecommunication/ICT Indicators Symposium (WTIS) </w:t>
      </w:r>
      <w:r w:rsidR="008A4B94">
        <w:t xml:space="preserve">in </w:t>
      </w:r>
      <w:r>
        <w:t xml:space="preserve">2014. The indicator’s definition and methodology were developed under the coordination of ITU, through its Expert Groups and following an extensive consultation process with countries. Data for the proportion of individuals owning a mobile phone were first collected in 2015, through an annual questionnaire that ITU sends to national statistical offices (NSO). In this questionnaire, through which ITU already collects </w:t>
      </w:r>
      <w:proofErr w:type="gramStart"/>
      <w:r>
        <w:t>a number of</w:t>
      </w:r>
      <w:proofErr w:type="gramEnd"/>
      <w:r>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r>
    </w:p>
    <w:p w14:paraId="36BB9809" w14:textId="77777777" w:rsidR="00B82A2A" w:rsidRDefault="00B82A2A" w:rsidP="00B82A2A">
      <w:pPr>
        <w:pStyle w:val="MText"/>
      </w:pPr>
    </w:p>
    <w:p w14:paraId="08E1C3DF" w14:textId="55C4608B" w:rsidR="00576CFA" w:rsidRPr="00A96255" w:rsidRDefault="00B82A2A" w:rsidP="00B82A2A">
      <w:pPr>
        <w:pStyle w:val="MText"/>
      </w:pPr>
      <w:r>
        <w:t>Data are usually not adjusted, but discrepancies in the definition, age scope of individuals, reference period or the break in comparability between years are noted in a data note. For this reason, data are not always strictly comparable.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2D8E98AA" w:rsidR="00576CFA" w:rsidRPr="00A96255" w:rsidRDefault="00B82A2A" w:rsidP="00576CFA">
      <w:pPr>
        <w:pStyle w:val="MText"/>
      </w:pPr>
      <w:r w:rsidRPr="00B82A2A">
        <w:t xml:space="preserve">ITU collects data on this indicator through an annual questionnaire that it sends to the heads of the national statistical offices (NSO). In this questionnaire, through which ITU already collects </w:t>
      </w:r>
      <w:proofErr w:type="gramStart"/>
      <w:r w:rsidRPr="00B82A2A">
        <w:t>a number of</w:t>
      </w:r>
      <w:proofErr w:type="gramEnd"/>
      <w:r w:rsidRPr="00B82A2A">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D42BE3B" w14:textId="77777777" w:rsidR="008A4B94" w:rsidRDefault="008A4B94" w:rsidP="008A4B94">
      <w:pPr>
        <w:pStyle w:val="MText"/>
      </w:pPr>
      <w:r>
        <w:t>Various. Each survey has its own data collection cycle. ITU collects data twice a year from Member States, in Q1 and in Q3.</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699D3F6D" w14:textId="77777777" w:rsidR="008A4B94" w:rsidRDefault="008A4B94" w:rsidP="008A4B94">
      <w:pPr>
        <w:pStyle w:val="MText"/>
      </w:pPr>
      <w:r>
        <w:t xml:space="preserve">Data are released twice a year, In July and December, in the </w:t>
      </w:r>
      <w:hyperlink r:id="rId11" w:history="1">
        <w:proofErr w:type="spellStart"/>
        <w:r>
          <w:rPr>
            <w:rStyle w:val="Hyperlink"/>
            <w:rFonts w:eastAsiaTheme="majorEastAsia"/>
          </w:rPr>
          <w:t>Wor</w:t>
        </w:r>
        <w:proofErr w:type="spellEnd"/>
        <w:r>
          <w:rPr>
            <w:rStyle w:val="Hyperlink"/>
            <w:rFonts w:eastAsiaTheme="majorEastAsia"/>
          </w:rPr>
          <w:t>​</w:t>
        </w:r>
        <w:proofErr w:type="spellStart"/>
        <w:r>
          <w:rPr>
            <w:rStyle w:val="Hyperlink"/>
            <w:rFonts w:eastAsiaTheme="majorEastAsia"/>
          </w:rPr>
          <w:t>ld</w:t>
        </w:r>
        <w:proofErr w:type="spellEnd"/>
        <w:r>
          <w:rPr>
            <w:rStyle w:val="Hyperlink"/>
            <w:rFonts w:eastAsiaTheme="majorEastAsia"/>
          </w:rPr>
          <w:t xml:space="preserve"> </w:t>
        </w:r>
        <w:proofErr w:type="spellStart"/>
        <w:r>
          <w:rPr>
            <w:rStyle w:val="Hyperlink"/>
            <w:rFonts w:eastAsiaTheme="majorEastAsia"/>
          </w:rPr>
          <w:t>Telecommun</w:t>
        </w:r>
        <w:proofErr w:type="spellEnd"/>
        <w:r>
          <w:rPr>
            <w:rStyle w:val="Hyperlink"/>
            <w:rFonts w:eastAsiaTheme="majorEastAsia"/>
          </w:rPr>
          <w:t>​</w:t>
        </w:r>
        <w:proofErr w:type="spellStart"/>
        <w:r>
          <w:rPr>
            <w:rStyle w:val="Hyperlink"/>
            <w:rFonts w:eastAsiaTheme="majorEastAsia"/>
          </w:rPr>
          <w:t>ic</w:t>
        </w:r>
        <w:proofErr w:type="spellEnd"/>
        <w:r>
          <w:rPr>
            <w:rStyle w:val="Hyperlink"/>
            <w:rFonts w:eastAsiaTheme="majorEastAsia"/>
          </w:rPr>
          <w:t>​</w:t>
        </w:r>
        <w:proofErr w:type="spellStart"/>
        <w:r>
          <w:rPr>
            <w:rStyle w:val="Hyperlink"/>
            <w:rFonts w:eastAsiaTheme="majorEastAsia"/>
          </w:rPr>
          <w:t>ation</w:t>
        </w:r>
        <w:proofErr w:type="spellEnd"/>
        <w:r>
          <w:rPr>
            <w:rStyle w:val="Hyperlink"/>
            <w:rFonts w:eastAsiaTheme="majorEastAsia"/>
          </w:rPr>
          <w:t>/ICT Indicators Database​</w:t>
        </w:r>
      </w:hyperlink>
      <w: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48865055" w:rsidR="00576CFA" w:rsidRPr="00A96255" w:rsidRDefault="00B82A2A" w:rsidP="00576CFA">
      <w:pPr>
        <w:pStyle w:val="MText"/>
      </w:pPr>
      <w:r w:rsidRPr="00B82A2A">
        <w:t>National Statistical Offices (NSOs).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59FA364" w:rsidR="00576CFA" w:rsidRPr="00A96255" w:rsidRDefault="00B82A2A" w:rsidP="00576CFA">
      <w:pPr>
        <w:pStyle w:val="MText"/>
      </w:pPr>
      <w:r w:rsidRPr="00B82A2A">
        <w:t>ITU</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032E6400" w:rsidR="00EC2915" w:rsidRDefault="008A4B94" w:rsidP="00576CFA">
      <w:pPr>
        <w:pStyle w:val="MText"/>
      </w:pPr>
      <w:r>
        <w:t>As the UN specialized agency for ICTs, ITU is the official source for global ICT statistics, collecting ICT data from its Member States.</w:t>
      </w:r>
      <w:r>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C12889A" w14:textId="77777777" w:rsidR="00984BB9" w:rsidRDefault="00984BB9" w:rsidP="00984BB9">
      <w:pPr>
        <w:pStyle w:val="MText"/>
      </w:pPr>
      <w:r>
        <w:t>Mobile phone networks have spread rapidly over the last decade and the number of mobile-cellular subscriptions is quasi equal to the number of the people living on earth. However, not every person uses, or owns a mobile-cellular telephone. Mobile phone ownership</w:t>
      </w:r>
      <w:proofErr w:type="gramStart"/>
      <w:r>
        <w:t>, in particular, is</w:t>
      </w:r>
      <w:proofErr w:type="gramEnd"/>
      <w:r>
        <w:t xml:space="preserve"> important to track gender equality since the mobile phone is a personal device that, if owned and not just shared, provides women with a degree of independence and autonomy, including for professional purposes. </w:t>
      </w:r>
      <w:proofErr w:type="gramStart"/>
      <w:r>
        <w:t>A number of</w:t>
      </w:r>
      <w:proofErr w:type="gramEnd"/>
      <w:r>
        <w:t xml:space="preserve"> studies have highlighted the link between mobile phone ownership and empowerment, and productivity growth.</w:t>
      </w:r>
    </w:p>
    <w:p w14:paraId="4E0F75C7" w14:textId="77777777" w:rsidR="00984BB9" w:rsidRDefault="00984BB9" w:rsidP="00984BB9">
      <w:pPr>
        <w:pStyle w:val="MText"/>
      </w:pPr>
    </w:p>
    <w:p w14:paraId="0AD7EEA2" w14:textId="42263A78" w:rsidR="00576CFA" w:rsidRPr="00A96255" w:rsidRDefault="00984BB9" w:rsidP="00984BB9">
      <w:pPr>
        <w:pStyle w:val="MText"/>
      </w:pPr>
      <w:r>
        <w:t>Existing data on the proportion of women owning a mobile phone suggest that less women than men own a mobile phone. This indicator highlights the importance of mobile phone ownership to track and to improve gender equality, and monitoring will help design targeted policies to overcome the gender divide. The collection of this indicator was proposed by the Task Group on Gender of the Partnership on Measuring ICT for Development.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1A7225ED" w:rsidR="00576CFA" w:rsidRPr="00A96255" w:rsidRDefault="00984BB9" w:rsidP="00576CFA">
      <w:pPr>
        <w:pStyle w:val="MText"/>
      </w:pPr>
      <w:r w:rsidRPr="00984BB9">
        <w:t xml:space="preserve">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Indicators. The number of countries with official data for this indicator is expected to increase </w:t>
      </w:r>
      <w:proofErr w:type="gramStart"/>
      <w:r w:rsidRPr="00984BB9">
        <w:t>in the near future</w:t>
      </w:r>
      <w:proofErr w:type="gramEnd"/>
      <w:r w:rsidRPr="00984BB9">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56551A8A" w:rsidR="00576CFA" w:rsidRPr="00A96255" w:rsidRDefault="00984BB9" w:rsidP="00576CFA">
      <w:pPr>
        <w:pStyle w:val="MText"/>
      </w:pPr>
      <w:r w:rsidRPr="00984BB9">
        <w:t>Countries can collect data on this indicator through national household surveys. This indicator is calculated by dividing the total number of in-scope individuals who own a mobile phone by the total number of in-scope individuals.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lastRenderedPageBreak/>
        <w:t>4.d. Validation</w:t>
      </w:r>
    </w:p>
    <w:p w14:paraId="63C3430E" w14:textId="77777777" w:rsidR="008A4B94" w:rsidRDefault="008A4B94" w:rsidP="008A4B94">
      <w:pPr>
        <w:pStyle w:val="MText"/>
      </w:pPr>
      <w:r>
        <w:t xml:space="preserve">Data are submitted by Member States to ITU. ITU checks and validates the data, in consultation with the Member States.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EF986F6" w14:textId="77777777" w:rsidR="008A4B94" w:rsidRDefault="008A4B94" w:rsidP="008A4B94">
      <w:pPr>
        <w:pStyle w:val="MText"/>
      </w:pPr>
      <w:r>
        <w:t>No adjustments are made to the data submitted by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5F82BB4" w14:textId="77777777" w:rsidR="00984BB9" w:rsidRPr="00462748" w:rsidRDefault="00984BB9" w:rsidP="00984BB9">
      <w:pPr>
        <w:pStyle w:val="MText"/>
        <w:rPr>
          <w:b/>
          <w:bCs/>
        </w:rPr>
      </w:pPr>
      <w:r w:rsidRPr="00462748">
        <w:rPr>
          <w:b/>
          <w:bCs/>
        </w:rPr>
        <w:t>•</w:t>
      </w:r>
      <w:r w:rsidRPr="00462748">
        <w:rPr>
          <w:b/>
          <w:bCs/>
        </w:rPr>
        <w:tab/>
        <w:t>At country level</w:t>
      </w:r>
    </w:p>
    <w:p w14:paraId="7A9E1F76" w14:textId="77777777" w:rsidR="00984BB9" w:rsidRDefault="00984BB9" w:rsidP="00984BB9">
      <w:pPr>
        <w:pStyle w:val="MText"/>
      </w:pPr>
      <w:r>
        <w:t xml:space="preserve">Missing values are not estimated. </w:t>
      </w:r>
    </w:p>
    <w:p w14:paraId="1F29EBB4" w14:textId="77777777" w:rsidR="00984BB9" w:rsidRDefault="00984BB9" w:rsidP="00984BB9">
      <w:pPr>
        <w:pStyle w:val="MText"/>
      </w:pPr>
    </w:p>
    <w:p w14:paraId="2644195B" w14:textId="77777777" w:rsidR="00984BB9" w:rsidRPr="00462748" w:rsidRDefault="00984BB9" w:rsidP="00984BB9">
      <w:pPr>
        <w:pStyle w:val="MText"/>
        <w:rPr>
          <w:b/>
          <w:bCs/>
        </w:rPr>
      </w:pPr>
      <w:r w:rsidRPr="00462748">
        <w:rPr>
          <w:b/>
          <w:bCs/>
        </w:rPr>
        <w:t>•</w:t>
      </w:r>
      <w:r w:rsidRPr="00462748">
        <w:rPr>
          <w:b/>
          <w:bCs/>
        </w:rPr>
        <w:tab/>
        <w:t>At regional and global levels</w:t>
      </w:r>
    </w:p>
    <w:p w14:paraId="5829387F" w14:textId="77777777" w:rsidR="00984BB9" w:rsidRDefault="00984BB9" w:rsidP="00984BB9">
      <w:pPr>
        <w:pStyle w:val="MText"/>
      </w:pPr>
      <w:r>
        <w:t>Missing values are not estimated.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13422203" w:rsidR="00576CFA" w:rsidRPr="00A96255" w:rsidRDefault="00984BB9" w:rsidP="00E1050F">
      <w:pPr>
        <w:pStyle w:val="MText"/>
      </w:pPr>
      <w:r w:rsidRPr="00984BB9">
        <w:t>ITU has not produced any global estimates but is working on a methodology to produce global estimates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F727DE8" w14:textId="77777777" w:rsidR="008A4B94" w:rsidRDefault="008A4B94" w:rsidP="008A4B94">
      <w:pPr>
        <w:pStyle w:val="MText"/>
      </w:pPr>
      <w:r>
        <w:t>ITU Manual for Measuring ICT Access and Use by Households and Individuals 2020:</w:t>
      </w:r>
    </w:p>
    <w:p w14:paraId="3654DBBD" w14:textId="77777777" w:rsidR="008A4B94" w:rsidRDefault="008A4B94" w:rsidP="00462748">
      <w:pPr>
        <w:spacing w:after="0"/>
      </w:pPr>
      <w:hyperlink r:id="rId12" w:history="1">
        <w:r>
          <w:rPr>
            <w:rStyle w:val="Hyperlink"/>
          </w:rPr>
          <w:t>https://www.itu.int/en/ITU-D/Statistics/Pages/publications/manual.aspx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4E0258BA" w14:textId="77777777" w:rsidR="008A4B94" w:rsidRDefault="008A4B94" w:rsidP="008A4B94">
      <w:pPr>
        <w:pStyle w:val="MText"/>
      </w:pPr>
      <w:r>
        <w:t>Data are checked and validated by the ICT Data and Analytics (IDA) Division of the ITU. Countries are contacted to clarify and correct their submissions.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BC7B4AD" w14:textId="77777777" w:rsidR="008A4B94" w:rsidRDefault="008A4B94" w:rsidP="008A4B94">
      <w:pPr>
        <w:pStyle w:val="MText"/>
      </w:pPr>
      <w:r>
        <w:t>The guidelines of the Manual for Measuring ICT Access and Use by Households and Individuals 2020 are followed.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18F5AAD0" w:rsidR="00576CFA" w:rsidRPr="00A96255" w:rsidRDefault="008A4B94" w:rsidP="00576CFA">
      <w:pPr>
        <w:pStyle w:val="MText"/>
      </w:pPr>
      <w:r>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462748" w:rsidRDefault="00D51E7C" w:rsidP="00576CFA">
      <w:pPr>
        <w:pStyle w:val="MText"/>
        <w:rPr>
          <w:b/>
          <w:bCs/>
        </w:rPr>
      </w:pPr>
      <w:r w:rsidRPr="00462748">
        <w:rPr>
          <w:b/>
          <w:bCs/>
        </w:rPr>
        <w:t>Data availability:</w:t>
      </w:r>
    </w:p>
    <w:p w14:paraId="0E8817F8" w14:textId="6DBDFF0C" w:rsidR="008A4B94" w:rsidRDefault="008A4B94" w:rsidP="008A4B94">
      <w:pPr>
        <w:pStyle w:val="MText"/>
      </w:pPr>
      <w:r>
        <w:t xml:space="preserve">Overall, the indicator is available for more than </w:t>
      </w:r>
      <w:r w:rsidR="009F221C">
        <w:t>8</w:t>
      </w:r>
      <w:r>
        <w:t>0 countries at least from one survey.</w:t>
      </w:r>
    </w:p>
    <w:p w14:paraId="199280A6" w14:textId="77777777" w:rsidR="00B82A2A" w:rsidRPr="00C019E5" w:rsidRDefault="00B82A2A" w:rsidP="00576CFA">
      <w:pPr>
        <w:pStyle w:val="MText"/>
        <w:rPr>
          <w:highlight w:val="cyan"/>
        </w:rPr>
      </w:pPr>
    </w:p>
    <w:p w14:paraId="5853D6F7" w14:textId="44EE14E1" w:rsidR="00D51E7C" w:rsidRPr="00462748" w:rsidRDefault="00D51E7C" w:rsidP="00576CFA">
      <w:pPr>
        <w:pStyle w:val="MText"/>
        <w:rPr>
          <w:b/>
          <w:bCs/>
        </w:rPr>
      </w:pPr>
      <w:r w:rsidRPr="00462748">
        <w:rPr>
          <w:b/>
          <w:bCs/>
        </w:rPr>
        <w:lastRenderedPageBreak/>
        <w:t>Time series:</w:t>
      </w:r>
    </w:p>
    <w:p w14:paraId="760C013A" w14:textId="705D4EC2" w:rsidR="00D51E7C" w:rsidRPr="00462748" w:rsidRDefault="009F221C" w:rsidP="00576CFA">
      <w:pPr>
        <w:pStyle w:val="MText"/>
      </w:pPr>
      <w:r w:rsidRPr="00462748">
        <w:t>2015 onwards</w:t>
      </w:r>
    </w:p>
    <w:p w14:paraId="46A35187" w14:textId="77777777" w:rsidR="009F221C" w:rsidRPr="00C019E5" w:rsidRDefault="009F221C" w:rsidP="00576CFA">
      <w:pPr>
        <w:pStyle w:val="MText"/>
        <w:rPr>
          <w:highlight w:val="cyan"/>
        </w:rPr>
      </w:pPr>
    </w:p>
    <w:p w14:paraId="682D4AED" w14:textId="77777777" w:rsidR="00984BB9" w:rsidRPr="00462748" w:rsidRDefault="00984BB9" w:rsidP="00984BB9">
      <w:pPr>
        <w:pStyle w:val="MText"/>
        <w:rPr>
          <w:b/>
          <w:bCs/>
        </w:rPr>
      </w:pPr>
      <w:r w:rsidRPr="00462748">
        <w:rPr>
          <w:b/>
          <w:bCs/>
        </w:rPr>
        <w:t>Disaggregation:</w:t>
      </w:r>
    </w:p>
    <w:p w14:paraId="72C7C370" w14:textId="0593D5EC" w:rsidR="00D51E7C" w:rsidRDefault="00984BB9" w:rsidP="00984BB9">
      <w:pPr>
        <w:pStyle w:val="MText"/>
      </w:pPr>
      <w:r>
        <w:t>For countries that collect this indicator through a national household survey, and if data allow breakdown and disaggregation, the indicator can be broken down not only by sex but also by region (urban/rural), by age group, by educational level, by labour force status, and by occupation.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AD89AC7" w14:textId="77777777" w:rsidR="00984BB9" w:rsidRPr="00462748" w:rsidRDefault="00984BB9" w:rsidP="00984BB9">
      <w:pPr>
        <w:pStyle w:val="MText"/>
        <w:rPr>
          <w:b/>
          <w:bCs/>
        </w:rPr>
      </w:pPr>
      <w:r w:rsidRPr="00462748">
        <w:rPr>
          <w:b/>
          <w:bCs/>
        </w:rPr>
        <w:t>Sources of discrepancies:</w:t>
      </w:r>
    </w:p>
    <w:p w14:paraId="3C2D4870" w14:textId="1BE16077" w:rsidR="00D51E7C" w:rsidRDefault="00984BB9" w:rsidP="00984BB9">
      <w:pPr>
        <w:pStyle w:val="MText"/>
      </w:pPr>
      <w:r>
        <w:t>None. ITU uses the data provided by countries, including the in-scope population that is used to calculate the percentages.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488B9F4" w14:textId="77777777" w:rsidR="00B82A2A" w:rsidRPr="00462748" w:rsidRDefault="00B82A2A" w:rsidP="00B82A2A">
      <w:pPr>
        <w:pStyle w:val="MText"/>
        <w:rPr>
          <w:b/>
          <w:bCs/>
        </w:rPr>
      </w:pPr>
      <w:r w:rsidRPr="00462748">
        <w:rPr>
          <w:b/>
          <w:bCs/>
        </w:rPr>
        <w:t>URL:</w:t>
      </w:r>
    </w:p>
    <w:p w14:paraId="2B100896" w14:textId="77777777" w:rsidR="00B82A2A" w:rsidRDefault="00B82A2A" w:rsidP="00B82A2A">
      <w:pPr>
        <w:pStyle w:val="MText"/>
      </w:pPr>
      <w:r>
        <w:t>http://www.itu.int/en/ITU-D/Statistics/Pages/default.aspx</w:t>
      </w:r>
    </w:p>
    <w:p w14:paraId="212632D1" w14:textId="77777777" w:rsidR="00B82A2A" w:rsidRDefault="00B82A2A" w:rsidP="00B82A2A">
      <w:pPr>
        <w:pStyle w:val="MText"/>
      </w:pPr>
    </w:p>
    <w:p w14:paraId="51784AF9" w14:textId="77777777" w:rsidR="00B82A2A" w:rsidRPr="00462748" w:rsidRDefault="00B82A2A" w:rsidP="00B82A2A">
      <w:pPr>
        <w:pStyle w:val="MText"/>
        <w:rPr>
          <w:b/>
          <w:bCs/>
        </w:rPr>
      </w:pPr>
      <w:r w:rsidRPr="00462748">
        <w:rPr>
          <w:b/>
          <w:bCs/>
        </w:rPr>
        <w:t>References:</w:t>
      </w:r>
    </w:p>
    <w:p w14:paraId="15BC0F29" w14:textId="77777777" w:rsidR="009F221C" w:rsidRDefault="009F221C" w:rsidP="009F221C">
      <w:pPr>
        <w:pStyle w:val="MText"/>
      </w:pPr>
      <w:r>
        <w:t>ITU Manual for Measuring ICT Access and Use by Households and Individuals 2020:</w:t>
      </w:r>
    </w:p>
    <w:p w14:paraId="384B0992" w14:textId="57B19B5D" w:rsidR="00186795" w:rsidRDefault="009F221C">
      <w:hyperlink r:id="rId13" w:history="1">
        <w:r>
          <w:rPr>
            <w:rStyle w:val="Hyperlink"/>
            <w:rFonts w:eastAsiaTheme="majorEastAsia"/>
          </w:rPr>
          <w:t>https://www.itu.int/en/ITU-D/Statistics/Pages/publications/manual.aspx</w:t>
        </w:r>
      </w:hyperlink>
      <w:r>
        <w:t xml:space="preserve"> </w:t>
      </w: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8FEC6" w14:textId="77777777" w:rsidR="00755314" w:rsidRDefault="00755314" w:rsidP="00573C0B">
      <w:pPr>
        <w:spacing w:after="0" w:line="240" w:lineRule="auto"/>
      </w:pPr>
      <w:r>
        <w:separator/>
      </w:r>
    </w:p>
  </w:endnote>
  <w:endnote w:type="continuationSeparator" w:id="0">
    <w:p w14:paraId="41BAD734" w14:textId="77777777" w:rsidR="00755314" w:rsidRDefault="00755314" w:rsidP="00573C0B">
      <w:pPr>
        <w:spacing w:after="0" w:line="240" w:lineRule="auto"/>
      </w:pPr>
      <w:r>
        <w:continuationSeparator/>
      </w:r>
    </w:p>
  </w:endnote>
  <w:endnote w:type="continuationNotice" w:id="1">
    <w:p w14:paraId="75FB6B49" w14:textId="77777777" w:rsidR="00755314" w:rsidRDefault="007553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4331E" w14:textId="77777777" w:rsidR="00755314" w:rsidRDefault="00755314" w:rsidP="00573C0B">
      <w:pPr>
        <w:spacing w:after="0" w:line="240" w:lineRule="auto"/>
      </w:pPr>
      <w:r>
        <w:separator/>
      </w:r>
    </w:p>
  </w:footnote>
  <w:footnote w:type="continuationSeparator" w:id="0">
    <w:p w14:paraId="48C60565" w14:textId="77777777" w:rsidR="00755314" w:rsidRDefault="00755314" w:rsidP="00573C0B">
      <w:pPr>
        <w:spacing w:after="0" w:line="240" w:lineRule="auto"/>
      </w:pPr>
      <w:r>
        <w:continuationSeparator/>
      </w:r>
    </w:p>
  </w:footnote>
  <w:footnote w:type="continuationNotice" w:id="1">
    <w:p w14:paraId="2E822DB0" w14:textId="77777777" w:rsidR="00755314" w:rsidRDefault="007553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53A22450"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2C59D1">
      <w:rPr>
        <w:color w:val="404040" w:themeColor="text1" w:themeTint="BF"/>
        <w:sz w:val="18"/>
        <w:szCs w:val="18"/>
      </w:rPr>
      <w:t>20 August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3E4E"/>
    <w:rsid w:val="001B60AA"/>
    <w:rsid w:val="001B63C8"/>
    <w:rsid w:val="001C1972"/>
    <w:rsid w:val="001C421F"/>
    <w:rsid w:val="001D360D"/>
    <w:rsid w:val="00261A8D"/>
    <w:rsid w:val="00262AE1"/>
    <w:rsid w:val="00283C1C"/>
    <w:rsid w:val="00291A00"/>
    <w:rsid w:val="00291A11"/>
    <w:rsid w:val="002A315C"/>
    <w:rsid w:val="002A3342"/>
    <w:rsid w:val="002A64BA"/>
    <w:rsid w:val="002B4989"/>
    <w:rsid w:val="002C2510"/>
    <w:rsid w:val="002C59D1"/>
    <w:rsid w:val="002D714E"/>
    <w:rsid w:val="002E53C3"/>
    <w:rsid w:val="002F1468"/>
    <w:rsid w:val="002F5F0C"/>
    <w:rsid w:val="003265EB"/>
    <w:rsid w:val="0034329E"/>
    <w:rsid w:val="00343FAA"/>
    <w:rsid w:val="00347F5E"/>
    <w:rsid w:val="00353C98"/>
    <w:rsid w:val="003710DC"/>
    <w:rsid w:val="00371A20"/>
    <w:rsid w:val="00373E00"/>
    <w:rsid w:val="003821B4"/>
    <w:rsid w:val="00382CF3"/>
    <w:rsid w:val="00387881"/>
    <w:rsid w:val="00387D52"/>
    <w:rsid w:val="003A7CEA"/>
    <w:rsid w:val="003F0BD3"/>
    <w:rsid w:val="003F278A"/>
    <w:rsid w:val="003F7A02"/>
    <w:rsid w:val="00422EA5"/>
    <w:rsid w:val="00422EFA"/>
    <w:rsid w:val="0042791F"/>
    <w:rsid w:val="004456ED"/>
    <w:rsid w:val="00462748"/>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5314"/>
    <w:rsid w:val="00756D68"/>
    <w:rsid w:val="007578D9"/>
    <w:rsid w:val="00757E8A"/>
    <w:rsid w:val="00763E43"/>
    <w:rsid w:val="00764EB5"/>
    <w:rsid w:val="00774C70"/>
    <w:rsid w:val="00777A95"/>
    <w:rsid w:val="00782416"/>
    <w:rsid w:val="007B0364"/>
    <w:rsid w:val="007D0981"/>
    <w:rsid w:val="007D1929"/>
    <w:rsid w:val="00803CF1"/>
    <w:rsid w:val="008104BB"/>
    <w:rsid w:val="008249C5"/>
    <w:rsid w:val="008526F9"/>
    <w:rsid w:val="0085285E"/>
    <w:rsid w:val="00853023"/>
    <w:rsid w:val="008534D4"/>
    <w:rsid w:val="00853CBE"/>
    <w:rsid w:val="00881E28"/>
    <w:rsid w:val="00894C4B"/>
    <w:rsid w:val="008A12E3"/>
    <w:rsid w:val="008A42FA"/>
    <w:rsid w:val="008A4B94"/>
    <w:rsid w:val="008B0AC7"/>
    <w:rsid w:val="008C2335"/>
    <w:rsid w:val="008C67C1"/>
    <w:rsid w:val="008D1D39"/>
    <w:rsid w:val="008F07D2"/>
    <w:rsid w:val="00917851"/>
    <w:rsid w:val="00917F65"/>
    <w:rsid w:val="009311E7"/>
    <w:rsid w:val="00942694"/>
    <w:rsid w:val="00984BB9"/>
    <w:rsid w:val="009A7E3A"/>
    <w:rsid w:val="009B1265"/>
    <w:rsid w:val="009B4A15"/>
    <w:rsid w:val="009B5693"/>
    <w:rsid w:val="009C61A2"/>
    <w:rsid w:val="009C78E4"/>
    <w:rsid w:val="009D687E"/>
    <w:rsid w:val="009F221C"/>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2A2A"/>
    <w:rsid w:val="00BB646E"/>
    <w:rsid w:val="00BD1BA1"/>
    <w:rsid w:val="00C019E5"/>
    <w:rsid w:val="00C22B5A"/>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D2FCD"/>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0D95"/>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143393">
      <w:bodyDiv w:val="1"/>
      <w:marLeft w:val="0"/>
      <w:marRight w:val="0"/>
      <w:marTop w:val="0"/>
      <w:marBottom w:val="0"/>
      <w:divBdr>
        <w:top w:val="none" w:sz="0" w:space="0" w:color="auto"/>
        <w:left w:val="none" w:sz="0" w:space="0" w:color="auto"/>
        <w:bottom w:val="none" w:sz="0" w:space="0" w:color="auto"/>
        <w:right w:val="none" w:sz="0" w:space="0" w:color="auto"/>
      </w:divBdr>
    </w:div>
    <w:div w:id="390423327">
      <w:bodyDiv w:val="1"/>
      <w:marLeft w:val="0"/>
      <w:marRight w:val="0"/>
      <w:marTop w:val="0"/>
      <w:marBottom w:val="0"/>
      <w:divBdr>
        <w:top w:val="none" w:sz="0" w:space="0" w:color="auto"/>
        <w:left w:val="none" w:sz="0" w:space="0" w:color="auto"/>
        <w:bottom w:val="none" w:sz="0" w:space="0" w:color="auto"/>
        <w:right w:val="none" w:sz="0" w:space="0" w:color="auto"/>
      </w:divBdr>
    </w:div>
    <w:div w:id="670377564">
      <w:bodyDiv w:val="1"/>
      <w:marLeft w:val="0"/>
      <w:marRight w:val="0"/>
      <w:marTop w:val="0"/>
      <w:marBottom w:val="0"/>
      <w:divBdr>
        <w:top w:val="none" w:sz="0" w:space="0" w:color="auto"/>
        <w:left w:val="none" w:sz="0" w:space="0" w:color="auto"/>
        <w:bottom w:val="none" w:sz="0" w:space="0" w:color="auto"/>
        <w:right w:val="none" w:sz="0" w:space="0" w:color="auto"/>
      </w:divBdr>
    </w:div>
    <w:div w:id="85068101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917699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3416686">
      <w:bodyDiv w:val="1"/>
      <w:marLeft w:val="0"/>
      <w:marRight w:val="0"/>
      <w:marTop w:val="0"/>
      <w:marBottom w:val="0"/>
      <w:divBdr>
        <w:top w:val="none" w:sz="0" w:space="0" w:color="auto"/>
        <w:left w:val="none" w:sz="0" w:space="0" w:color="auto"/>
        <w:bottom w:val="none" w:sz="0" w:space="0" w:color="auto"/>
        <w:right w:val="none" w:sz="0" w:space="0" w:color="auto"/>
      </w:divBdr>
    </w:div>
    <w:div w:id="1544516858">
      <w:bodyDiv w:val="1"/>
      <w:marLeft w:val="0"/>
      <w:marRight w:val="0"/>
      <w:marTop w:val="0"/>
      <w:marBottom w:val="0"/>
      <w:divBdr>
        <w:top w:val="none" w:sz="0" w:space="0" w:color="auto"/>
        <w:left w:val="none" w:sz="0" w:space="0" w:color="auto"/>
        <w:bottom w:val="none" w:sz="0" w:space="0" w:color="auto"/>
        <w:right w:val="none" w:sz="0" w:space="0" w:color="auto"/>
      </w:divBdr>
    </w:div>
    <w:div w:id="1691833888">
      <w:bodyDiv w:val="1"/>
      <w:marLeft w:val="0"/>
      <w:marRight w:val="0"/>
      <w:marTop w:val="0"/>
      <w:marBottom w:val="0"/>
      <w:divBdr>
        <w:top w:val="none" w:sz="0" w:space="0" w:color="auto"/>
        <w:left w:val="none" w:sz="0" w:space="0" w:color="auto"/>
        <w:bottom w:val="none" w:sz="0" w:space="0" w:color="auto"/>
        <w:right w:val="none" w:sz="0" w:space="0" w:color="auto"/>
      </w:divBdr>
    </w:div>
    <w:div w:id="1764720247">
      <w:bodyDiv w:val="1"/>
      <w:marLeft w:val="0"/>
      <w:marRight w:val="0"/>
      <w:marTop w:val="0"/>
      <w:marBottom w:val="0"/>
      <w:divBdr>
        <w:top w:val="none" w:sz="0" w:space="0" w:color="auto"/>
        <w:left w:val="none" w:sz="0" w:space="0" w:color="auto"/>
        <w:bottom w:val="none" w:sz="0" w:space="0" w:color="auto"/>
        <w:right w:val="none" w:sz="0" w:space="0" w:color="auto"/>
      </w:divBdr>
    </w:div>
    <w:div w:id="1856118191">
      <w:bodyDiv w:val="1"/>
      <w:marLeft w:val="0"/>
      <w:marRight w:val="0"/>
      <w:marTop w:val="0"/>
      <w:marBottom w:val="0"/>
      <w:divBdr>
        <w:top w:val="none" w:sz="0" w:space="0" w:color="auto"/>
        <w:left w:val="none" w:sz="0" w:space="0" w:color="auto"/>
        <w:bottom w:val="none" w:sz="0" w:space="0" w:color="auto"/>
        <w:right w:val="none" w:sz="0" w:space="0" w:color="auto"/>
      </w:divBdr>
    </w:div>
    <w:div w:id="1950551907">
      <w:bodyDiv w:val="1"/>
      <w:marLeft w:val="0"/>
      <w:marRight w:val="0"/>
      <w:marTop w:val="0"/>
      <w:marBottom w:val="0"/>
      <w:divBdr>
        <w:top w:val="none" w:sz="0" w:space="0" w:color="auto"/>
        <w:left w:val="none" w:sz="0" w:space="0" w:color="auto"/>
        <w:bottom w:val="none" w:sz="0" w:space="0" w:color="auto"/>
        <w:right w:val="none" w:sz="0" w:space="0" w:color="auto"/>
      </w:divBdr>
    </w:div>
    <w:div w:id="1979874305">
      <w:bodyDiv w:val="1"/>
      <w:marLeft w:val="0"/>
      <w:marRight w:val="0"/>
      <w:marTop w:val="0"/>
      <w:marBottom w:val="0"/>
      <w:divBdr>
        <w:top w:val="none" w:sz="0" w:space="0" w:color="auto"/>
        <w:left w:val="none" w:sz="0" w:space="0" w:color="auto"/>
        <w:bottom w:val="none" w:sz="0" w:space="0" w:color="auto"/>
        <w:right w:val="none" w:sz="0" w:space="0" w:color="auto"/>
      </w:divBdr>
    </w:div>
    <w:div w:id="208833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publications/manua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manual.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F809C9-DC24-497D-874C-11886E27CA16}">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2016-07-16T14:25:00Z</cp:lastPrinted>
  <dcterms:created xsi:type="dcterms:W3CDTF">2021-09-14T16:47:00Z</dcterms:created>
  <dcterms:modified xsi:type="dcterms:W3CDTF">2021-09-29T04:35:00Z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