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DB0BC" w14:textId="77777777" w:rsidR="00B179B1" w:rsidRPr="00B179B1" w:rsidRDefault="00B179B1" w:rsidP="00B179B1">
      <w:pPr>
        <w:pStyle w:val="MGTHeader"/>
      </w:pPr>
      <w:r w:rsidRPr="00B179B1">
        <w:t>Goal 5: Achieve gender equality and empower all women and girls</w:t>
      </w:r>
    </w:p>
    <w:p w14:paraId="1CF1EF3F" w14:textId="77777777" w:rsidR="00B179B1" w:rsidRPr="00B179B1" w:rsidRDefault="00B179B1" w:rsidP="00B179B1">
      <w:pPr>
        <w:pStyle w:val="MGTHeader"/>
      </w:pPr>
      <w:r w:rsidRPr="00B179B1">
        <w:t>Target 5.c: Adopt and strengthen sound policies and enforceable legislation for the promotion of gender equality and the empowerment of all women and girls at all levels</w:t>
      </w:r>
    </w:p>
    <w:p w14:paraId="64559769" w14:textId="77777777" w:rsidR="00B179B1" w:rsidRPr="00B179B1" w:rsidRDefault="00B179B1" w:rsidP="00B179B1">
      <w:pPr>
        <w:pStyle w:val="MIndHeader"/>
      </w:pPr>
      <w:r w:rsidRPr="00B179B1">
        <w:t>Indicator 5.c.1: Percentage of countries with systems to track and make public allocations for gender equality and women’s empowerment</w:t>
      </w:r>
    </w:p>
    <w:p w14:paraId="42663F81" w14:textId="77777777" w:rsidR="00B179B1" w:rsidRPr="00B179B1" w:rsidRDefault="00B179B1" w:rsidP="00B179B1">
      <w:pPr>
        <w:pStyle w:val="MHeader"/>
        <w:rPr>
          <w:sz w:val="18"/>
          <w:szCs w:val="18"/>
        </w:rPr>
      </w:pPr>
    </w:p>
    <w:p w14:paraId="6880979C" w14:textId="3B338446" w:rsidR="007C1450" w:rsidRPr="00B179B1" w:rsidRDefault="007C1450" w:rsidP="00B179B1">
      <w:pPr>
        <w:pStyle w:val="MHeader"/>
      </w:pPr>
      <w:r>
        <w:t>Institutional Information</w:t>
      </w:r>
    </w:p>
    <w:p w14:paraId="21830105" w14:textId="77777777" w:rsidR="001C05D9" w:rsidRDefault="001C05D9" w:rsidP="00E75A2B">
      <w:pPr>
        <w:autoSpaceDE w:val="0"/>
        <w:autoSpaceDN w:val="0"/>
        <w:adjustRightInd w:val="0"/>
        <w:spacing w:after="0" w:line="276" w:lineRule="auto"/>
        <w:jc w:val="both"/>
        <w:rPr>
          <w:rFonts w:cstheme="minorHAnsi"/>
          <w:b/>
          <w:bCs/>
          <w:color w:val="000000" w:themeColor="text1"/>
          <w:sz w:val="23"/>
          <w:szCs w:val="23"/>
        </w:rPr>
      </w:pPr>
    </w:p>
    <w:p w14:paraId="00DDABA8" w14:textId="408DF87F" w:rsidR="00102539" w:rsidRPr="00B179B1" w:rsidRDefault="00102539" w:rsidP="00B179B1">
      <w:pPr>
        <w:pStyle w:val="MSubHeader"/>
      </w:pPr>
      <w:r w:rsidRPr="00B179B1">
        <w:t>Custodian Organization</w:t>
      </w:r>
      <w:r w:rsidR="007C1450" w:rsidRPr="00B179B1">
        <w:t>(s):</w:t>
      </w:r>
    </w:p>
    <w:p w14:paraId="530F0966" w14:textId="19A0B100" w:rsidR="007C1450" w:rsidRPr="00B179B1" w:rsidRDefault="00B179B1" w:rsidP="00B179B1">
      <w:pPr>
        <w:pStyle w:val="MText"/>
      </w:pPr>
      <w:r w:rsidRPr="00B179B1">
        <w:t>UN</w:t>
      </w:r>
      <w:r w:rsidR="00EE71F8">
        <w:t xml:space="preserve"> </w:t>
      </w:r>
      <w:r w:rsidRPr="00B179B1">
        <w:t>Women in collaboration with OECD and UNDP</w:t>
      </w:r>
      <w:r w:rsidR="00EE71F8">
        <w:t>.</w:t>
      </w:r>
    </w:p>
    <w:p w14:paraId="4D960351" w14:textId="77777777" w:rsidR="00B179B1" w:rsidRPr="00B179B1" w:rsidRDefault="00B179B1" w:rsidP="00B179B1">
      <w:pPr>
        <w:pStyle w:val="MHeader"/>
        <w:rPr>
          <w:sz w:val="20"/>
          <w:szCs w:val="20"/>
        </w:rPr>
      </w:pPr>
    </w:p>
    <w:p w14:paraId="2CA4A2D0" w14:textId="50865C76" w:rsidR="007C1450" w:rsidRPr="00BA7B2E" w:rsidRDefault="007C1450" w:rsidP="00B179B1">
      <w:pPr>
        <w:pStyle w:val="MHeader"/>
      </w:pPr>
      <w:r w:rsidRPr="00BA7B2E">
        <w:t>Concepts and definitions</w:t>
      </w:r>
    </w:p>
    <w:p w14:paraId="4306DF54" w14:textId="77777777" w:rsidR="007C1450" w:rsidRDefault="007C1450" w:rsidP="00E75A2B">
      <w:pPr>
        <w:autoSpaceDE w:val="0"/>
        <w:autoSpaceDN w:val="0"/>
        <w:adjustRightInd w:val="0"/>
        <w:spacing w:after="0" w:line="276" w:lineRule="auto"/>
        <w:jc w:val="both"/>
        <w:rPr>
          <w:rFonts w:cstheme="minorHAnsi"/>
          <w:b/>
          <w:bCs/>
          <w:color w:val="000000"/>
        </w:rPr>
      </w:pPr>
    </w:p>
    <w:p w14:paraId="7670C068" w14:textId="77777777" w:rsidR="000D405F" w:rsidRPr="000D405F" w:rsidRDefault="00CA4618" w:rsidP="00EE71F8">
      <w:pPr>
        <w:pStyle w:val="MText"/>
      </w:pPr>
      <w:r>
        <w:t xml:space="preserve">Sustainable Development Goal (SDG) </w:t>
      </w:r>
      <w:r w:rsidR="000D405F">
        <w:t>Indicator 5.c.1</w:t>
      </w:r>
      <w:r w:rsidR="000D405F" w:rsidRPr="000D405F">
        <w:t xml:space="preserve"> seeks to measure government efforts to track budget allocations for gender equality throughout the public finance management cycle and to make these publicly available. This is an indicator of characteristics of the fiscal system. It is not an indicator of quantity</w:t>
      </w:r>
      <w:r w:rsidR="00D9498C">
        <w:t xml:space="preserve"> or quality</w:t>
      </w:r>
      <w:r w:rsidR="000D405F" w:rsidRPr="000D405F">
        <w:t xml:space="preserve"> of finance allocated for gender equality and women’s empowerment</w:t>
      </w:r>
      <w:r>
        <w:t xml:space="preserve"> (GEWE)</w:t>
      </w:r>
      <w:r w:rsidR="000D405F" w:rsidRPr="000D405F">
        <w:t>.</w:t>
      </w:r>
      <w:r w:rsidR="000D405F">
        <w:t xml:space="preserve"> </w:t>
      </w:r>
      <w:r w:rsidR="000D405F" w:rsidRPr="000D405F">
        <w:t xml:space="preserve">The indicator measures three criteria. The first focuses on the intent of a government to address GEWE by identifying if it has programs/policies and resource allocations to foster GEWE. The second </w:t>
      </w:r>
      <w:r>
        <w:t>assesses</w:t>
      </w:r>
      <w:r w:rsidRPr="000D405F">
        <w:t xml:space="preserve"> </w:t>
      </w:r>
      <w:r w:rsidR="000D405F" w:rsidRPr="000D405F">
        <w:t xml:space="preserve">if a government has </w:t>
      </w:r>
      <w:r w:rsidR="001863E4">
        <w:t>planning and budget tools</w:t>
      </w:r>
      <w:r w:rsidR="000D405F" w:rsidRPr="000D405F">
        <w:t xml:space="preserve"> to track resources for GEWE throughout the public financial management cycle. The third focuses on transparency by identifying if a government has provisions to make allocations for GEWE publicly available.</w:t>
      </w:r>
    </w:p>
    <w:p w14:paraId="0B2C898B" w14:textId="77777777" w:rsidR="00EE71F8" w:rsidRDefault="00EE71F8" w:rsidP="00EE71F8">
      <w:pPr>
        <w:pStyle w:val="MText"/>
      </w:pPr>
    </w:p>
    <w:p w14:paraId="5E924B6B" w14:textId="2EDDB9C5" w:rsidR="00102539" w:rsidRPr="00BA7B2E" w:rsidRDefault="000D405F" w:rsidP="00EE71F8">
      <w:pPr>
        <w:pStyle w:val="MText"/>
        <w:rPr>
          <w:b/>
          <w:bCs/>
        </w:rPr>
      </w:pPr>
      <w:r w:rsidRPr="000D405F">
        <w:t xml:space="preserve">The indicator aims to encourage national governments to develop appropriate budget tracking and monitoring systems and commit to making information about allocations for gender equality readily </w:t>
      </w:r>
      <w:r w:rsidR="00D9498C">
        <w:t>available</w:t>
      </w:r>
      <w:r w:rsidR="00D9498C" w:rsidRPr="000D405F">
        <w:t xml:space="preserve"> </w:t>
      </w:r>
      <w:r w:rsidRPr="000D405F">
        <w:t xml:space="preserve">to the public. The system should be </w:t>
      </w:r>
      <w:r w:rsidRPr="004108C5">
        <w:t>led</w:t>
      </w:r>
      <w:r w:rsidRPr="000D405F">
        <w:t xml:space="preserve"> by the Ministry of Finance in collaboration with the sectoral ministries and National Women’s Machineries and overseen by an appropriate body such as Parliament or Public Auditors.</w:t>
      </w:r>
    </w:p>
    <w:p w14:paraId="330806C6" w14:textId="77777777" w:rsidR="00EE71F8" w:rsidRDefault="00EE71F8" w:rsidP="00EE71F8">
      <w:pPr>
        <w:pStyle w:val="MSubHeader"/>
      </w:pPr>
    </w:p>
    <w:p w14:paraId="2D64289B" w14:textId="116D8EB2" w:rsidR="00102539" w:rsidRPr="00BA7B2E" w:rsidRDefault="00C60806" w:rsidP="00EE71F8">
      <w:pPr>
        <w:pStyle w:val="MSubHeader"/>
      </w:pPr>
      <w:r w:rsidRPr="00BA7B2E">
        <w:t>Rationale:</w:t>
      </w:r>
    </w:p>
    <w:p w14:paraId="767688E3" w14:textId="77777777" w:rsidR="00B175F1" w:rsidRPr="004D4F71" w:rsidRDefault="00B175F1" w:rsidP="00EE71F8">
      <w:pPr>
        <w:pStyle w:val="MText"/>
      </w:pPr>
      <w:r w:rsidRPr="004D4F71">
        <w:t>Adequate and effective financing is essential to achieve SDG 5 and the gender related targets across the SDG framework. By tracking and making public gender equality allocations, governments promote great</w:t>
      </w:r>
      <w:r w:rsidR="00EF1035">
        <w:t>er</w:t>
      </w:r>
      <w:r w:rsidRPr="004D4F71">
        <w:t xml:space="preserve"> transparency</w:t>
      </w:r>
      <w:r w:rsidR="00D9498C">
        <w:t xml:space="preserve"> </w:t>
      </w:r>
      <w:r w:rsidR="006B10E4">
        <w:t>in and</w:t>
      </w:r>
      <w:r w:rsidR="00EF1035">
        <w:t xml:space="preserve"> hence this could </w:t>
      </w:r>
      <w:r w:rsidR="00D03CF8">
        <w:t xml:space="preserve">result </w:t>
      </w:r>
      <w:r w:rsidR="00EF1035">
        <w:t>in better accountability</w:t>
      </w:r>
      <w:r w:rsidRPr="004D4F71">
        <w:t xml:space="preserve">. The indicator encourages governments to put in place a system to track and make public resource allocations which can then inform policy review, better policy formulation and </w:t>
      </w:r>
      <w:r w:rsidR="004108C5">
        <w:t xml:space="preserve">more </w:t>
      </w:r>
      <w:r w:rsidRPr="004D4F71">
        <w:t xml:space="preserve">effective </w:t>
      </w:r>
      <w:r w:rsidR="004108C5">
        <w:t xml:space="preserve">public financial management.  </w:t>
      </w:r>
    </w:p>
    <w:p w14:paraId="18C1DA3B" w14:textId="77777777" w:rsidR="00EE71F8" w:rsidRDefault="00EE71F8" w:rsidP="00EE71F8">
      <w:pPr>
        <w:pStyle w:val="MText"/>
      </w:pPr>
    </w:p>
    <w:p w14:paraId="3C6E70B7" w14:textId="00BE1F42" w:rsidR="000D405F" w:rsidRPr="000D405F" w:rsidRDefault="000D405F" w:rsidP="00EE71F8">
      <w:pPr>
        <w:pStyle w:val="MText"/>
      </w:pPr>
      <w:r w:rsidRPr="000D405F">
        <w:t>The principle of adequate financing for gender equality is rooted in the Beijing Declaration and Platform of Action (para 345 and 346) adopted in 1995. However, the Secretary General’s report on the twenty-year review and appraisal of the Platform for Action found that underinvestment in gender equality and women’s empowerment has contributed to slow and uneven progress in all 12 critical areas of concern. Inadequate financing hinders the implementation of gender responsive laws and policies. Data shows that financing gaps are sometimes a high as 90% with critical shortfalls in infrastructure, pr</w:t>
      </w:r>
      <w:r w:rsidR="004D4F71">
        <w:t>oductive and economic sectors.</w:t>
      </w:r>
    </w:p>
    <w:p w14:paraId="11949AE3" w14:textId="77777777" w:rsidR="00EE71F8" w:rsidRDefault="00EE71F8" w:rsidP="00EE71F8">
      <w:pPr>
        <w:pStyle w:val="MText"/>
      </w:pPr>
    </w:p>
    <w:p w14:paraId="73E6E6E2" w14:textId="4F0BC515" w:rsidR="000D405F" w:rsidRPr="000D405F" w:rsidRDefault="000D405F" w:rsidP="00EE71F8">
      <w:pPr>
        <w:pStyle w:val="MText"/>
      </w:pPr>
      <w:r w:rsidRPr="000D405F">
        <w:t xml:space="preserve">The 2030 Agenda for Sustainable Development Agenda commits to </w:t>
      </w:r>
      <w:r w:rsidR="00D03CF8">
        <w:t xml:space="preserve">a </w:t>
      </w:r>
      <w:r w:rsidRPr="000D405F">
        <w:t>“significant increase in investments to close the gender gap</w:t>
      </w:r>
      <w:r w:rsidR="00D03CF8">
        <w:t>.</w:t>
      </w:r>
      <w:r w:rsidRPr="000D405F">
        <w:t xml:space="preserve">” </w:t>
      </w:r>
      <w:r w:rsidR="00D03CF8">
        <w:t xml:space="preserve">Ensuring </w:t>
      </w:r>
      <w:r w:rsidRPr="000D405F">
        <w:t xml:space="preserve">requisite resources for gender equality is central to implementing and achieving SDG 5 and all gender targets across the framework. Tracking </w:t>
      </w:r>
      <w:r w:rsidR="00D03CF8">
        <w:t>these</w:t>
      </w:r>
      <w:r w:rsidR="00D03CF8" w:rsidRPr="000D405F">
        <w:t xml:space="preserve"> </w:t>
      </w:r>
      <w:r w:rsidRPr="000D405F">
        <w:t xml:space="preserve">allocations and making </w:t>
      </w:r>
      <w:r w:rsidR="00D03CF8">
        <w:t>the data</w:t>
      </w:r>
      <w:r w:rsidR="00D03CF8" w:rsidRPr="000D405F">
        <w:t xml:space="preserve"> </w:t>
      </w:r>
      <w:r w:rsidRPr="000D405F">
        <w:t xml:space="preserve">publicly available </w:t>
      </w:r>
      <w:r w:rsidR="00D03CF8">
        <w:t>are</w:t>
      </w:r>
      <w:r w:rsidRPr="000D405F">
        <w:t xml:space="preserve"> important step</w:t>
      </w:r>
      <w:r w:rsidR="00D03CF8">
        <w:t>s</w:t>
      </w:r>
      <w:r w:rsidRPr="000D405F">
        <w:t xml:space="preserve"> to assess progress towards meeting these goals. This has been reaffirmed at the </w:t>
      </w:r>
      <w:r w:rsidR="00D03CF8">
        <w:t>T</w:t>
      </w:r>
      <w:r w:rsidRPr="000D405F">
        <w:t xml:space="preserve">hird </w:t>
      </w:r>
      <w:r w:rsidR="00D03CF8">
        <w:t>I</w:t>
      </w:r>
      <w:r w:rsidRPr="000D405F">
        <w:t xml:space="preserve">nternational </w:t>
      </w:r>
      <w:r w:rsidR="00D03CF8">
        <w:t>C</w:t>
      </w:r>
      <w:r w:rsidRPr="000D405F">
        <w:t xml:space="preserve">onference on Financing for Development, where member states adopted the Addis Ababa Action Agenda </w:t>
      </w:r>
      <w:r w:rsidR="00D03CF8">
        <w:t>which</w:t>
      </w:r>
      <w:r w:rsidR="00D03CF8" w:rsidRPr="000D405F">
        <w:t xml:space="preserve"> </w:t>
      </w:r>
      <w:r w:rsidRPr="000D405F">
        <w:t>commi</w:t>
      </w:r>
      <w:r w:rsidR="00D03CF8">
        <w:t>ts</w:t>
      </w:r>
      <w:r w:rsidRPr="000D405F">
        <w:t xml:space="preserve"> to track gender equality allocations and increase transparency on public spending.</w:t>
      </w:r>
      <w:r w:rsidR="00D03CF8">
        <w:rPr>
          <w:rStyle w:val="FootnoteReference"/>
          <w:rFonts w:cstheme="minorHAnsi"/>
          <w:color w:val="000000"/>
          <w:sz w:val="23"/>
          <w:szCs w:val="23"/>
        </w:rPr>
        <w:footnoteReference w:id="1"/>
      </w:r>
      <w:r w:rsidRPr="000D405F">
        <w:t xml:space="preserve"> Furthermore, the Commission on the Status of Women at i</w:t>
      </w:r>
      <w:r w:rsidR="00CA4618">
        <w:t>t</w:t>
      </w:r>
      <w:r w:rsidRPr="000D405F">
        <w:t>s 60th session called upon states to support and institutionalize gender-responsive budgeting and tracking across all sectors of public expenditure to address gaps in resourcing for gender equality and the empowerment of women and girls.</w:t>
      </w:r>
    </w:p>
    <w:p w14:paraId="0B0D28EF" w14:textId="77777777" w:rsidR="00EE71F8" w:rsidRDefault="00EE71F8" w:rsidP="00EE71F8">
      <w:pPr>
        <w:pStyle w:val="MText"/>
      </w:pPr>
    </w:p>
    <w:p w14:paraId="7C345419" w14:textId="77FEF515" w:rsidR="00376A7D" w:rsidRDefault="00CA4618" w:rsidP="00EE71F8">
      <w:pPr>
        <w:pStyle w:val="MText"/>
      </w:pPr>
      <w:r>
        <w:t>I</w:t>
      </w:r>
      <w:r w:rsidR="000D405F" w:rsidRPr="000D405F">
        <w:t>ndicator</w:t>
      </w:r>
      <w:r>
        <w:t xml:space="preserve"> 5.c.1</w:t>
      </w:r>
      <w:r w:rsidR="000D405F" w:rsidRPr="000D405F">
        <w:t xml:space="preserve"> will measure the percentage of governments with systems to track and make public resource allocations for gender equality. It builds on Indicator 8 of the </w:t>
      </w:r>
      <w:r w:rsidR="00CB05B6">
        <w:t>Global</w:t>
      </w:r>
      <w:r w:rsidR="00CB05B6" w:rsidRPr="000D405F">
        <w:t xml:space="preserve"> </w:t>
      </w:r>
      <w:r w:rsidR="000D405F" w:rsidRPr="000D405F">
        <w:t>Partnership for Effective Development Co</w:t>
      </w:r>
      <w:r w:rsidR="00CB05B6">
        <w:t>-</w:t>
      </w:r>
      <w:r w:rsidR="000D405F" w:rsidRPr="000D405F">
        <w:t>operation that has been piloted</w:t>
      </w:r>
      <w:r w:rsidR="00CB05B6">
        <w:t>,</w:t>
      </w:r>
      <w:r w:rsidR="000D405F" w:rsidRPr="000D405F">
        <w:t xml:space="preserve"> tested </w:t>
      </w:r>
      <w:r w:rsidR="00CB05B6">
        <w:t xml:space="preserve">and rolled out </w:t>
      </w:r>
      <w:r w:rsidR="000D405F" w:rsidRPr="000D405F">
        <w:t>in 81 countries. Indicator 8 allowed, for the first time, the systematic collection of data on government efforts to track resource allocations for gender equality across countries.</w:t>
      </w:r>
      <w:r>
        <w:t xml:space="preserve"> Indicator 5.c.1 is defined in almost identical terms to Indicator 8 of the GPEDC.</w:t>
      </w:r>
      <w:r w:rsidR="00B175F1">
        <w:t xml:space="preserve"> </w:t>
      </w:r>
      <w:r w:rsidR="004D4F71" w:rsidRPr="004D4F71">
        <w:t xml:space="preserve">In addition, Indicator 5.c.1 is </w:t>
      </w:r>
      <w:r w:rsidR="003F5DAE" w:rsidRPr="003F5DAE">
        <w:t>the only indicator in the SDG monitoring framework that links national budgeting systems with implementation of legislation and policies for gender equality and women’s empowerment.</w:t>
      </w:r>
    </w:p>
    <w:p w14:paraId="7E8B47C7" w14:textId="77777777" w:rsidR="00A21741" w:rsidRPr="00AD6D4F" w:rsidRDefault="00D25CD8" w:rsidP="00EE71F8">
      <w:pPr>
        <w:pStyle w:val="MText"/>
      </w:pPr>
      <w:r w:rsidRPr="00AD6D4F">
        <w:t>The refined methodology</w:t>
      </w:r>
      <w:r w:rsidR="00CA3B2B" w:rsidRPr="00AD6D4F">
        <w:t xml:space="preserve"> for Indicator 5.c.1</w:t>
      </w:r>
      <w:r w:rsidRPr="00AD6D4F">
        <w:t xml:space="preserve"> is an improvement over the original methodology for Indicator 8</w:t>
      </w:r>
      <w:r w:rsidR="003C5E93" w:rsidRPr="00AD6D4F">
        <w:t xml:space="preserve">. The </w:t>
      </w:r>
      <w:r w:rsidR="008D1FCE" w:rsidRPr="00AD6D4F">
        <w:t xml:space="preserve">increased </w:t>
      </w:r>
      <w:r w:rsidR="003C5E93" w:rsidRPr="00AD6D4F">
        <w:t>specific</w:t>
      </w:r>
      <w:r w:rsidR="00BA0EA3" w:rsidRPr="00AD6D4F">
        <w:t>ity of the criteria provides</w:t>
      </w:r>
      <w:r w:rsidR="003C5E93" w:rsidRPr="00AD6D4F">
        <w:t xml:space="preserve"> a greater level of detail and therefore, </w:t>
      </w:r>
      <w:r w:rsidR="00732521" w:rsidRPr="00AD6D4F">
        <w:t xml:space="preserve">captures the </w:t>
      </w:r>
      <w:r w:rsidR="003C5E93" w:rsidRPr="00AD6D4F">
        <w:t xml:space="preserve">variability in countries’ gender equality </w:t>
      </w:r>
      <w:r w:rsidR="00840960" w:rsidRPr="00AD6D4F">
        <w:t>policies and public financial</w:t>
      </w:r>
      <w:r w:rsidR="003C5E93" w:rsidRPr="00AD6D4F">
        <w:t xml:space="preserve"> management systems. </w:t>
      </w:r>
      <w:r w:rsidRPr="00AD6D4F">
        <w:t xml:space="preserve">The </w:t>
      </w:r>
      <w:r w:rsidR="00C304A8" w:rsidRPr="00AD6D4F">
        <w:t xml:space="preserve">application of a tiered scoring approach with specific thresholds </w:t>
      </w:r>
      <w:r w:rsidR="008D1FCE" w:rsidRPr="00AD6D4F">
        <w:t xml:space="preserve">increases the indicator’s rigor and </w:t>
      </w:r>
      <w:r w:rsidR="00CA3B2B" w:rsidRPr="00AD6D4F">
        <w:t>gives incentive to countries to improve these systems over time</w:t>
      </w:r>
      <w:r w:rsidR="003C5E93" w:rsidRPr="00AD6D4F">
        <w:t>.</w:t>
      </w:r>
      <w:r w:rsidR="008D1FCE" w:rsidRPr="00AD6D4F">
        <w:t xml:space="preserve"> </w:t>
      </w:r>
    </w:p>
    <w:p w14:paraId="70A6D850" w14:textId="77777777" w:rsidR="00EE71F8" w:rsidRDefault="00EE71F8" w:rsidP="00EE71F8">
      <w:pPr>
        <w:pStyle w:val="MText"/>
      </w:pPr>
      <w:bookmarkStart w:id="0" w:name="_Hlk494808592"/>
    </w:p>
    <w:p w14:paraId="7AD3F793" w14:textId="65EA82BF" w:rsidR="00231654" w:rsidRPr="00AD6D4F" w:rsidRDefault="00E90505" w:rsidP="00EE71F8">
      <w:pPr>
        <w:pStyle w:val="MText"/>
      </w:pPr>
      <w:r w:rsidRPr="00E90505">
        <w:t>Further, it is envisaged that the OECD</w:t>
      </w:r>
      <w:r w:rsidR="00732521" w:rsidRPr="00E90505">
        <w:t xml:space="preserve"> Survey of </w:t>
      </w:r>
      <w:r w:rsidR="00A21741" w:rsidRPr="00E90505">
        <w:t xml:space="preserve">Budget Practices and Procedures, conducted regularly among OECD countries, </w:t>
      </w:r>
      <w:r w:rsidRPr="00E90505">
        <w:t xml:space="preserve">will be </w:t>
      </w:r>
      <w:r w:rsidR="00A21741" w:rsidRPr="00E90505">
        <w:t>modified and updated</w:t>
      </w:r>
      <w:r w:rsidRPr="00E90505">
        <w:t xml:space="preserve"> to align closely with </w:t>
      </w:r>
      <w:r w:rsidR="00A21741" w:rsidRPr="00E90505">
        <w:t xml:space="preserve">Indicator </w:t>
      </w:r>
      <w:proofErr w:type="gramStart"/>
      <w:r w:rsidR="00A21741" w:rsidRPr="00E90505">
        <w:t>5.c.</w:t>
      </w:r>
      <w:proofErr w:type="gramEnd"/>
      <w:r w:rsidR="00A21741" w:rsidRPr="00E90505">
        <w:t xml:space="preserve">1. </w:t>
      </w:r>
      <w:r w:rsidRPr="00E90505">
        <w:t>This will allow</w:t>
      </w:r>
      <w:r w:rsidR="00A21741" w:rsidRPr="00E90505">
        <w:t xml:space="preserve"> greater</w:t>
      </w:r>
      <w:r w:rsidRPr="00E90505">
        <w:t xml:space="preserve"> global</w:t>
      </w:r>
      <w:r w:rsidR="00A21741" w:rsidRPr="00E90505">
        <w:t xml:space="preserve"> coverage by strengthening the indicator’s relevance to ministrie</w:t>
      </w:r>
      <w:r w:rsidR="0021228D" w:rsidRPr="00E90505">
        <w:t>s of finance in all countries.</w:t>
      </w:r>
    </w:p>
    <w:bookmarkEnd w:id="0"/>
    <w:p w14:paraId="44AB11AD" w14:textId="77777777" w:rsidR="00EE71F8" w:rsidRDefault="00EE71F8" w:rsidP="00EE71F8">
      <w:pPr>
        <w:pStyle w:val="MSubHeader"/>
      </w:pPr>
    </w:p>
    <w:p w14:paraId="5CFDD0AD" w14:textId="274CB43B" w:rsidR="00C60806" w:rsidRPr="00BA7B2E" w:rsidRDefault="00C60806" w:rsidP="00EE71F8">
      <w:pPr>
        <w:pStyle w:val="MSubHeader"/>
      </w:pPr>
      <w:r w:rsidRPr="00BA7B2E">
        <w:t xml:space="preserve">Concepts: </w:t>
      </w:r>
    </w:p>
    <w:p w14:paraId="103B714A" w14:textId="77777777" w:rsidR="00EF330A" w:rsidRPr="00EF330A" w:rsidRDefault="00EF330A" w:rsidP="00EE71F8">
      <w:pPr>
        <w:pStyle w:val="MText"/>
      </w:pPr>
      <w:r w:rsidRPr="00EF330A">
        <w:t>To determine if a country has a system to track and make public allocations for gender equality and women’s empowerment, the following questionnaire will be sent to its Ministry of Finance, or agency in charge of the government budget:</w:t>
      </w:r>
    </w:p>
    <w:p w14:paraId="59A2AE44" w14:textId="77777777" w:rsidR="00EE71F8" w:rsidRDefault="00EE71F8" w:rsidP="00EE71F8">
      <w:pPr>
        <w:pStyle w:val="MText"/>
      </w:pPr>
    </w:p>
    <w:p w14:paraId="5375E1B3" w14:textId="31B3CBEA" w:rsidR="00EF330A" w:rsidRPr="00EF330A" w:rsidRDefault="00EF330A" w:rsidP="00EE71F8">
      <w:pPr>
        <w:pStyle w:val="MText"/>
      </w:pPr>
      <w:r w:rsidRPr="00EF330A">
        <w:t xml:space="preserve">Criterion 1. </w:t>
      </w:r>
      <w:r w:rsidR="00B95453" w:rsidRPr="00B95453">
        <w:t>Which of the following aspects of public expenditure are reflected in your government programs and its resource allocations? (In the last completed fiscal year)</w:t>
      </w:r>
    </w:p>
    <w:p w14:paraId="6C60643F" w14:textId="77777777" w:rsidR="00EF330A" w:rsidRPr="00EF330A" w:rsidRDefault="00EF330A" w:rsidP="00EE71F8">
      <w:pPr>
        <w:pStyle w:val="MText"/>
        <w:ind w:left="720"/>
      </w:pPr>
      <w:r w:rsidRPr="00EF330A">
        <w:t>Question 1.1</w:t>
      </w:r>
      <w:r>
        <w:t xml:space="preserve">. </w:t>
      </w:r>
      <w:r w:rsidR="00B95453" w:rsidRPr="00B95453">
        <w:t>Are there policies and/or programs of the government designed to address well-identified gender equality goals, including those where gender equality is not the primary objective (such as public services, social protection and infrastructure) but incorporate action to close gender gaps?</w:t>
      </w:r>
      <w:r w:rsidRPr="00EF330A">
        <w:t xml:space="preserve"> (Yes=1/No=0)</w:t>
      </w:r>
    </w:p>
    <w:p w14:paraId="48F2A505" w14:textId="77777777" w:rsidR="00EF330A" w:rsidRPr="00EF330A" w:rsidRDefault="00EF330A" w:rsidP="00EE71F8">
      <w:pPr>
        <w:pStyle w:val="MText"/>
        <w:ind w:left="720"/>
      </w:pPr>
      <w:r w:rsidRPr="00EF330A">
        <w:t>Question 1.2</w:t>
      </w:r>
      <w:r>
        <w:t xml:space="preserve">. </w:t>
      </w:r>
      <w:r w:rsidR="00B95453" w:rsidRPr="00B95453">
        <w:t>Do these policies and/or programs have adequate resources allocated within the budget, sufficient to meet both their general objectives and their gender equality goals?</w:t>
      </w:r>
      <w:r w:rsidRPr="00EF330A">
        <w:t xml:space="preserve"> (Yes=1/No=0)</w:t>
      </w:r>
    </w:p>
    <w:p w14:paraId="7E58F7A7" w14:textId="77777777" w:rsidR="00EE71F8" w:rsidRDefault="00EE71F8" w:rsidP="00EE71F8">
      <w:pPr>
        <w:pStyle w:val="MText"/>
        <w:ind w:left="720"/>
      </w:pPr>
    </w:p>
    <w:p w14:paraId="1FB18C75" w14:textId="5DC58A56" w:rsidR="00EF330A" w:rsidRPr="00EF330A" w:rsidRDefault="00EF330A" w:rsidP="00EE71F8">
      <w:pPr>
        <w:pStyle w:val="MText"/>
        <w:ind w:left="720"/>
      </w:pPr>
      <w:r w:rsidRPr="00EF330A">
        <w:t>Question 1.3</w:t>
      </w:r>
      <w:r>
        <w:t xml:space="preserve">. </w:t>
      </w:r>
      <w:r w:rsidR="00B95453" w:rsidRPr="00B95453">
        <w:t>Are there procedures in place to ensure that these resources are executed according to the budget</w:t>
      </w:r>
      <w:r w:rsidRPr="00EF330A">
        <w:t>? (Yes=1/No=0)</w:t>
      </w:r>
    </w:p>
    <w:p w14:paraId="0ECC39E3" w14:textId="77777777" w:rsidR="00EE71F8" w:rsidRDefault="00EE71F8" w:rsidP="00EE71F8">
      <w:pPr>
        <w:pStyle w:val="MText"/>
      </w:pPr>
    </w:p>
    <w:p w14:paraId="79661D99" w14:textId="57D12D85" w:rsidR="00EF330A" w:rsidRPr="00EF330A" w:rsidRDefault="00EF330A" w:rsidP="00EE71F8">
      <w:pPr>
        <w:pStyle w:val="MText"/>
      </w:pPr>
      <w:r w:rsidRPr="00EF330A">
        <w:t xml:space="preserve">Criterion 2. </w:t>
      </w:r>
      <w:r w:rsidR="00B95453" w:rsidRPr="00B95453">
        <w:t>To what extent does your Public Financial Management system promote gender-related or gender-responsive goals? (In the last completed fiscal year)</w:t>
      </w:r>
    </w:p>
    <w:p w14:paraId="17677F0D" w14:textId="77777777" w:rsidR="00EE71F8" w:rsidRDefault="00EE71F8" w:rsidP="00EE71F8">
      <w:pPr>
        <w:pStyle w:val="MText"/>
        <w:ind w:left="720"/>
      </w:pPr>
    </w:p>
    <w:p w14:paraId="5D8A6028" w14:textId="1C197342" w:rsidR="00EF330A" w:rsidRPr="00EF330A" w:rsidRDefault="00EF330A" w:rsidP="00EE71F8">
      <w:pPr>
        <w:pStyle w:val="MText"/>
        <w:ind w:left="720"/>
      </w:pPr>
      <w:r w:rsidRPr="00EF330A">
        <w:t>Question 2.1</w:t>
      </w:r>
      <w:r w:rsidR="00955172">
        <w:t xml:space="preserve">. </w:t>
      </w:r>
      <w:proofErr w:type="gramStart"/>
      <w:r w:rsidR="00B95453" w:rsidRPr="00B95453">
        <w:t>Does</w:t>
      </w:r>
      <w:proofErr w:type="gramEnd"/>
      <w:r w:rsidR="00B95453" w:rsidRPr="00B95453">
        <w:t xml:space="preserve"> the Ministry of Finance/budget office issue call circulars, or other such directives, that provide specific guidance on gender-responsive budget allocations? </w:t>
      </w:r>
      <w:r w:rsidRPr="00EF330A">
        <w:t>(Yes=1/No=0)</w:t>
      </w:r>
    </w:p>
    <w:p w14:paraId="43352FE5" w14:textId="77777777" w:rsidR="00EE71F8" w:rsidRDefault="00EE71F8" w:rsidP="00EE71F8">
      <w:pPr>
        <w:pStyle w:val="MText"/>
        <w:ind w:left="720"/>
      </w:pPr>
    </w:p>
    <w:p w14:paraId="2097B5D3" w14:textId="5DBD5365" w:rsidR="00EF330A" w:rsidRPr="00EF330A" w:rsidRDefault="00EF330A" w:rsidP="00EE71F8">
      <w:pPr>
        <w:pStyle w:val="MText"/>
        <w:ind w:left="720"/>
      </w:pPr>
      <w:r w:rsidRPr="00EF330A">
        <w:t>Question 2.2</w:t>
      </w:r>
      <w:r w:rsidR="00955172">
        <w:t xml:space="preserve">. </w:t>
      </w:r>
      <w:r w:rsidR="006746B1" w:rsidRPr="006746B1">
        <w:t>Are key policies and programs, proposed for inclusion in the budget, subject to an ex ante gender impact assessment?</w:t>
      </w:r>
      <w:r w:rsidRPr="00EF330A">
        <w:t xml:space="preserve"> (Yes=1/No=0)</w:t>
      </w:r>
    </w:p>
    <w:p w14:paraId="1F8DE5A3" w14:textId="77777777" w:rsidR="00EE71F8" w:rsidRDefault="00EE71F8" w:rsidP="00EE71F8">
      <w:pPr>
        <w:pStyle w:val="MText"/>
        <w:ind w:left="720"/>
      </w:pPr>
    </w:p>
    <w:p w14:paraId="77272A94" w14:textId="2E23695D" w:rsidR="00EF330A" w:rsidRPr="00EF330A" w:rsidRDefault="00EF330A" w:rsidP="00EE71F8">
      <w:pPr>
        <w:pStyle w:val="MText"/>
        <w:ind w:left="720"/>
      </w:pPr>
      <w:r w:rsidRPr="00EF330A">
        <w:t>Question 2.3</w:t>
      </w:r>
      <w:r w:rsidR="00955172">
        <w:t xml:space="preserve">. </w:t>
      </w:r>
      <w:r w:rsidR="006746B1" w:rsidRPr="006746B1">
        <w:t>Are sex-disaggregated statistics and data used across key policies and programs in a way which can inform budget-related policy decisions?</w:t>
      </w:r>
      <w:r w:rsidRPr="00EF330A">
        <w:t xml:space="preserve"> (Yes=1/No=0)</w:t>
      </w:r>
    </w:p>
    <w:p w14:paraId="37CC7CB7" w14:textId="77777777" w:rsidR="00EE71F8" w:rsidRDefault="00EE71F8" w:rsidP="00EE71F8">
      <w:pPr>
        <w:pStyle w:val="MText"/>
        <w:ind w:left="720"/>
      </w:pPr>
    </w:p>
    <w:p w14:paraId="3499622F" w14:textId="3418D5BD" w:rsidR="00EF330A" w:rsidRPr="00EF330A" w:rsidRDefault="00EF330A" w:rsidP="00EE71F8">
      <w:pPr>
        <w:pStyle w:val="MText"/>
        <w:ind w:left="720"/>
      </w:pPr>
      <w:r w:rsidRPr="00EF330A">
        <w:t>Question 2.4</w:t>
      </w:r>
      <w:r w:rsidR="00955172">
        <w:t xml:space="preserve">. </w:t>
      </w:r>
      <w:r w:rsidR="006746B1" w:rsidRPr="006746B1">
        <w:t>Does the government provide, in the context of the budget, a clear statement of gender-related objectives (i.e. gender budget statement or gender responsive budget legislation)?</w:t>
      </w:r>
      <w:r w:rsidRPr="00EF330A">
        <w:t xml:space="preserve"> (Yes=1/No=0)</w:t>
      </w:r>
    </w:p>
    <w:p w14:paraId="2494C64B" w14:textId="77777777" w:rsidR="00EE71F8" w:rsidRDefault="00EE71F8" w:rsidP="00EE71F8">
      <w:pPr>
        <w:pStyle w:val="MText"/>
        <w:ind w:left="720"/>
      </w:pPr>
    </w:p>
    <w:p w14:paraId="7B5866A2" w14:textId="4B1FF8B3" w:rsidR="00EF330A" w:rsidRPr="00EF330A" w:rsidRDefault="00EF330A" w:rsidP="00EE71F8">
      <w:pPr>
        <w:pStyle w:val="MText"/>
        <w:ind w:left="720"/>
      </w:pPr>
      <w:r w:rsidRPr="00EF330A">
        <w:t>Question 2.5</w:t>
      </w:r>
      <w:r w:rsidR="00955172">
        <w:t xml:space="preserve">. </w:t>
      </w:r>
      <w:r w:rsidR="00556AF3" w:rsidRPr="00556AF3">
        <w:t>Are budgetary allocations subject to “tagging” including by functional classifiers, to identify their linkage to gender-equality objectives</w:t>
      </w:r>
      <w:r w:rsidRPr="00EF330A">
        <w:t>? (Yes=1/No=0)</w:t>
      </w:r>
    </w:p>
    <w:p w14:paraId="1B7B0731" w14:textId="77777777" w:rsidR="00EE71F8" w:rsidRDefault="00EE71F8" w:rsidP="00EE71F8">
      <w:pPr>
        <w:pStyle w:val="MText"/>
        <w:ind w:left="720"/>
      </w:pPr>
    </w:p>
    <w:p w14:paraId="09665296" w14:textId="533B0D53" w:rsidR="00EF330A" w:rsidRPr="00EF330A" w:rsidRDefault="00EF330A" w:rsidP="00EE71F8">
      <w:pPr>
        <w:pStyle w:val="MText"/>
        <w:ind w:left="720"/>
      </w:pPr>
      <w:r w:rsidRPr="00EF330A">
        <w:t>Question 2.6</w:t>
      </w:r>
      <w:r w:rsidR="00955172">
        <w:t xml:space="preserve">. </w:t>
      </w:r>
      <w:r w:rsidR="00957260" w:rsidRPr="00957260">
        <w:t>Are key policies and programs subject to ex post gender impact assessment</w:t>
      </w:r>
      <w:r w:rsidR="006746B1" w:rsidRPr="006746B1">
        <w:t>?</w:t>
      </w:r>
      <w:r w:rsidRPr="00EF330A">
        <w:t xml:space="preserve"> (Yes=1/No=0)</w:t>
      </w:r>
    </w:p>
    <w:p w14:paraId="3D9ACDDA" w14:textId="77777777" w:rsidR="00EE71F8" w:rsidRDefault="00EE71F8" w:rsidP="00EE71F8">
      <w:pPr>
        <w:pStyle w:val="MText"/>
        <w:ind w:left="720"/>
      </w:pPr>
    </w:p>
    <w:p w14:paraId="357AF02D" w14:textId="4F384ACF" w:rsidR="00EF330A" w:rsidRPr="00EF330A" w:rsidRDefault="00EF330A" w:rsidP="00EE71F8">
      <w:pPr>
        <w:pStyle w:val="MText"/>
        <w:ind w:left="720"/>
      </w:pPr>
      <w:r w:rsidRPr="00EF330A">
        <w:t>Question 2.7</w:t>
      </w:r>
      <w:r w:rsidR="00957260">
        <w:t>.</w:t>
      </w:r>
      <w:r w:rsidR="00957260" w:rsidRPr="00957260">
        <w:t xml:space="preserve"> Is the budget </w:t>
      </w:r>
      <w:proofErr w:type="gramStart"/>
      <w:r w:rsidR="00957260" w:rsidRPr="00957260">
        <w:t>as a whole subject</w:t>
      </w:r>
      <w:proofErr w:type="gramEnd"/>
      <w:r w:rsidR="00957260" w:rsidRPr="00957260">
        <w:t xml:space="preserve"> to independent audit to assess the extent to which it promotes gender-responsive policies</w:t>
      </w:r>
      <w:r w:rsidR="006746B1" w:rsidRPr="006746B1">
        <w:t>?</w:t>
      </w:r>
      <w:r w:rsidRPr="00EF330A">
        <w:t xml:space="preserve"> (Yes=1/No=0)</w:t>
      </w:r>
    </w:p>
    <w:p w14:paraId="5B967575" w14:textId="77777777" w:rsidR="00EE71F8" w:rsidRDefault="00EE71F8" w:rsidP="00EE71F8">
      <w:pPr>
        <w:pStyle w:val="MText"/>
      </w:pPr>
    </w:p>
    <w:p w14:paraId="485CC437" w14:textId="4F89267D" w:rsidR="00EF330A" w:rsidRPr="00EF330A" w:rsidRDefault="00EF330A" w:rsidP="00EE71F8">
      <w:pPr>
        <w:pStyle w:val="MText"/>
      </w:pPr>
      <w:r w:rsidRPr="00EF330A">
        <w:t>Criterion 3. Are allocations for gender equality and women’s empowerment made public? (In the last completed fiscal year)</w:t>
      </w:r>
    </w:p>
    <w:p w14:paraId="29E051F7" w14:textId="77777777" w:rsidR="00EF330A" w:rsidRPr="00EF330A" w:rsidRDefault="00EF330A" w:rsidP="00EE71F8">
      <w:pPr>
        <w:pStyle w:val="MText"/>
        <w:ind w:left="720"/>
      </w:pPr>
      <w:r w:rsidRPr="00EF330A">
        <w:t>Question 3.1</w:t>
      </w:r>
      <w:r w:rsidR="00955172">
        <w:t xml:space="preserve">. </w:t>
      </w:r>
      <w:r w:rsidR="00DB5D24" w:rsidRPr="00DB5D24">
        <w:t>Is the</w:t>
      </w:r>
      <w:r w:rsidR="00827E3C">
        <w:t xml:space="preserve"> data</w:t>
      </w:r>
      <w:r w:rsidR="00DB5D24" w:rsidRPr="00DB5D24">
        <w:t xml:space="preserve"> on gender equality allocations published</w:t>
      </w:r>
      <w:r w:rsidRPr="00EF330A">
        <w:t>? (Yes=1/No=0)</w:t>
      </w:r>
    </w:p>
    <w:p w14:paraId="5B5FD546" w14:textId="77777777" w:rsidR="00EE71F8" w:rsidRDefault="00EE71F8" w:rsidP="00EE71F8">
      <w:pPr>
        <w:pStyle w:val="MText"/>
        <w:ind w:left="720"/>
      </w:pPr>
    </w:p>
    <w:p w14:paraId="1DB53E5C" w14:textId="535ABF0A" w:rsidR="00EF330A" w:rsidRPr="00EF330A" w:rsidRDefault="00EF330A" w:rsidP="00EE71F8">
      <w:pPr>
        <w:pStyle w:val="MText"/>
        <w:ind w:left="720"/>
      </w:pPr>
      <w:r w:rsidRPr="00EF330A">
        <w:t>Question 3.2</w:t>
      </w:r>
      <w:r w:rsidR="00955172">
        <w:t xml:space="preserve">. </w:t>
      </w:r>
      <w:r w:rsidR="00DB5D24" w:rsidRPr="00DB5D24">
        <w:t>If published, has th</w:t>
      </w:r>
      <w:r w:rsidR="00827E3C">
        <w:t xml:space="preserve">is data </w:t>
      </w:r>
      <w:r w:rsidR="00DB5D24" w:rsidRPr="00DB5D24">
        <w:t xml:space="preserve">been </w:t>
      </w:r>
      <w:r w:rsidR="00827E3C">
        <w:t>published</w:t>
      </w:r>
      <w:r w:rsidR="00DB5D24" w:rsidRPr="00DB5D24">
        <w:t xml:space="preserve"> in an accessible manner on the Ministry of Finance (or office responsible for budget) website and/or related official bulletins or public notices</w:t>
      </w:r>
      <w:r w:rsidRPr="00EF330A">
        <w:t>? (Yes=1/No=0)</w:t>
      </w:r>
    </w:p>
    <w:p w14:paraId="2CEF4582" w14:textId="77777777" w:rsidR="00EE71F8" w:rsidRDefault="00EE71F8" w:rsidP="00EE71F8">
      <w:pPr>
        <w:pStyle w:val="MText"/>
        <w:ind w:left="720"/>
      </w:pPr>
    </w:p>
    <w:p w14:paraId="4D2609CA" w14:textId="29EABA06" w:rsidR="00EF330A" w:rsidRDefault="00EF330A" w:rsidP="00EE71F8">
      <w:pPr>
        <w:pStyle w:val="MText"/>
        <w:ind w:left="720"/>
      </w:pPr>
      <w:r w:rsidRPr="00EF330A">
        <w:t>Question 3.3</w:t>
      </w:r>
      <w:r w:rsidR="00955172">
        <w:t xml:space="preserve">. </w:t>
      </w:r>
      <w:r w:rsidR="00DB5D24" w:rsidRPr="00DB5D24">
        <w:t xml:space="preserve">If </w:t>
      </w:r>
      <w:r w:rsidR="00827E3C">
        <w:t>so</w:t>
      </w:r>
      <w:r w:rsidR="00DB5D24" w:rsidRPr="00DB5D24">
        <w:t>, has the</w:t>
      </w:r>
      <w:r w:rsidR="00827E3C">
        <w:t xml:space="preserve"> data </w:t>
      </w:r>
      <w:r w:rsidR="00DB5D24" w:rsidRPr="00DB5D24">
        <w:t xml:space="preserve">on gender equality allocations been </w:t>
      </w:r>
      <w:r w:rsidR="00827E3C">
        <w:t>published</w:t>
      </w:r>
      <w:r w:rsidR="00DB5D24" w:rsidRPr="00DB5D24">
        <w:t xml:space="preserve"> in a timely manner</w:t>
      </w:r>
      <w:r w:rsidRPr="00EF330A">
        <w:t>? (Yes=1/No=0)</w:t>
      </w:r>
    </w:p>
    <w:p w14:paraId="47527754" w14:textId="77777777" w:rsidR="00305BEC" w:rsidRPr="00EF330A" w:rsidRDefault="00305BEC" w:rsidP="00E75A2B">
      <w:pPr>
        <w:autoSpaceDE w:val="0"/>
        <w:autoSpaceDN w:val="0"/>
        <w:adjustRightInd w:val="0"/>
        <w:spacing w:after="200" w:line="276" w:lineRule="auto"/>
        <w:ind w:left="720"/>
        <w:jc w:val="both"/>
        <w:rPr>
          <w:rFonts w:cstheme="minorHAnsi"/>
          <w:bCs/>
          <w:color w:val="000000"/>
          <w:sz w:val="23"/>
          <w:szCs w:val="23"/>
        </w:rPr>
      </w:pPr>
    </w:p>
    <w:p w14:paraId="41B8AF67" w14:textId="77777777" w:rsidR="00EF330A" w:rsidRPr="00305BEC" w:rsidRDefault="00EF330A" w:rsidP="00EE71F8">
      <w:pPr>
        <w:pStyle w:val="MSubHeader"/>
      </w:pPr>
      <w:r w:rsidRPr="00305BEC">
        <w:t>Scoring:</w:t>
      </w:r>
    </w:p>
    <w:p w14:paraId="652DCCBF" w14:textId="77777777" w:rsidR="00EF3EF1" w:rsidRPr="00B92CF0" w:rsidRDefault="00EF3EF1" w:rsidP="00EE71F8">
      <w:pPr>
        <w:pStyle w:val="MText"/>
      </w:pPr>
      <w:r w:rsidRPr="00B92CF0">
        <w:t xml:space="preserve">A country will be considered to satisfy each criterion as follows: </w:t>
      </w:r>
    </w:p>
    <w:p w14:paraId="29149C6C" w14:textId="77777777" w:rsidR="00EF3EF1" w:rsidRPr="00B92CF0" w:rsidRDefault="00EF3EF1" w:rsidP="00E75A2B">
      <w:pPr>
        <w:spacing w:after="0" w:line="276" w:lineRule="auto"/>
        <w:jc w:val="both"/>
        <w:rPr>
          <w:rFonts w:cstheme="minorHAnsi"/>
          <w:sz w:val="23"/>
          <w:szCs w:val="23"/>
          <w:highlight w:val="yellow"/>
          <w:lang w:val="en-GB"/>
        </w:rPr>
      </w:pPr>
    </w:p>
    <w:tbl>
      <w:tblPr>
        <w:tblStyle w:val="TableGrid"/>
        <w:tblW w:w="0" w:type="auto"/>
        <w:jc w:val="center"/>
        <w:tblLook w:val="04A0" w:firstRow="1" w:lastRow="0" w:firstColumn="1" w:lastColumn="0" w:noHBand="0" w:noVBand="1"/>
      </w:tblPr>
      <w:tblGrid>
        <w:gridCol w:w="3301"/>
        <w:gridCol w:w="5469"/>
      </w:tblGrid>
      <w:tr w:rsidR="00EF3EF1" w:rsidRPr="00B92CF0" w14:paraId="2B958933" w14:textId="77777777" w:rsidTr="00B92CF0">
        <w:trPr>
          <w:jc w:val="center"/>
        </w:trPr>
        <w:tc>
          <w:tcPr>
            <w:tcW w:w="3301" w:type="dxa"/>
            <w:shd w:val="clear" w:color="auto" w:fill="2F5496" w:themeFill="accent5" w:themeFillShade="BF"/>
          </w:tcPr>
          <w:p w14:paraId="16C19754" w14:textId="77777777" w:rsidR="00EF3EF1" w:rsidRPr="00B92CF0" w:rsidRDefault="00EF3EF1" w:rsidP="00E75A2B">
            <w:pPr>
              <w:spacing w:line="276" w:lineRule="auto"/>
              <w:jc w:val="both"/>
              <w:rPr>
                <w:b/>
                <w:color w:val="FFFFFF" w:themeColor="background1"/>
                <w:sz w:val="23"/>
                <w:szCs w:val="23"/>
              </w:rPr>
            </w:pPr>
          </w:p>
        </w:tc>
        <w:tc>
          <w:tcPr>
            <w:tcW w:w="5469" w:type="dxa"/>
            <w:shd w:val="clear" w:color="auto" w:fill="2F5496" w:themeFill="accent5" w:themeFillShade="BF"/>
          </w:tcPr>
          <w:p w14:paraId="1BD73EEB" w14:textId="77777777" w:rsidR="00EF3EF1" w:rsidRPr="00B92CF0" w:rsidRDefault="00EF3EF1" w:rsidP="00E75A2B">
            <w:pPr>
              <w:spacing w:line="276" w:lineRule="auto"/>
              <w:jc w:val="center"/>
              <w:rPr>
                <w:b/>
                <w:color w:val="FFFFFF" w:themeColor="background1"/>
                <w:sz w:val="23"/>
                <w:szCs w:val="23"/>
              </w:rPr>
            </w:pPr>
            <w:r w:rsidRPr="00B92CF0">
              <w:rPr>
                <w:b/>
                <w:color w:val="FFFFFF" w:themeColor="background1"/>
                <w:sz w:val="23"/>
                <w:szCs w:val="23"/>
              </w:rPr>
              <w:t>Requirements per criterion</w:t>
            </w:r>
          </w:p>
        </w:tc>
      </w:tr>
      <w:tr w:rsidR="00EE71F8" w:rsidRPr="00EE71F8" w14:paraId="1F8E29C9" w14:textId="77777777" w:rsidTr="00B92CF0">
        <w:trPr>
          <w:jc w:val="center"/>
        </w:trPr>
        <w:tc>
          <w:tcPr>
            <w:tcW w:w="3301" w:type="dxa"/>
          </w:tcPr>
          <w:p w14:paraId="22BD3C7A" w14:textId="77777777" w:rsidR="00EF3EF1" w:rsidRPr="00EE71F8" w:rsidRDefault="00EF3EF1" w:rsidP="00E75A2B">
            <w:pPr>
              <w:spacing w:line="276" w:lineRule="auto"/>
              <w:jc w:val="both"/>
              <w:rPr>
                <w:rFonts w:cstheme="minorHAnsi"/>
                <w:color w:val="404040" w:themeColor="text1" w:themeTint="BF"/>
                <w:sz w:val="21"/>
                <w:szCs w:val="21"/>
                <w:highlight w:val="yellow"/>
                <w:lang w:val="en-GB"/>
              </w:rPr>
            </w:pPr>
            <w:r w:rsidRPr="00EE71F8">
              <w:rPr>
                <w:color w:val="404040" w:themeColor="text1" w:themeTint="BF"/>
                <w:sz w:val="21"/>
                <w:szCs w:val="21"/>
              </w:rPr>
              <w:t>A country will satisfy Criterion 1</w:t>
            </w:r>
          </w:p>
        </w:tc>
        <w:tc>
          <w:tcPr>
            <w:tcW w:w="5469" w:type="dxa"/>
          </w:tcPr>
          <w:p w14:paraId="50C5CAB8" w14:textId="77777777" w:rsidR="00EF3EF1" w:rsidRPr="00EE71F8" w:rsidRDefault="00EF3EF1" w:rsidP="00E75A2B">
            <w:pPr>
              <w:spacing w:line="276" w:lineRule="auto"/>
              <w:jc w:val="both"/>
              <w:rPr>
                <w:color w:val="404040" w:themeColor="text1" w:themeTint="BF"/>
                <w:sz w:val="21"/>
                <w:szCs w:val="21"/>
              </w:rPr>
            </w:pPr>
            <w:r w:rsidRPr="00EE71F8">
              <w:rPr>
                <w:color w:val="404040" w:themeColor="text1" w:themeTint="BF"/>
                <w:sz w:val="21"/>
                <w:szCs w:val="21"/>
              </w:rPr>
              <w:t>if it answers “Yes” to 2 out of 3 questions in Criterion 1</w:t>
            </w:r>
          </w:p>
          <w:p w14:paraId="4EFEC9BD" w14:textId="77777777" w:rsidR="00EF3EF1" w:rsidRPr="00EE71F8" w:rsidRDefault="00EF3EF1" w:rsidP="00E75A2B">
            <w:pPr>
              <w:spacing w:line="276" w:lineRule="auto"/>
              <w:jc w:val="both"/>
              <w:rPr>
                <w:rFonts w:cstheme="minorHAnsi"/>
                <w:color w:val="404040" w:themeColor="text1" w:themeTint="BF"/>
                <w:sz w:val="21"/>
                <w:szCs w:val="21"/>
                <w:highlight w:val="yellow"/>
                <w:lang w:val="en-GB"/>
              </w:rPr>
            </w:pPr>
          </w:p>
        </w:tc>
      </w:tr>
      <w:tr w:rsidR="00EE71F8" w:rsidRPr="00EE71F8" w14:paraId="5E9E9131" w14:textId="77777777" w:rsidTr="00B92CF0">
        <w:trPr>
          <w:jc w:val="center"/>
        </w:trPr>
        <w:tc>
          <w:tcPr>
            <w:tcW w:w="3301" w:type="dxa"/>
          </w:tcPr>
          <w:p w14:paraId="2BE5BA7E" w14:textId="77777777" w:rsidR="00EF3EF1" w:rsidRPr="00EE71F8" w:rsidRDefault="00EF3EF1" w:rsidP="00E75A2B">
            <w:pPr>
              <w:spacing w:line="276" w:lineRule="auto"/>
              <w:jc w:val="both"/>
              <w:rPr>
                <w:rFonts w:cstheme="minorHAnsi"/>
                <w:color w:val="404040" w:themeColor="text1" w:themeTint="BF"/>
                <w:sz w:val="21"/>
                <w:szCs w:val="21"/>
                <w:highlight w:val="yellow"/>
                <w:lang w:val="en-GB"/>
              </w:rPr>
            </w:pPr>
            <w:r w:rsidRPr="00EE71F8">
              <w:rPr>
                <w:color w:val="404040" w:themeColor="text1" w:themeTint="BF"/>
                <w:sz w:val="21"/>
                <w:szCs w:val="21"/>
              </w:rPr>
              <w:t>A country will satisfy Criterion 2</w:t>
            </w:r>
          </w:p>
        </w:tc>
        <w:tc>
          <w:tcPr>
            <w:tcW w:w="5469" w:type="dxa"/>
          </w:tcPr>
          <w:p w14:paraId="27304FA3" w14:textId="77777777" w:rsidR="00EF3EF1" w:rsidRPr="00EE71F8" w:rsidRDefault="00EF3EF1" w:rsidP="00E75A2B">
            <w:pPr>
              <w:spacing w:line="276" w:lineRule="auto"/>
              <w:jc w:val="both"/>
              <w:rPr>
                <w:color w:val="404040" w:themeColor="text1" w:themeTint="BF"/>
                <w:sz w:val="21"/>
                <w:szCs w:val="21"/>
              </w:rPr>
            </w:pPr>
            <w:r w:rsidRPr="00EE71F8">
              <w:rPr>
                <w:color w:val="404040" w:themeColor="text1" w:themeTint="BF"/>
                <w:sz w:val="21"/>
                <w:szCs w:val="21"/>
              </w:rPr>
              <w:t>if it answers “Yes” to 4 out of 7 questions in Criterion 2</w:t>
            </w:r>
          </w:p>
          <w:p w14:paraId="036BEE38" w14:textId="77777777" w:rsidR="00EF3EF1" w:rsidRPr="00EE71F8" w:rsidRDefault="00EF3EF1" w:rsidP="00E75A2B">
            <w:pPr>
              <w:spacing w:line="276" w:lineRule="auto"/>
              <w:jc w:val="both"/>
              <w:rPr>
                <w:rFonts w:cstheme="minorHAnsi"/>
                <w:color w:val="404040" w:themeColor="text1" w:themeTint="BF"/>
                <w:sz w:val="21"/>
                <w:szCs w:val="21"/>
                <w:highlight w:val="yellow"/>
                <w:lang w:val="en-GB"/>
              </w:rPr>
            </w:pPr>
          </w:p>
        </w:tc>
      </w:tr>
      <w:tr w:rsidR="00EE71F8" w:rsidRPr="00EE71F8" w14:paraId="285B70D3" w14:textId="77777777" w:rsidTr="00B92CF0">
        <w:trPr>
          <w:jc w:val="center"/>
        </w:trPr>
        <w:tc>
          <w:tcPr>
            <w:tcW w:w="3301" w:type="dxa"/>
          </w:tcPr>
          <w:p w14:paraId="0434DD25" w14:textId="77777777" w:rsidR="00EF3EF1" w:rsidRPr="00EE71F8" w:rsidRDefault="00EF3EF1" w:rsidP="00E75A2B">
            <w:pPr>
              <w:spacing w:line="276" w:lineRule="auto"/>
              <w:jc w:val="both"/>
              <w:rPr>
                <w:rFonts w:cstheme="minorHAnsi"/>
                <w:color w:val="404040" w:themeColor="text1" w:themeTint="BF"/>
                <w:sz w:val="21"/>
                <w:szCs w:val="21"/>
                <w:highlight w:val="yellow"/>
                <w:lang w:val="en-GB"/>
              </w:rPr>
            </w:pPr>
            <w:r w:rsidRPr="00EE71F8">
              <w:rPr>
                <w:color w:val="404040" w:themeColor="text1" w:themeTint="BF"/>
                <w:sz w:val="21"/>
                <w:szCs w:val="21"/>
              </w:rPr>
              <w:t>A country will satisfy Criterion 3</w:t>
            </w:r>
          </w:p>
        </w:tc>
        <w:tc>
          <w:tcPr>
            <w:tcW w:w="5469" w:type="dxa"/>
          </w:tcPr>
          <w:p w14:paraId="7B148DD5" w14:textId="77777777" w:rsidR="00EF3EF1" w:rsidRPr="00EE71F8" w:rsidRDefault="00EF3EF1" w:rsidP="00E75A2B">
            <w:pPr>
              <w:spacing w:line="276" w:lineRule="auto"/>
              <w:jc w:val="both"/>
              <w:rPr>
                <w:color w:val="404040" w:themeColor="text1" w:themeTint="BF"/>
                <w:sz w:val="21"/>
                <w:szCs w:val="21"/>
              </w:rPr>
            </w:pPr>
            <w:r w:rsidRPr="00EE71F8">
              <w:rPr>
                <w:color w:val="404040" w:themeColor="text1" w:themeTint="BF"/>
                <w:sz w:val="21"/>
                <w:szCs w:val="21"/>
              </w:rPr>
              <w:t>if it answers “Yes” to 2 out of 3 questions in Criterion 3</w:t>
            </w:r>
          </w:p>
          <w:p w14:paraId="5E9229D3" w14:textId="77777777" w:rsidR="00EF3EF1" w:rsidRPr="00EE71F8" w:rsidRDefault="00EF3EF1" w:rsidP="00E75A2B">
            <w:pPr>
              <w:spacing w:line="276" w:lineRule="auto"/>
              <w:jc w:val="both"/>
              <w:rPr>
                <w:rFonts w:cstheme="minorHAnsi"/>
                <w:color w:val="404040" w:themeColor="text1" w:themeTint="BF"/>
                <w:sz w:val="21"/>
                <w:szCs w:val="21"/>
                <w:highlight w:val="yellow"/>
                <w:lang w:val="en-GB"/>
              </w:rPr>
            </w:pPr>
          </w:p>
        </w:tc>
      </w:tr>
    </w:tbl>
    <w:p w14:paraId="57041B14" w14:textId="77777777" w:rsidR="00EF3EF1" w:rsidRPr="00B92CF0" w:rsidRDefault="00EF3EF1" w:rsidP="00E75A2B">
      <w:pPr>
        <w:spacing w:after="0" w:line="276" w:lineRule="auto"/>
        <w:jc w:val="both"/>
        <w:rPr>
          <w:rFonts w:cstheme="minorHAnsi"/>
          <w:sz w:val="23"/>
          <w:szCs w:val="23"/>
          <w:highlight w:val="yellow"/>
          <w:lang w:val="en-GB"/>
        </w:rPr>
      </w:pPr>
    </w:p>
    <w:p w14:paraId="538FB298" w14:textId="77777777" w:rsidR="00EF3EF1" w:rsidRPr="00B92CF0" w:rsidRDefault="00EF3EF1" w:rsidP="00EE71F8">
      <w:pPr>
        <w:pStyle w:val="MText"/>
      </w:pPr>
      <w:r w:rsidRPr="00B92CF0">
        <w:t>Each question within each criterion has the same weight. A country would need to satisfy the threshold of “yes” responses per criterion to satisfy a criterion.</w:t>
      </w:r>
    </w:p>
    <w:p w14:paraId="4AC35360" w14:textId="77777777" w:rsidR="00EF3EF1" w:rsidRPr="00B92CF0" w:rsidRDefault="00EF3EF1" w:rsidP="00EE71F8">
      <w:pPr>
        <w:pStyle w:val="MText"/>
      </w:pPr>
    </w:p>
    <w:p w14:paraId="426261C4" w14:textId="77777777" w:rsidR="00EF3EF1" w:rsidRPr="00B92CF0" w:rsidRDefault="00EF3EF1" w:rsidP="00EE71F8">
      <w:pPr>
        <w:pStyle w:val="MText"/>
        <w:rPr>
          <w:highlight w:val="yellow"/>
        </w:rPr>
      </w:pPr>
      <w:r w:rsidRPr="00B92CF0">
        <w:t>Countries then will be classified as ‘fully meets requirements’, ‘approaches requirements’, and ‘does not meet requirements’ per the following matrices</w:t>
      </w:r>
      <w:r w:rsidR="00B92CF0">
        <w:t xml:space="preserve"> (</w:t>
      </w:r>
      <w:r w:rsidR="00B92CF0" w:rsidRPr="00B92CF0">
        <w:t>There are 8 possible combinations of criteria being satisfied</w:t>
      </w:r>
      <w:r w:rsidR="00B92CF0">
        <w:t>,</w:t>
      </w:r>
      <w:r w:rsidR="00B92CF0" w:rsidRPr="00B92CF0">
        <w:t xml:space="preserve"> Cases A-G below</w:t>
      </w:r>
      <w:r w:rsidR="00B92CF0">
        <w:t>)</w:t>
      </w:r>
      <w:r w:rsidRPr="00B92CF0">
        <w:t>:</w:t>
      </w:r>
    </w:p>
    <w:p w14:paraId="534D7884" w14:textId="1D489225" w:rsidR="00EF3EF1" w:rsidRDefault="00EF3EF1" w:rsidP="00E75A2B">
      <w:pPr>
        <w:spacing w:after="0" w:line="276" w:lineRule="auto"/>
        <w:rPr>
          <w:sz w:val="23"/>
          <w:szCs w:val="23"/>
        </w:rPr>
      </w:pPr>
    </w:p>
    <w:p w14:paraId="041B6A30" w14:textId="77777777" w:rsidR="001C05D9" w:rsidRPr="00B92CF0" w:rsidRDefault="001C05D9" w:rsidP="00E75A2B">
      <w:pPr>
        <w:spacing w:after="0" w:line="276" w:lineRule="auto"/>
        <w:rPr>
          <w:sz w:val="23"/>
          <w:szCs w:val="23"/>
        </w:rPr>
      </w:pPr>
    </w:p>
    <w:tbl>
      <w:tblPr>
        <w:tblW w:w="6012" w:type="dxa"/>
        <w:jc w:val="center"/>
        <w:tblLook w:val="04A0" w:firstRow="1" w:lastRow="0" w:firstColumn="1" w:lastColumn="0" w:noHBand="0" w:noVBand="1"/>
      </w:tblPr>
      <w:tblGrid>
        <w:gridCol w:w="2190"/>
        <w:gridCol w:w="1274"/>
        <w:gridCol w:w="1274"/>
        <w:gridCol w:w="1274"/>
      </w:tblGrid>
      <w:tr w:rsidR="00EE71F8" w:rsidRPr="00EE71F8" w14:paraId="6E1500E6" w14:textId="77777777" w:rsidTr="005E4DDC">
        <w:trPr>
          <w:trHeight w:val="300"/>
          <w:jc w:val="center"/>
        </w:trPr>
        <w:tc>
          <w:tcPr>
            <w:tcW w:w="6012" w:type="dxa"/>
            <w:gridSpan w:val="4"/>
            <w:tcBorders>
              <w:top w:val="single" w:sz="4" w:space="0" w:color="auto"/>
              <w:left w:val="single" w:sz="4" w:space="0" w:color="auto"/>
              <w:bottom w:val="single" w:sz="4" w:space="0" w:color="auto"/>
              <w:right w:val="single" w:sz="4" w:space="0" w:color="auto"/>
            </w:tcBorders>
            <w:shd w:val="clear" w:color="auto" w:fill="2F5496" w:themeFill="accent5" w:themeFillShade="BF"/>
            <w:noWrap/>
            <w:vAlign w:val="bottom"/>
            <w:hideMark/>
          </w:tcPr>
          <w:p w14:paraId="5E153166"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FFFFFF" w:themeColor="background1"/>
                <w:sz w:val="21"/>
                <w:szCs w:val="21"/>
              </w:rPr>
              <w:t>Fully meets requirements</w:t>
            </w:r>
          </w:p>
        </w:tc>
      </w:tr>
      <w:tr w:rsidR="00EE71F8" w:rsidRPr="00EE71F8" w14:paraId="0F89DBFA" w14:textId="77777777" w:rsidTr="005E4DDC">
        <w:trPr>
          <w:trHeight w:val="30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14:paraId="36D07882"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shd w:val="clear" w:color="auto" w:fill="auto"/>
            <w:noWrap/>
            <w:vAlign w:val="bottom"/>
            <w:hideMark/>
          </w:tcPr>
          <w:p w14:paraId="76ABDDED"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1</w:t>
            </w:r>
          </w:p>
        </w:tc>
        <w:tc>
          <w:tcPr>
            <w:tcW w:w="1274" w:type="dxa"/>
            <w:tcBorders>
              <w:top w:val="nil"/>
              <w:left w:val="nil"/>
              <w:bottom w:val="single" w:sz="4" w:space="0" w:color="auto"/>
              <w:right w:val="single" w:sz="4" w:space="0" w:color="auto"/>
            </w:tcBorders>
            <w:shd w:val="clear" w:color="auto" w:fill="auto"/>
            <w:noWrap/>
            <w:vAlign w:val="bottom"/>
            <w:hideMark/>
          </w:tcPr>
          <w:p w14:paraId="3A6DD0F9"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2</w:t>
            </w:r>
          </w:p>
        </w:tc>
        <w:tc>
          <w:tcPr>
            <w:tcW w:w="1274" w:type="dxa"/>
            <w:tcBorders>
              <w:top w:val="nil"/>
              <w:left w:val="nil"/>
              <w:bottom w:val="single" w:sz="4" w:space="0" w:color="auto"/>
              <w:right w:val="single" w:sz="4" w:space="0" w:color="auto"/>
            </w:tcBorders>
            <w:shd w:val="clear" w:color="auto" w:fill="auto"/>
            <w:noWrap/>
            <w:vAlign w:val="bottom"/>
            <w:hideMark/>
          </w:tcPr>
          <w:p w14:paraId="21F6AE4F"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3</w:t>
            </w:r>
          </w:p>
        </w:tc>
      </w:tr>
      <w:tr w:rsidR="00EE71F8" w:rsidRPr="00EE71F8" w14:paraId="60CCE0F4" w14:textId="77777777" w:rsidTr="005E4DDC">
        <w:trPr>
          <w:trHeight w:val="300"/>
          <w:jc w:val="center"/>
        </w:trPr>
        <w:tc>
          <w:tcPr>
            <w:tcW w:w="219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6C8C00A"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A</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4E7C1EA4"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0AB05FB5"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2B546C56"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r>
    </w:tbl>
    <w:p w14:paraId="2EDED5F2" w14:textId="77777777" w:rsidR="00EF3EF1" w:rsidRPr="00EE71F8" w:rsidRDefault="00EF3EF1" w:rsidP="00E75A2B">
      <w:pPr>
        <w:spacing w:after="0" w:line="276" w:lineRule="auto"/>
        <w:jc w:val="center"/>
        <w:rPr>
          <w:color w:val="404040" w:themeColor="text1" w:themeTint="BF"/>
          <w:sz w:val="21"/>
          <w:szCs w:val="21"/>
        </w:rPr>
      </w:pPr>
      <w:r w:rsidRPr="00EE71F8">
        <w:rPr>
          <w:b/>
          <w:color w:val="404040" w:themeColor="text1" w:themeTint="BF"/>
          <w:sz w:val="21"/>
          <w:szCs w:val="21"/>
        </w:rPr>
        <w:t>Note</w:t>
      </w:r>
      <w:r w:rsidRPr="00EE71F8">
        <w:rPr>
          <w:color w:val="404040" w:themeColor="text1" w:themeTint="BF"/>
          <w:sz w:val="21"/>
          <w:szCs w:val="21"/>
        </w:rPr>
        <w:t xml:space="preserve">: “Checked” boxes represent satisfied criteria; </w:t>
      </w:r>
    </w:p>
    <w:p w14:paraId="35C26E92" w14:textId="77777777" w:rsidR="00EF3EF1" w:rsidRPr="00EE71F8" w:rsidRDefault="00EF3EF1" w:rsidP="00E75A2B">
      <w:pPr>
        <w:spacing w:after="0" w:line="276" w:lineRule="auto"/>
        <w:jc w:val="center"/>
        <w:rPr>
          <w:color w:val="404040" w:themeColor="text1" w:themeTint="BF"/>
          <w:sz w:val="21"/>
          <w:szCs w:val="21"/>
        </w:rPr>
      </w:pPr>
      <w:r w:rsidRPr="00EE71F8">
        <w:rPr>
          <w:color w:val="404040" w:themeColor="text1" w:themeTint="BF"/>
          <w:sz w:val="21"/>
          <w:szCs w:val="21"/>
        </w:rPr>
        <w:t>“unchecked” boxes represent unsatisfied criteria.</w:t>
      </w:r>
    </w:p>
    <w:p w14:paraId="7F189FB7" w14:textId="77777777" w:rsidR="00EF3EF1" w:rsidRPr="00EE71F8" w:rsidRDefault="00EF3EF1" w:rsidP="00E75A2B">
      <w:pPr>
        <w:spacing w:after="0" w:line="276" w:lineRule="auto"/>
        <w:rPr>
          <w:color w:val="404040" w:themeColor="text1" w:themeTint="BF"/>
          <w:sz w:val="21"/>
          <w:szCs w:val="21"/>
        </w:rPr>
      </w:pPr>
    </w:p>
    <w:tbl>
      <w:tblPr>
        <w:tblW w:w="6006" w:type="dxa"/>
        <w:jc w:val="center"/>
        <w:tblLook w:val="04A0" w:firstRow="1" w:lastRow="0" w:firstColumn="1" w:lastColumn="0" w:noHBand="0" w:noVBand="1"/>
      </w:tblPr>
      <w:tblGrid>
        <w:gridCol w:w="2184"/>
        <w:gridCol w:w="1274"/>
        <w:gridCol w:w="1274"/>
        <w:gridCol w:w="1274"/>
      </w:tblGrid>
      <w:tr w:rsidR="00EE71F8" w:rsidRPr="00EE71F8" w14:paraId="12AFD1A6" w14:textId="77777777" w:rsidTr="005E4DDC">
        <w:trPr>
          <w:trHeight w:val="300"/>
          <w:jc w:val="center"/>
        </w:trPr>
        <w:tc>
          <w:tcPr>
            <w:tcW w:w="6006" w:type="dxa"/>
            <w:gridSpan w:val="4"/>
            <w:tcBorders>
              <w:top w:val="single" w:sz="4" w:space="0" w:color="auto"/>
              <w:left w:val="single" w:sz="4" w:space="0" w:color="auto"/>
              <w:bottom w:val="single" w:sz="4" w:space="0" w:color="auto"/>
              <w:right w:val="single" w:sz="4" w:space="0" w:color="auto"/>
            </w:tcBorders>
            <w:shd w:val="clear" w:color="auto" w:fill="2F5496" w:themeFill="accent5" w:themeFillShade="BF"/>
            <w:noWrap/>
            <w:vAlign w:val="bottom"/>
            <w:hideMark/>
          </w:tcPr>
          <w:p w14:paraId="6EB43706"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FFFFFF" w:themeColor="background1"/>
                <w:sz w:val="21"/>
                <w:szCs w:val="21"/>
              </w:rPr>
              <w:t>Approaches requirements</w:t>
            </w:r>
          </w:p>
        </w:tc>
      </w:tr>
      <w:tr w:rsidR="00EE71F8" w:rsidRPr="00EE71F8" w14:paraId="0910699F" w14:textId="77777777" w:rsidTr="00BF5C62">
        <w:trPr>
          <w:trHeight w:val="300"/>
          <w:jc w:val="center"/>
        </w:trPr>
        <w:tc>
          <w:tcPr>
            <w:tcW w:w="2184" w:type="dxa"/>
            <w:tcBorders>
              <w:top w:val="nil"/>
              <w:left w:val="single" w:sz="4" w:space="0" w:color="auto"/>
              <w:bottom w:val="single" w:sz="4" w:space="0" w:color="auto"/>
              <w:right w:val="single" w:sz="4" w:space="0" w:color="auto"/>
            </w:tcBorders>
            <w:shd w:val="clear" w:color="auto" w:fill="auto"/>
            <w:noWrap/>
            <w:vAlign w:val="bottom"/>
            <w:hideMark/>
          </w:tcPr>
          <w:p w14:paraId="7E0A9981"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shd w:val="clear" w:color="auto" w:fill="auto"/>
            <w:noWrap/>
            <w:vAlign w:val="bottom"/>
            <w:hideMark/>
          </w:tcPr>
          <w:p w14:paraId="77AFDFA6"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1</w:t>
            </w:r>
          </w:p>
        </w:tc>
        <w:tc>
          <w:tcPr>
            <w:tcW w:w="1274" w:type="dxa"/>
            <w:tcBorders>
              <w:top w:val="nil"/>
              <w:left w:val="nil"/>
              <w:bottom w:val="single" w:sz="4" w:space="0" w:color="auto"/>
              <w:right w:val="single" w:sz="4" w:space="0" w:color="auto"/>
            </w:tcBorders>
            <w:shd w:val="clear" w:color="auto" w:fill="auto"/>
            <w:noWrap/>
            <w:vAlign w:val="bottom"/>
            <w:hideMark/>
          </w:tcPr>
          <w:p w14:paraId="3123D1D3"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2</w:t>
            </w:r>
          </w:p>
        </w:tc>
        <w:tc>
          <w:tcPr>
            <w:tcW w:w="1274" w:type="dxa"/>
            <w:tcBorders>
              <w:top w:val="nil"/>
              <w:left w:val="nil"/>
              <w:bottom w:val="single" w:sz="4" w:space="0" w:color="auto"/>
              <w:right w:val="single" w:sz="4" w:space="0" w:color="auto"/>
            </w:tcBorders>
            <w:shd w:val="clear" w:color="auto" w:fill="auto"/>
            <w:noWrap/>
            <w:vAlign w:val="bottom"/>
            <w:hideMark/>
          </w:tcPr>
          <w:p w14:paraId="4635627F"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3</w:t>
            </w:r>
          </w:p>
        </w:tc>
      </w:tr>
      <w:tr w:rsidR="00EE71F8" w:rsidRPr="00EE71F8" w14:paraId="50BB2B3E" w14:textId="77777777" w:rsidTr="00BF5C62">
        <w:trPr>
          <w:trHeight w:val="300"/>
          <w:jc w:val="center"/>
        </w:trPr>
        <w:tc>
          <w:tcPr>
            <w:tcW w:w="21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5B0B72D"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B</w:t>
            </w:r>
          </w:p>
        </w:tc>
        <w:tc>
          <w:tcPr>
            <w:tcW w:w="127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7701EF3"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36035CF"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c>
          <w:tcPr>
            <w:tcW w:w="127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CFCFE79"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r>
      <w:tr w:rsidR="00EE71F8" w:rsidRPr="00EE71F8" w14:paraId="03750408" w14:textId="77777777" w:rsidTr="00BF5C62">
        <w:trPr>
          <w:trHeight w:val="300"/>
          <w:jc w:val="center"/>
        </w:trPr>
        <w:tc>
          <w:tcPr>
            <w:tcW w:w="21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776C7B6"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C</w:t>
            </w:r>
          </w:p>
        </w:tc>
        <w:tc>
          <w:tcPr>
            <w:tcW w:w="12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D850F4"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c>
          <w:tcPr>
            <w:tcW w:w="12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FA6978E"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510E02D"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r>
      <w:tr w:rsidR="00EE71F8" w:rsidRPr="00EE71F8" w14:paraId="06A644AA" w14:textId="77777777" w:rsidTr="005E4DDC">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B2846AD"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D</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132C354A"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22051494"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37F32A30"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r>
      <w:tr w:rsidR="00EE71F8" w:rsidRPr="00EE71F8" w14:paraId="2D63957F" w14:textId="77777777" w:rsidTr="005E4DDC">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33A4DD57"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E</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56CC1331"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6E092EAB"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7150373A"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r>
      <w:tr w:rsidR="00EE71F8" w:rsidRPr="00EE71F8" w14:paraId="7FEB549F" w14:textId="77777777" w:rsidTr="005E4DDC">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06AF27D"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F</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01E59EF3"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610F7537"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2910ADE1"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r>
      <w:tr w:rsidR="00EE71F8" w:rsidRPr="00EE71F8" w14:paraId="5ADE84EE" w14:textId="77777777" w:rsidTr="005E4DDC">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21A4756"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G</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452F4D30"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42B104F4"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1C17DF4E"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sym w:font="Wingdings" w:char="F0FC"/>
            </w:r>
          </w:p>
        </w:tc>
      </w:tr>
    </w:tbl>
    <w:p w14:paraId="259E973F" w14:textId="77777777" w:rsidR="00EF3EF1" w:rsidRPr="00EE71F8" w:rsidRDefault="00EF3EF1" w:rsidP="00E75A2B">
      <w:pPr>
        <w:spacing w:after="0" w:line="276" w:lineRule="auto"/>
        <w:jc w:val="center"/>
        <w:rPr>
          <w:color w:val="404040" w:themeColor="text1" w:themeTint="BF"/>
          <w:sz w:val="21"/>
          <w:szCs w:val="21"/>
        </w:rPr>
      </w:pPr>
      <w:r w:rsidRPr="00EE71F8">
        <w:rPr>
          <w:b/>
          <w:color w:val="404040" w:themeColor="text1" w:themeTint="BF"/>
          <w:sz w:val="21"/>
          <w:szCs w:val="21"/>
        </w:rPr>
        <w:t>Note</w:t>
      </w:r>
      <w:r w:rsidRPr="00EE71F8">
        <w:rPr>
          <w:color w:val="404040" w:themeColor="text1" w:themeTint="BF"/>
          <w:sz w:val="21"/>
          <w:szCs w:val="21"/>
        </w:rPr>
        <w:t xml:space="preserve">: “Checked” boxes represent satisfied criteria; </w:t>
      </w:r>
    </w:p>
    <w:p w14:paraId="501D1E3B" w14:textId="77777777" w:rsidR="00EF3EF1" w:rsidRPr="00EE71F8" w:rsidRDefault="00EF3EF1" w:rsidP="00E75A2B">
      <w:pPr>
        <w:spacing w:after="0" w:line="276" w:lineRule="auto"/>
        <w:jc w:val="center"/>
        <w:rPr>
          <w:color w:val="404040" w:themeColor="text1" w:themeTint="BF"/>
          <w:sz w:val="21"/>
          <w:szCs w:val="21"/>
        </w:rPr>
      </w:pPr>
      <w:r w:rsidRPr="00EE71F8">
        <w:rPr>
          <w:color w:val="404040" w:themeColor="text1" w:themeTint="BF"/>
          <w:sz w:val="21"/>
          <w:szCs w:val="21"/>
        </w:rPr>
        <w:t>“unchecked” boxes represent unsatisfied criteria.</w:t>
      </w:r>
    </w:p>
    <w:p w14:paraId="081DAF2E" w14:textId="77777777" w:rsidR="00EF3EF1" w:rsidRPr="00EE71F8" w:rsidRDefault="00EF3EF1" w:rsidP="00E75A2B">
      <w:pPr>
        <w:spacing w:after="0" w:line="276" w:lineRule="auto"/>
        <w:rPr>
          <w:color w:val="404040" w:themeColor="text1" w:themeTint="BF"/>
          <w:sz w:val="21"/>
          <w:szCs w:val="21"/>
        </w:rPr>
      </w:pPr>
    </w:p>
    <w:tbl>
      <w:tblPr>
        <w:tblW w:w="6009" w:type="dxa"/>
        <w:jc w:val="center"/>
        <w:tblLook w:val="04A0" w:firstRow="1" w:lastRow="0" w:firstColumn="1" w:lastColumn="0" w:noHBand="0" w:noVBand="1"/>
      </w:tblPr>
      <w:tblGrid>
        <w:gridCol w:w="2187"/>
        <w:gridCol w:w="1274"/>
        <w:gridCol w:w="1274"/>
        <w:gridCol w:w="1274"/>
      </w:tblGrid>
      <w:tr w:rsidR="00EE71F8" w:rsidRPr="00EE71F8" w14:paraId="32B6F3F5" w14:textId="77777777" w:rsidTr="005E4DDC">
        <w:trPr>
          <w:trHeight w:val="300"/>
          <w:jc w:val="center"/>
        </w:trPr>
        <w:tc>
          <w:tcPr>
            <w:tcW w:w="6009" w:type="dxa"/>
            <w:gridSpan w:val="4"/>
            <w:tcBorders>
              <w:top w:val="single" w:sz="4" w:space="0" w:color="auto"/>
              <w:left w:val="single" w:sz="4" w:space="0" w:color="auto"/>
              <w:bottom w:val="single" w:sz="4" w:space="0" w:color="auto"/>
              <w:right w:val="single" w:sz="4" w:space="0" w:color="auto"/>
            </w:tcBorders>
            <w:shd w:val="clear" w:color="auto" w:fill="2F5496" w:themeFill="accent5" w:themeFillShade="BF"/>
            <w:noWrap/>
            <w:vAlign w:val="bottom"/>
            <w:hideMark/>
          </w:tcPr>
          <w:p w14:paraId="75D620D8"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FFFFFF" w:themeColor="background1"/>
                <w:sz w:val="21"/>
                <w:szCs w:val="21"/>
              </w:rPr>
              <w:t xml:space="preserve">Does not </w:t>
            </w:r>
            <w:r w:rsidR="00EF1D23" w:rsidRPr="00EE71F8">
              <w:rPr>
                <w:rFonts w:eastAsia="Times New Roman" w:cs="Calibri"/>
                <w:b/>
                <w:color w:val="FFFFFF" w:themeColor="background1"/>
                <w:sz w:val="21"/>
                <w:szCs w:val="21"/>
              </w:rPr>
              <w:t xml:space="preserve">meet </w:t>
            </w:r>
            <w:r w:rsidRPr="00EE71F8">
              <w:rPr>
                <w:rFonts w:eastAsia="Times New Roman" w:cs="Calibri"/>
                <w:b/>
                <w:color w:val="FFFFFF" w:themeColor="background1"/>
                <w:sz w:val="21"/>
                <w:szCs w:val="21"/>
              </w:rPr>
              <w:t>requirements</w:t>
            </w:r>
          </w:p>
        </w:tc>
      </w:tr>
      <w:tr w:rsidR="00EE71F8" w:rsidRPr="00EE71F8" w14:paraId="0794AA9F" w14:textId="77777777" w:rsidTr="005E4DDC">
        <w:trPr>
          <w:trHeight w:val="300"/>
          <w:jc w:val="center"/>
        </w:trPr>
        <w:tc>
          <w:tcPr>
            <w:tcW w:w="2187" w:type="dxa"/>
            <w:tcBorders>
              <w:top w:val="nil"/>
              <w:left w:val="single" w:sz="4" w:space="0" w:color="auto"/>
              <w:bottom w:val="single" w:sz="4" w:space="0" w:color="auto"/>
              <w:right w:val="single" w:sz="4" w:space="0" w:color="auto"/>
            </w:tcBorders>
            <w:shd w:val="clear" w:color="auto" w:fill="auto"/>
            <w:noWrap/>
            <w:vAlign w:val="bottom"/>
            <w:hideMark/>
          </w:tcPr>
          <w:p w14:paraId="2FB9D0A7"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shd w:val="clear" w:color="auto" w:fill="auto"/>
            <w:noWrap/>
            <w:vAlign w:val="bottom"/>
            <w:hideMark/>
          </w:tcPr>
          <w:p w14:paraId="0686578F"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1</w:t>
            </w:r>
          </w:p>
        </w:tc>
        <w:tc>
          <w:tcPr>
            <w:tcW w:w="1274" w:type="dxa"/>
            <w:tcBorders>
              <w:top w:val="nil"/>
              <w:left w:val="nil"/>
              <w:bottom w:val="single" w:sz="4" w:space="0" w:color="auto"/>
              <w:right w:val="single" w:sz="4" w:space="0" w:color="auto"/>
            </w:tcBorders>
            <w:shd w:val="clear" w:color="auto" w:fill="auto"/>
            <w:noWrap/>
            <w:vAlign w:val="bottom"/>
            <w:hideMark/>
          </w:tcPr>
          <w:p w14:paraId="6AD9C7F6"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2</w:t>
            </w:r>
          </w:p>
        </w:tc>
        <w:tc>
          <w:tcPr>
            <w:tcW w:w="1274" w:type="dxa"/>
            <w:tcBorders>
              <w:top w:val="nil"/>
              <w:left w:val="nil"/>
              <w:bottom w:val="single" w:sz="4" w:space="0" w:color="auto"/>
              <w:right w:val="single" w:sz="4" w:space="0" w:color="auto"/>
            </w:tcBorders>
            <w:shd w:val="clear" w:color="auto" w:fill="auto"/>
            <w:noWrap/>
            <w:vAlign w:val="bottom"/>
            <w:hideMark/>
          </w:tcPr>
          <w:p w14:paraId="3FD91F5B" w14:textId="77777777" w:rsidR="00EF3EF1" w:rsidRPr="00EE71F8" w:rsidRDefault="00EF3EF1" w:rsidP="00E75A2B">
            <w:pPr>
              <w:spacing w:after="0" w:line="276" w:lineRule="auto"/>
              <w:jc w:val="center"/>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Criterion 3</w:t>
            </w:r>
          </w:p>
        </w:tc>
      </w:tr>
      <w:tr w:rsidR="00EE71F8" w:rsidRPr="00EE71F8" w14:paraId="10299558" w14:textId="77777777" w:rsidTr="005E4DDC">
        <w:trPr>
          <w:trHeight w:val="300"/>
          <w:jc w:val="center"/>
        </w:trPr>
        <w:tc>
          <w:tcPr>
            <w:tcW w:w="2187" w:type="dxa"/>
            <w:tcBorders>
              <w:top w:val="nil"/>
              <w:left w:val="single" w:sz="4" w:space="0" w:color="auto"/>
              <w:bottom w:val="single" w:sz="4" w:space="0" w:color="auto"/>
              <w:right w:val="single" w:sz="4" w:space="0" w:color="auto"/>
            </w:tcBorders>
            <w:shd w:val="clear" w:color="auto" w:fill="auto"/>
            <w:noWrap/>
            <w:vAlign w:val="bottom"/>
            <w:hideMark/>
          </w:tcPr>
          <w:p w14:paraId="6D6250F4"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Case H</w:t>
            </w:r>
          </w:p>
        </w:tc>
        <w:tc>
          <w:tcPr>
            <w:tcW w:w="1274" w:type="dxa"/>
            <w:tcBorders>
              <w:top w:val="nil"/>
              <w:left w:val="nil"/>
              <w:bottom w:val="single" w:sz="4" w:space="0" w:color="auto"/>
              <w:right w:val="single" w:sz="4" w:space="0" w:color="auto"/>
            </w:tcBorders>
            <w:shd w:val="clear" w:color="auto" w:fill="auto"/>
            <w:noWrap/>
            <w:vAlign w:val="bottom"/>
            <w:hideMark/>
          </w:tcPr>
          <w:p w14:paraId="6FC88D82"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shd w:val="clear" w:color="auto" w:fill="auto"/>
            <w:noWrap/>
            <w:vAlign w:val="bottom"/>
            <w:hideMark/>
          </w:tcPr>
          <w:p w14:paraId="7BE9B194"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shd w:val="clear" w:color="auto" w:fill="auto"/>
            <w:noWrap/>
            <w:vAlign w:val="bottom"/>
            <w:hideMark/>
          </w:tcPr>
          <w:p w14:paraId="4F4E769F" w14:textId="77777777" w:rsidR="00EF3EF1" w:rsidRPr="00EE71F8" w:rsidRDefault="00EF3EF1" w:rsidP="00E75A2B">
            <w:pPr>
              <w:spacing w:after="0" w:line="276" w:lineRule="auto"/>
              <w:rPr>
                <w:rFonts w:eastAsia="Times New Roman" w:cs="Calibri"/>
                <w:b/>
                <w:color w:val="404040" w:themeColor="text1" w:themeTint="BF"/>
                <w:sz w:val="21"/>
                <w:szCs w:val="21"/>
              </w:rPr>
            </w:pPr>
            <w:r w:rsidRPr="00EE71F8">
              <w:rPr>
                <w:rFonts w:eastAsia="Times New Roman" w:cs="Calibri"/>
                <w:b/>
                <w:color w:val="404040" w:themeColor="text1" w:themeTint="BF"/>
                <w:sz w:val="21"/>
                <w:szCs w:val="21"/>
              </w:rPr>
              <w:t> </w:t>
            </w:r>
          </w:p>
        </w:tc>
      </w:tr>
    </w:tbl>
    <w:p w14:paraId="265313CF" w14:textId="77777777" w:rsidR="00EF3EF1" w:rsidRPr="00EE71F8" w:rsidRDefault="00EF3EF1" w:rsidP="00E75A2B">
      <w:pPr>
        <w:spacing w:after="0" w:line="276" w:lineRule="auto"/>
        <w:jc w:val="center"/>
        <w:rPr>
          <w:color w:val="404040" w:themeColor="text1" w:themeTint="BF"/>
          <w:sz w:val="21"/>
          <w:szCs w:val="21"/>
        </w:rPr>
      </w:pPr>
      <w:r w:rsidRPr="00EE71F8">
        <w:rPr>
          <w:b/>
          <w:color w:val="404040" w:themeColor="text1" w:themeTint="BF"/>
          <w:sz w:val="21"/>
          <w:szCs w:val="21"/>
        </w:rPr>
        <w:t>Note</w:t>
      </w:r>
      <w:r w:rsidRPr="00EE71F8">
        <w:rPr>
          <w:color w:val="404040" w:themeColor="text1" w:themeTint="BF"/>
          <w:sz w:val="21"/>
          <w:szCs w:val="21"/>
        </w:rPr>
        <w:t xml:space="preserve">: “Checked” boxes represent satisfied criteria; </w:t>
      </w:r>
    </w:p>
    <w:p w14:paraId="5C2BA093" w14:textId="77777777" w:rsidR="00EF3EF1" w:rsidRPr="00EE71F8" w:rsidRDefault="00EF3EF1" w:rsidP="00E75A2B">
      <w:pPr>
        <w:spacing w:after="0" w:line="276" w:lineRule="auto"/>
        <w:jc w:val="center"/>
        <w:rPr>
          <w:color w:val="404040" w:themeColor="text1" w:themeTint="BF"/>
          <w:sz w:val="21"/>
          <w:szCs w:val="21"/>
        </w:rPr>
      </w:pPr>
      <w:r w:rsidRPr="00EE71F8">
        <w:rPr>
          <w:color w:val="404040" w:themeColor="text1" w:themeTint="BF"/>
          <w:sz w:val="21"/>
          <w:szCs w:val="21"/>
        </w:rPr>
        <w:t>“unchecked” boxes represent unsatisfied criteria.</w:t>
      </w:r>
    </w:p>
    <w:p w14:paraId="10BBFFF9" w14:textId="77777777" w:rsidR="00EF3EF1" w:rsidRPr="00B92CF0" w:rsidRDefault="00EF3EF1" w:rsidP="00E75A2B">
      <w:pPr>
        <w:spacing w:after="0" w:line="276" w:lineRule="auto"/>
        <w:jc w:val="both"/>
        <w:rPr>
          <w:rFonts w:cstheme="minorHAnsi"/>
          <w:sz w:val="23"/>
          <w:szCs w:val="23"/>
          <w:highlight w:val="yellow"/>
          <w:lang w:val="en-GB"/>
        </w:rPr>
      </w:pPr>
    </w:p>
    <w:p w14:paraId="17579B66" w14:textId="77777777" w:rsidR="00EF3EF1" w:rsidRPr="00B92CF0" w:rsidRDefault="00EF3EF1" w:rsidP="00EE71F8">
      <w:pPr>
        <w:pStyle w:val="MText"/>
      </w:pPr>
      <w:r w:rsidRPr="00B92CF0">
        <w:t>Because the three criteria are equally important, a country would need to satisfy the three to fully meet requirements.</w:t>
      </w:r>
    </w:p>
    <w:p w14:paraId="16F1446A" w14:textId="77777777" w:rsidR="00EF330A" w:rsidRPr="00B92CF0" w:rsidRDefault="00EF330A" w:rsidP="00E75A2B">
      <w:pPr>
        <w:autoSpaceDE w:val="0"/>
        <w:autoSpaceDN w:val="0"/>
        <w:adjustRightInd w:val="0"/>
        <w:spacing w:after="200" w:line="276" w:lineRule="auto"/>
        <w:jc w:val="both"/>
        <w:rPr>
          <w:rFonts w:cstheme="minorHAnsi"/>
          <w:bCs/>
          <w:color w:val="000000"/>
          <w:sz w:val="23"/>
          <w:szCs w:val="23"/>
        </w:rPr>
      </w:pPr>
    </w:p>
    <w:p w14:paraId="40DA5E5D" w14:textId="55DDA9B0" w:rsidR="00EF330A" w:rsidRDefault="00DE26EA" w:rsidP="00EE71F8">
      <w:pPr>
        <w:pStyle w:val="MSubHeader"/>
      </w:pPr>
      <w:r w:rsidRPr="00305BEC">
        <w:lastRenderedPageBreak/>
        <w:t xml:space="preserve">Concept </w:t>
      </w:r>
      <w:r w:rsidR="00EF330A" w:rsidRPr="00305BEC">
        <w:t>Definitions:</w:t>
      </w:r>
    </w:p>
    <w:p w14:paraId="33C3B57B" w14:textId="77777777" w:rsidR="00EE71F8" w:rsidRPr="00305BEC" w:rsidRDefault="00EE71F8" w:rsidP="00EE71F8">
      <w:pPr>
        <w:pStyle w:val="MSubHeader"/>
      </w:pPr>
    </w:p>
    <w:p w14:paraId="1462F70C" w14:textId="77777777" w:rsidR="004A6939" w:rsidRPr="00EE71F8" w:rsidRDefault="004A6939" w:rsidP="00EE71F8">
      <w:pPr>
        <w:pStyle w:val="MSubHeader"/>
        <w:ind w:firstLine="360"/>
        <w:rPr>
          <w:u w:val="single"/>
        </w:rPr>
      </w:pPr>
      <w:r w:rsidRPr="00EE71F8">
        <w:rPr>
          <w:u w:val="single"/>
        </w:rPr>
        <w:t>For Criterion 1:</w:t>
      </w:r>
    </w:p>
    <w:p w14:paraId="7006C4AC" w14:textId="77777777" w:rsidR="004A6939" w:rsidRPr="005B5C9F" w:rsidRDefault="004A6939" w:rsidP="00EE71F8">
      <w:pPr>
        <w:pStyle w:val="MText"/>
        <w:numPr>
          <w:ilvl w:val="0"/>
          <w:numId w:val="22"/>
        </w:numPr>
      </w:pPr>
      <w:r w:rsidRPr="005B5C9F">
        <w:t>“</w:t>
      </w:r>
      <w:r w:rsidRPr="00FA3832">
        <w:rPr>
          <w:b/>
          <w:bCs/>
        </w:rPr>
        <w:t>Programs or policies of the government, that are designed to address well-identified gender equality goals</w:t>
      </w:r>
      <w:r w:rsidRPr="005B5C9F">
        <w:t>” can be defined as:</w:t>
      </w:r>
    </w:p>
    <w:p w14:paraId="4EB3EDCC" w14:textId="77777777" w:rsidR="004A6939" w:rsidRPr="005B5C9F" w:rsidRDefault="004A6939" w:rsidP="00EE71F8">
      <w:pPr>
        <w:pStyle w:val="MText"/>
        <w:numPr>
          <w:ilvl w:val="1"/>
          <w:numId w:val="22"/>
        </w:numPr>
      </w:pPr>
      <w:r w:rsidRPr="005B5C9F">
        <w:t>Programs or policies that specifically target only women and/or girls. For example, a government program that provides scholarships for girls only, or a prenatal care program, or a National Action Plan on Gender Equality; or</w:t>
      </w:r>
    </w:p>
    <w:p w14:paraId="67B699ED" w14:textId="77777777" w:rsidR="004A6939" w:rsidRPr="005B5C9F" w:rsidRDefault="004A6939" w:rsidP="00EE71F8">
      <w:pPr>
        <w:pStyle w:val="MText"/>
        <w:numPr>
          <w:ilvl w:val="1"/>
          <w:numId w:val="22"/>
        </w:numPr>
      </w:pPr>
      <w:r w:rsidRPr="005B5C9F">
        <w:t>Programs or policies that target both women or girls and men or boys and have gender equality as the primary objective. For example, a national public information campaign against gender violence, or on-the-job training programs on gender equality; or</w:t>
      </w:r>
    </w:p>
    <w:p w14:paraId="633C0BBC" w14:textId="77777777" w:rsidR="004A6939" w:rsidRPr="005B5C9F" w:rsidRDefault="004A6939" w:rsidP="00EE71F8">
      <w:pPr>
        <w:pStyle w:val="MText"/>
        <w:numPr>
          <w:ilvl w:val="1"/>
          <w:numId w:val="22"/>
        </w:numPr>
      </w:pPr>
      <w:r w:rsidRPr="005B5C9F">
        <w:t xml:space="preserve">Programs or policies where gender equality is not the primary objective but the program includes action to close gender gaps. These programs could include provision of infrastructure, public services and social protection. For example, an infrastructure program that has a provision for using women labour, or a public transportation program that takes into consideration the mobility needs of women in its design. </w:t>
      </w:r>
    </w:p>
    <w:p w14:paraId="119B280E" w14:textId="77777777" w:rsidR="004A6939" w:rsidRPr="005B5C9F" w:rsidRDefault="004A6939" w:rsidP="00E75A2B">
      <w:pPr>
        <w:spacing w:after="0" w:line="276" w:lineRule="auto"/>
        <w:ind w:firstLine="45"/>
        <w:jc w:val="both"/>
        <w:rPr>
          <w:rFonts w:cstheme="minorHAnsi"/>
          <w:sz w:val="23"/>
          <w:szCs w:val="23"/>
          <w:lang w:val="en-GB"/>
        </w:rPr>
      </w:pPr>
    </w:p>
    <w:p w14:paraId="085C6520" w14:textId="77777777" w:rsidR="004A6939" w:rsidRPr="005B5C9F" w:rsidRDefault="004A6939" w:rsidP="00EE71F8">
      <w:pPr>
        <w:pStyle w:val="MText"/>
        <w:numPr>
          <w:ilvl w:val="0"/>
          <w:numId w:val="6"/>
        </w:numPr>
      </w:pPr>
      <w:r w:rsidRPr="005B5C9F">
        <w:t>“</w:t>
      </w:r>
      <w:r w:rsidRPr="005B5C9F">
        <w:rPr>
          <w:b/>
        </w:rPr>
        <w:t>Programs or policies have</w:t>
      </w:r>
      <w:r w:rsidRPr="005B5C9F">
        <w:t xml:space="preserve"> </w:t>
      </w:r>
      <w:r w:rsidRPr="005B5C9F">
        <w:rPr>
          <w:b/>
        </w:rPr>
        <w:t>adequate resources allocated within the budget</w:t>
      </w:r>
      <w:r w:rsidRPr="005B5C9F">
        <w:t>, sufficient to meet both their general objectives and their gender equality goals” can be defined as:</w:t>
      </w:r>
    </w:p>
    <w:p w14:paraId="5BA02D67" w14:textId="77777777" w:rsidR="004A6939" w:rsidRPr="005B5C9F" w:rsidRDefault="004A6939" w:rsidP="00EE71F8">
      <w:pPr>
        <w:pStyle w:val="MText"/>
        <w:numPr>
          <w:ilvl w:val="1"/>
          <w:numId w:val="6"/>
        </w:numPr>
      </w:pPr>
      <w:r w:rsidRPr="005B5C9F">
        <w:t>The programs or policies that are designed to address well-identified gender equality goals are allocated sufficient resources to cover the costs of meeting those goals from funding that is included in the budget rather than from off-budget sources.</w:t>
      </w:r>
    </w:p>
    <w:p w14:paraId="2AFAABC6" w14:textId="77777777" w:rsidR="004A6939" w:rsidRPr="005B5C9F" w:rsidRDefault="004A6939" w:rsidP="00E75A2B">
      <w:pPr>
        <w:spacing w:after="0" w:line="276" w:lineRule="auto"/>
        <w:jc w:val="both"/>
        <w:rPr>
          <w:rFonts w:cstheme="minorHAnsi"/>
          <w:sz w:val="23"/>
          <w:szCs w:val="23"/>
          <w:lang w:val="en-GB"/>
        </w:rPr>
      </w:pPr>
    </w:p>
    <w:p w14:paraId="6D9C9F39" w14:textId="77777777" w:rsidR="004A6939" w:rsidRPr="005B5C9F" w:rsidRDefault="004A6939" w:rsidP="00EE71F8">
      <w:pPr>
        <w:pStyle w:val="MText"/>
        <w:numPr>
          <w:ilvl w:val="0"/>
          <w:numId w:val="21"/>
        </w:numPr>
      </w:pPr>
      <w:r w:rsidRPr="005B5C9F">
        <w:t>“</w:t>
      </w:r>
      <w:r w:rsidRPr="00FA3832">
        <w:rPr>
          <w:b/>
          <w:bCs/>
        </w:rPr>
        <w:t>Procedures in place to ensure that these resources are executed according to the budget</w:t>
      </w:r>
      <w:r w:rsidRPr="005B5C9F">
        <w:t>” can be defined as:</w:t>
      </w:r>
    </w:p>
    <w:p w14:paraId="2C9534CF" w14:textId="77777777" w:rsidR="004A6939" w:rsidRPr="005B5C9F" w:rsidRDefault="004A6939" w:rsidP="00EE71F8">
      <w:pPr>
        <w:pStyle w:val="MText"/>
        <w:numPr>
          <w:ilvl w:val="1"/>
          <w:numId w:val="21"/>
        </w:numPr>
      </w:pPr>
      <w:r w:rsidRPr="005B5C9F">
        <w:t>There are procedures established in laws or regulations so that resources for programs or policies that are designed to address well-identified gender equality goals are executed as specified in the budget or if there are deviations in the exercise from the budgeted allocations, government agencies must justify to a supervising entity (e.g. ministries of finance, parliaments, audit bodies, or other relevant authorities) the reason for not executing resources according to budget.</w:t>
      </w:r>
    </w:p>
    <w:p w14:paraId="7317C0A3" w14:textId="77777777" w:rsidR="004A6939" w:rsidRPr="005B5C9F" w:rsidRDefault="004A6939" w:rsidP="00E75A2B">
      <w:pPr>
        <w:spacing w:after="0" w:line="276" w:lineRule="auto"/>
        <w:jc w:val="both"/>
        <w:rPr>
          <w:rFonts w:cstheme="minorHAnsi"/>
          <w:sz w:val="23"/>
          <w:szCs w:val="23"/>
          <w:lang w:val="en-GB"/>
        </w:rPr>
      </w:pPr>
    </w:p>
    <w:p w14:paraId="71462C71" w14:textId="77777777" w:rsidR="004A6939" w:rsidRPr="00EE71F8" w:rsidRDefault="004A6939" w:rsidP="00EE71F8">
      <w:pPr>
        <w:pStyle w:val="MSubHeader"/>
        <w:ind w:firstLine="360"/>
        <w:rPr>
          <w:u w:val="single"/>
        </w:rPr>
      </w:pPr>
      <w:r w:rsidRPr="00EE71F8">
        <w:rPr>
          <w:u w:val="single"/>
        </w:rPr>
        <w:t>For Criterion 2:</w:t>
      </w:r>
    </w:p>
    <w:p w14:paraId="75BD941F" w14:textId="77777777" w:rsidR="004A6939" w:rsidRPr="005B5C9F" w:rsidRDefault="004A6939" w:rsidP="00EE71F8">
      <w:pPr>
        <w:pStyle w:val="MText"/>
        <w:numPr>
          <w:ilvl w:val="0"/>
          <w:numId w:val="20"/>
        </w:numPr>
      </w:pPr>
      <w:r w:rsidRPr="005B5C9F">
        <w:t>“</w:t>
      </w:r>
      <w:r w:rsidRPr="005B5C9F">
        <w:rPr>
          <w:b/>
        </w:rPr>
        <w:t>Call circulars</w:t>
      </w:r>
      <w:r w:rsidRPr="005B5C9F">
        <w:t>” can be defined as:</w:t>
      </w:r>
    </w:p>
    <w:p w14:paraId="04E857B6" w14:textId="77777777" w:rsidR="004A6939" w:rsidRPr="005B5C9F" w:rsidRDefault="004A6939" w:rsidP="00EE71F8">
      <w:pPr>
        <w:pStyle w:val="MText"/>
        <w:numPr>
          <w:ilvl w:val="1"/>
          <w:numId w:val="20"/>
        </w:numPr>
      </w:pPr>
      <w:r w:rsidRPr="005B5C9F">
        <w:t>Call circulars are the official notices that are issued by the Ministry of Finance or Budget Office in a country towards the beginning of each annual budget cycle. The circular instructs government agencies how they must submit their bids or demands for budget allocations for the coming year (in some countries the notice may have another name, such as budget guidelines or Treasury guidelines). It may inform each agency what its budget “ceiling” for the next fiscal year.</w:t>
      </w:r>
      <w:r w:rsidRPr="005B5C9F">
        <w:rPr>
          <w:rStyle w:val="FootnoteReference"/>
          <w:rFonts w:cstheme="minorHAnsi"/>
          <w:sz w:val="23"/>
          <w:szCs w:val="23"/>
        </w:rPr>
        <w:footnoteReference w:id="2"/>
      </w:r>
    </w:p>
    <w:p w14:paraId="60798AB3" w14:textId="77777777" w:rsidR="004A6939" w:rsidRPr="005B5C9F" w:rsidRDefault="004A6939" w:rsidP="00E75A2B">
      <w:pPr>
        <w:spacing w:after="0" w:line="276" w:lineRule="auto"/>
        <w:jc w:val="both"/>
        <w:rPr>
          <w:rFonts w:cstheme="minorHAnsi"/>
          <w:sz w:val="23"/>
          <w:szCs w:val="23"/>
        </w:rPr>
      </w:pPr>
    </w:p>
    <w:p w14:paraId="31CAEDF6" w14:textId="77777777" w:rsidR="004A6939" w:rsidRPr="005B5C9F" w:rsidRDefault="004A6939" w:rsidP="00EE71F8">
      <w:pPr>
        <w:pStyle w:val="MText"/>
        <w:numPr>
          <w:ilvl w:val="0"/>
          <w:numId w:val="7"/>
        </w:numPr>
      </w:pPr>
      <w:r w:rsidRPr="005B5C9F">
        <w:t>“</w:t>
      </w:r>
      <w:r w:rsidRPr="00FA3832">
        <w:rPr>
          <w:b/>
          <w:bCs/>
        </w:rPr>
        <w:t>Key programs and policies</w:t>
      </w:r>
      <w:r w:rsidRPr="005B5C9F">
        <w:t>” can be defined as:</w:t>
      </w:r>
    </w:p>
    <w:p w14:paraId="5117D6A6" w14:textId="77777777" w:rsidR="004A6939" w:rsidRPr="005B5C9F" w:rsidRDefault="004A6939" w:rsidP="00EE71F8">
      <w:pPr>
        <w:pStyle w:val="MText"/>
        <w:numPr>
          <w:ilvl w:val="1"/>
          <w:numId w:val="7"/>
        </w:numPr>
      </w:pPr>
      <w:r w:rsidRPr="005B5C9F">
        <w:lastRenderedPageBreak/>
        <w:t>Programs or policies of the government, that are designed to address well-identified gender equality goals (as identified in Criterion 1).</w:t>
      </w:r>
    </w:p>
    <w:p w14:paraId="1A9287CE" w14:textId="77777777" w:rsidR="004A6939" w:rsidRPr="005B5C9F" w:rsidRDefault="004A6939" w:rsidP="00E75A2B">
      <w:pPr>
        <w:spacing w:after="0" w:line="276" w:lineRule="auto"/>
        <w:jc w:val="both"/>
        <w:rPr>
          <w:rFonts w:cstheme="minorHAnsi"/>
          <w:sz w:val="23"/>
          <w:szCs w:val="23"/>
          <w:lang w:val="en-GB"/>
        </w:rPr>
      </w:pPr>
    </w:p>
    <w:p w14:paraId="0270BA17" w14:textId="77777777" w:rsidR="004A6939" w:rsidRPr="005B5C9F" w:rsidRDefault="004A6939" w:rsidP="00EE71F8">
      <w:pPr>
        <w:pStyle w:val="MText"/>
        <w:numPr>
          <w:ilvl w:val="0"/>
          <w:numId w:val="19"/>
        </w:numPr>
      </w:pPr>
      <w:r w:rsidRPr="005B5C9F">
        <w:t>“</w:t>
      </w:r>
      <w:r w:rsidRPr="00FA3832">
        <w:rPr>
          <w:b/>
          <w:bCs/>
        </w:rPr>
        <w:t>Ex-ante gender impact assessment</w:t>
      </w:r>
      <w:r w:rsidRPr="005B5C9F">
        <w:t>” can be defined as:</w:t>
      </w:r>
    </w:p>
    <w:p w14:paraId="399FA613" w14:textId="77777777" w:rsidR="004A6939" w:rsidRPr="005B5C9F" w:rsidRDefault="004A6939" w:rsidP="00EE71F8">
      <w:pPr>
        <w:pStyle w:val="MText"/>
        <w:numPr>
          <w:ilvl w:val="1"/>
          <w:numId w:val="19"/>
        </w:numPr>
      </w:pPr>
      <w:r w:rsidRPr="005B5C9F">
        <w:t>Assessing individual resource allocations, in advance of their inclusion in the budget, specifically for their impact on gender equality.</w:t>
      </w:r>
      <w:r w:rsidRPr="005B5C9F">
        <w:rPr>
          <w:rStyle w:val="FootnoteReference"/>
          <w:rFonts w:cstheme="minorHAnsi"/>
          <w:sz w:val="23"/>
          <w:szCs w:val="23"/>
        </w:rPr>
        <w:footnoteReference w:id="3"/>
      </w:r>
      <w:r w:rsidRPr="005B5C9F">
        <w:t xml:space="preserve"> For example, before its inclusion in the budget, there is an estimate of how a conditional cash transfer program will impact school attendance of girls.</w:t>
      </w:r>
    </w:p>
    <w:p w14:paraId="3CB2F6B4" w14:textId="77777777" w:rsidR="004A6939" w:rsidRPr="005B5C9F" w:rsidRDefault="004A6939" w:rsidP="00E75A2B">
      <w:pPr>
        <w:spacing w:after="0" w:line="276" w:lineRule="auto"/>
        <w:ind w:firstLine="45"/>
        <w:jc w:val="both"/>
        <w:rPr>
          <w:rFonts w:cstheme="minorHAnsi"/>
          <w:sz w:val="23"/>
          <w:szCs w:val="23"/>
          <w:lang w:val="en-GB"/>
        </w:rPr>
      </w:pPr>
    </w:p>
    <w:p w14:paraId="38AF3307" w14:textId="77777777" w:rsidR="004A6939" w:rsidRPr="005B5C9F" w:rsidRDefault="004A6939" w:rsidP="00EE71F8">
      <w:pPr>
        <w:pStyle w:val="MText"/>
        <w:numPr>
          <w:ilvl w:val="0"/>
          <w:numId w:val="18"/>
        </w:numPr>
      </w:pPr>
      <w:r w:rsidRPr="005B5C9F">
        <w:t>“</w:t>
      </w:r>
      <w:r w:rsidRPr="00FA3832">
        <w:rPr>
          <w:b/>
          <w:bCs/>
        </w:rPr>
        <w:t>Sex-disaggregated statistics and data are available in a systematic manner across all key programs and policies</w:t>
      </w:r>
      <w:r w:rsidRPr="005B5C9F">
        <w:t>” can be defined as:</w:t>
      </w:r>
    </w:p>
    <w:p w14:paraId="34457301" w14:textId="77777777" w:rsidR="004A6939" w:rsidRPr="005B5C9F" w:rsidRDefault="004A6939" w:rsidP="00EE71F8">
      <w:pPr>
        <w:pStyle w:val="MText"/>
        <w:numPr>
          <w:ilvl w:val="1"/>
          <w:numId w:val="18"/>
        </w:numPr>
      </w:pPr>
      <w:r w:rsidRPr="005B5C9F">
        <w:t>There is routine availability of gender-specific data sets and statistics that would greatly facilitate the evidential basis for the identification of gender equality gaps, design of policy interventions, and the evaluation of impacts.</w:t>
      </w:r>
      <w:r w:rsidRPr="005B5C9F">
        <w:rPr>
          <w:rStyle w:val="FootnoteReference"/>
          <w:rFonts w:cstheme="minorHAnsi"/>
          <w:sz w:val="23"/>
          <w:szCs w:val="23"/>
        </w:rPr>
        <w:footnoteReference w:id="4"/>
      </w:r>
    </w:p>
    <w:p w14:paraId="6759B092" w14:textId="77777777" w:rsidR="004A6939" w:rsidRPr="005B5C9F" w:rsidRDefault="004A6939" w:rsidP="00E75A2B">
      <w:pPr>
        <w:spacing w:after="0" w:line="276" w:lineRule="auto"/>
        <w:jc w:val="both"/>
        <w:rPr>
          <w:rFonts w:cstheme="minorHAnsi"/>
          <w:sz w:val="23"/>
          <w:szCs w:val="23"/>
        </w:rPr>
      </w:pPr>
    </w:p>
    <w:p w14:paraId="76D7CE9E" w14:textId="43BEB7D5" w:rsidR="004A6939" w:rsidRPr="005B5C9F" w:rsidRDefault="00FA3832" w:rsidP="00EE71F8">
      <w:pPr>
        <w:pStyle w:val="MText"/>
        <w:numPr>
          <w:ilvl w:val="0"/>
          <w:numId w:val="17"/>
        </w:numPr>
      </w:pPr>
      <w:r>
        <w:t>“</w:t>
      </w:r>
      <w:r w:rsidR="004A6939" w:rsidRPr="00FA3832">
        <w:rPr>
          <w:b/>
          <w:bCs/>
        </w:rPr>
        <w:t>Gender budget statements</w:t>
      </w:r>
      <w:r w:rsidR="004A6939" w:rsidRPr="005B5C9F">
        <w:t>” can be defined as:</w:t>
      </w:r>
    </w:p>
    <w:p w14:paraId="501E6DB9" w14:textId="77777777" w:rsidR="004A6939" w:rsidRPr="005B5C9F" w:rsidRDefault="004A6939" w:rsidP="00EE71F8">
      <w:pPr>
        <w:pStyle w:val="MText"/>
        <w:numPr>
          <w:ilvl w:val="1"/>
          <w:numId w:val="17"/>
        </w:numPr>
      </w:pPr>
      <w:r w:rsidRPr="005B5C9F">
        <w:t>A document that, either as part of the budget documentation or separately, provides a clear statement of gender-related goals. It is a document produced by a government agency, usually the Ministry of Finance or Budget Office, to show what its programs and budgets are doing in respect of gender. It is generally prepared after government agencies have completed the process of drawing up the budget and allocating</w:t>
      </w:r>
      <w:r w:rsidRPr="005B5C9F">
        <w:rPr>
          <w:rFonts w:ascii="Times New Roman" w:hAnsi="Times New Roman"/>
        </w:rPr>
        <w:t xml:space="preserve"> resources to </w:t>
      </w:r>
      <w:r w:rsidRPr="005B5C9F">
        <w:t>different programs in response to the annual call circular.</w:t>
      </w:r>
      <w:r w:rsidRPr="005B5C9F">
        <w:rPr>
          <w:rStyle w:val="FootnoteReference"/>
          <w:rFonts w:cstheme="minorHAnsi"/>
          <w:sz w:val="23"/>
          <w:szCs w:val="23"/>
        </w:rPr>
        <w:footnoteReference w:id="5"/>
      </w:r>
    </w:p>
    <w:p w14:paraId="3A642275" w14:textId="77777777" w:rsidR="004A6939" w:rsidRPr="005B5C9F" w:rsidRDefault="004A6939" w:rsidP="00E75A2B">
      <w:pPr>
        <w:pStyle w:val="ListParagraph"/>
        <w:spacing w:after="0" w:line="276" w:lineRule="auto"/>
        <w:jc w:val="both"/>
        <w:rPr>
          <w:rFonts w:cstheme="minorHAnsi"/>
          <w:sz w:val="23"/>
          <w:szCs w:val="23"/>
          <w:lang w:val="en-GB"/>
        </w:rPr>
      </w:pPr>
    </w:p>
    <w:p w14:paraId="2E8AAA96" w14:textId="77777777" w:rsidR="004A6939" w:rsidRPr="005B5C9F" w:rsidRDefault="004A6939" w:rsidP="00EE71F8">
      <w:pPr>
        <w:pStyle w:val="MText"/>
        <w:numPr>
          <w:ilvl w:val="0"/>
          <w:numId w:val="16"/>
        </w:numPr>
      </w:pPr>
      <w:r w:rsidRPr="005B5C9F">
        <w:t>“</w:t>
      </w:r>
      <w:r w:rsidRPr="00FA3832">
        <w:rPr>
          <w:b/>
          <w:bCs/>
        </w:rPr>
        <w:t>Functional classifiers</w:t>
      </w:r>
      <w:r w:rsidRPr="005B5C9F">
        <w:t>” can be defined as</w:t>
      </w:r>
      <w:r w:rsidRPr="005B5C9F">
        <w:rPr>
          <w:rStyle w:val="FootnoteReference"/>
          <w:rFonts w:cstheme="minorHAnsi"/>
          <w:sz w:val="23"/>
          <w:szCs w:val="23"/>
        </w:rPr>
        <w:footnoteReference w:id="6"/>
      </w:r>
      <w:r w:rsidRPr="005B5C9F">
        <w:t>:</w:t>
      </w:r>
    </w:p>
    <w:p w14:paraId="18BF0C4B" w14:textId="77777777" w:rsidR="004A6939" w:rsidRPr="005B5C9F" w:rsidRDefault="004A6939" w:rsidP="00EE71F8">
      <w:pPr>
        <w:pStyle w:val="MText"/>
        <w:numPr>
          <w:ilvl w:val="1"/>
          <w:numId w:val="16"/>
        </w:numPr>
      </w:pPr>
      <w:r w:rsidRPr="005B5C9F">
        <w:t>Categorization of expenditure according to the purposes and objectives for which they are intended. A functional classifier on gender would identify expenditure that goes to programs or activities that address gender issues.</w:t>
      </w:r>
    </w:p>
    <w:p w14:paraId="74475DE1" w14:textId="77777777" w:rsidR="004A6939" w:rsidRPr="005B5C9F" w:rsidRDefault="004A6939" w:rsidP="00E75A2B">
      <w:pPr>
        <w:pStyle w:val="ListParagraph"/>
        <w:spacing w:after="0" w:line="276" w:lineRule="auto"/>
        <w:ind w:left="1440"/>
        <w:rPr>
          <w:rFonts w:cstheme="minorHAnsi"/>
          <w:sz w:val="23"/>
          <w:szCs w:val="23"/>
        </w:rPr>
      </w:pPr>
    </w:p>
    <w:p w14:paraId="70E96943" w14:textId="77777777" w:rsidR="004A6939" w:rsidRPr="005B5C9F" w:rsidRDefault="004A6939" w:rsidP="00EE71F8">
      <w:pPr>
        <w:pStyle w:val="MText"/>
        <w:numPr>
          <w:ilvl w:val="0"/>
          <w:numId w:val="9"/>
        </w:numPr>
      </w:pPr>
      <w:r w:rsidRPr="005B5C9F">
        <w:t>“</w:t>
      </w:r>
      <w:r w:rsidRPr="00EE71F8">
        <w:rPr>
          <w:rStyle w:val="MSubHeaderChar"/>
        </w:rPr>
        <w:t>Ex-post gender impact assessment</w:t>
      </w:r>
      <w:r w:rsidRPr="005B5C9F">
        <w:t>” can be defined as:</w:t>
      </w:r>
      <w:r w:rsidRPr="005B5C9F">
        <w:rPr>
          <w:rStyle w:val="FootnoteReference"/>
          <w:rFonts w:cstheme="minorHAnsi"/>
          <w:sz w:val="23"/>
          <w:szCs w:val="23"/>
        </w:rPr>
        <w:footnoteReference w:id="7"/>
      </w:r>
      <w:r w:rsidRPr="005B5C9F">
        <w:t xml:space="preserve"> </w:t>
      </w:r>
    </w:p>
    <w:p w14:paraId="4578182A" w14:textId="77777777" w:rsidR="004A6939" w:rsidRPr="005B5C9F" w:rsidRDefault="004A6939" w:rsidP="00EE71F8">
      <w:pPr>
        <w:pStyle w:val="MText"/>
        <w:numPr>
          <w:ilvl w:val="1"/>
          <w:numId w:val="9"/>
        </w:numPr>
      </w:pPr>
      <w:r w:rsidRPr="005B5C9F">
        <w:t>Assessing individual resource allocations, after their implementation, specifically for their impact on gender equality. For example, once the resources are spent and the program executed, how did a conditional cash transfer program affected the school attendance rate of girls as when compared to boys’ attendance rate?</w:t>
      </w:r>
    </w:p>
    <w:p w14:paraId="2B43E198" w14:textId="77777777" w:rsidR="004A6939" w:rsidRPr="005B5C9F" w:rsidRDefault="004A6939" w:rsidP="00E75A2B">
      <w:pPr>
        <w:spacing w:after="0" w:line="276" w:lineRule="auto"/>
        <w:jc w:val="both"/>
        <w:rPr>
          <w:rFonts w:cstheme="minorHAnsi"/>
          <w:sz w:val="23"/>
          <w:szCs w:val="23"/>
          <w:lang w:val="en-GB"/>
        </w:rPr>
      </w:pPr>
    </w:p>
    <w:p w14:paraId="663251FE" w14:textId="77777777" w:rsidR="004A6939" w:rsidRPr="005B5C9F" w:rsidRDefault="004A6939" w:rsidP="00EE71F8">
      <w:pPr>
        <w:pStyle w:val="MText"/>
        <w:numPr>
          <w:ilvl w:val="0"/>
          <w:numId w:val="15"/>
        </w:numPr>
      </w:pPr>
      <w:r w:rsidRPr="00EE71F8">
        <w:rPr>
          <w:rStyle w:val="MSubHeaderChar"/>
        </w:rPr>
        <w:t xml:space="preserve">“The budget </w:t>
      </w:r>
      <w:proofErr w:type="gramStart"/>
      <w:r w:rsidRPr="00EE71F8">
        <w:rPr>
          <w:rStyle w:val="MSubHeaderChar"/>
        </w:rPr>
        <w:t>as a whole is</w:t>
      </w:r>
      <w:proofErr w:type="gramEnd"/>
      <w:r w:rsidRPr="00EE71F8">
        <w:rPr>
          <w:rStyle w:val="MSubHeaderChar"/>
        </w:rPr>
        <w:t xml:space="preserve"> subject to independent audit, to assess the extent to which it promotes gender-responsive policies”</w:t>
      </w:r>
      <w:r w:rsidRPr="005B5C9F">
        <w:t xml:space="preserve"> can be defined as:</w:t>
      </w:r>
    </w:p>
    <w:p w14:paraId="33806BF2" w14:textId="77777777" w:rsidR="004A6939" w:rsidRPr="005B5C9F" w:rsidRDefault="004A6939" w:rsidP="00EE71F8">
      <w:pPr>
        <w:pStyle w:val="MText"/>
        <w:numPr>
          <w:ilvl w:val="1"/>
          <w:numId w:val="15"/>
        </w:numPr>
      </w:pPr>
      <w:r w:rsidRPr="005B5C9F">
        <w:lastRenderedPageBreak/>
        <w:t>Independent, objective analysis, conducted by a competent authority different from the central budget authority, of the extent to which gender equality is effectively promoted and/or attained through the policies set out in the annual budget.</w:t>
      </w:r>
      <w:r w:rsidRPr="005B5C9F">
        <w:rPr>
          <w:rStyle w:val="FootnoteReference"/>
          <w:rFonts w:cstheme="minorHAnsi"/>
          <w:sz w:val="23"/>
          <w:szCs w:val="23"/>
        </w:rPr>
        <w:footnoteReference w:id="8"/>
      </w:r>
    </w:p>
    <w:p w14:paraId="60B9E141" w14:textId="77777777" w:rsidR="004A6939" w:rsidRPr="005B5C9F" w:rsidRDefault="004A6939" w:rsidP="00E75A2B">
      <w:pPr>
        <w:spacing w:after="0" w:line="276" w:lineRule="auto"/>
        <w:jc w:val="both"/>
        <w:rPr>
          <w:rFonts w:cstheme="minorHAnsi"/>
          <w:sz w:val="23"/>
          <w:szCs w:val="23"/>
        </w:rPr>
      </w:pPr>
    </w:p>
    <w:p w14:paraId="5603593F" w14:textId="77777777" w:rsidR="004A6939" w:rsidRPr="00EE71F8" w:rsidRDefault="004A6939" w:rsidP="00EE71F8">
      <w:pPr>
        <w:pStyle w:val="MSubHeader"/>
        <w:rPr>
          <w:u w:val="single"/>
        </w:rPr>
      </w:pPr>
      <w:r w:rsidRPr="00EE71F8">
        <w:rPr>
          <w:u w:val="single"/>
        </w:rPr>
        <w:t>For Criterion 3:</w:t>
      </w:r>
    </w:p>
    <w:p w14:paraId="2BF1F8F5" w14:textId="77777777" w:rsidR="004A6939" w:rsidRPr="005B5C9F" w:rsidRDefault="004A6939" w:rsidP="00B179B1">
      <w:pPr>
        <w:pStyle w:val="MText"/>
        <w:numPr>
          <w:ilvl w:val="0"/>
          <w:numId w:val="14"/>
        </w:numPr>
      </w:pPr>
      <w:r w:rsidRPr="00B179B1">
        <w:rPr>
          <w:rStyle w:val="MSubHeaderChar"/>
        </w:rPr>
        <w:t xml:space="preserve">“Published in an accessible manner” </w:t>
      </w:r>
      <w:r w:rsidRPr="005B5C9F">
        <w:t>can be defined as:</w:t>
      </w:r>
    </w:p>
    <w:p w14:paraId="7CE88ED7" w14:textId="77777777" w:rsidR="004A6939" w:rsidRPr="005B5C9F" w:rsidRDefault="004A6939" w:rsidP="00B179B1">
      <w:pPr>
        <w:pStyle w:val="MText"/>
        <w:numPr>
          <w:ilvl w:val="1"/>
          <w:numId w:val="14"/>
        </w:numPr>
      </w:pPr>
      <w:r w:rsidRPr="005B5C9F">
        <w:t>Allocations for gender equality and women’s empowerment are published on the Ministry of Finance (or office responsible for budget) website and/or related official bulletins or public notices in a way that is clearly signalled and/or made available in hard copies that are distributed to parliamentarians and NGOs.</w:t>
      </w:r>
    </w:p>
    <w:p w14:paraId="00BCC505" w14:textId="77777777" w:rsidR="004A6939" w:rsidRPr="005B5C9F" w:rsidRDefault="004A6939" w:rsidP="00E75A2B">
      <w:pPr>
        <w:spacing w:after="0" w:line="276" w:lineRule="auto"/>
        <w:jc w:val="both"/>
        <w:rPr>
          <w:rFonts w:cstheme="minorHAnsi"/>
          <w:sz w:val="23"/>
          <w:szCs w:val="23"/>
          <w:lang w:val="en-GB"/>
        </w:rPr>
      </w:pPr>
    </w:p>
    <w:p w14:paraId="64DF0E7B" w14:textId="77777777" w:rsidR="004A6939" w:rsidRPr="005B5C9F" w:rsidRDefault="004A6939" w:rsidP="00B179B1">
      <w:pPr>
        <w:pStyle w:val="MText"/>
        <w:numPr>
          <w:ilvl w:val="0"/>
          <w:numId w:val="8"/>
        </w:numPr>
      </w:pPr>
      <w:r w:rsidRPr="00B179B1">
        <w:rPr>
          <w:rStyle w:val="MSubHeaderChar"/>
        </w:rPr>
        <w:t>“Published in a timely manner”</w:t>
      </w:r>
      <w:r w:rsidRPr="005B5C9F">
        <w:t xml:space="preserve"> can be defined as:</w:t>
      </w:r>
    </w:p>
    <w:p w14:paraId="5C3B7154" w14:textId="70A168F3" w:rsidR="004A6939" w:rsidRPr="005B5C9F" w:rsidRDefault="004A6939" w:rsidP="00B179B1">
      <w:pPr>
        <w:pStyle w:val="MText"/>
        <w:numPr>
          <w:ilvl w:val="1"/>
          <w:numId w:val="8"/>
        </w:numPr>
      </w:pPr>
      <w:r w:rsidRPr="005B5C9F">
        <w:t>Allocations for gender equality and women’s empowerment and/or its exercise are published in the same quarter as when approved/exercised.</w:t>
      </w:r>
    </w:p>
    <w:p w14:paraId="6F77975A" w14:textId="77777777" w:rsidR="004A6939" w:rsidRPr="005B5C9F" w:rsidRDefault="004A6939" w:rsidP="00E75A2B">
      <w:pPr>
        <w:autoSpaceDE w:val="0"/>
        <w:autoSpaceDN w:val="0"/>
        <w:adjustRightInd w:val="0"/>
        <w:spacing w:after="200" w:line="276" w:lineRule="auto"/>
        <w:jc w:val="both"/>
        <w:rPr>
          <w:rFonts w:cstheme="minorHAnsi"/>
          <w:bCs/>
          <w:color w:val="000000"/>
          <w:sz w:val="23"/>
          <w:szCs w:val="23"/>
        </w:rPr>
      </w:pPr>
    </w:p>
    <w:p w14:paraId="59F650DA" w14:textId="77777777" w:rsidR="00A350E3" w:rsidRPr="00BA7B2E" w:rsidRDefault="00C60806" w:rsidP="00B179B1">
      <w:pPr>
        <w:pStyle w:val="MSubHeader"/>
      </w:pPr>
      <w:r w:rsidRPr="00BA7B2E">
        <w:t>Comments and limitations:</w:t>
      </w:r>
    </w:p>
    <w:p w14:paraId="5988B075" w14:textId="77777777" w:rsidR="004D4F71" w:rsidRPr="004D4F71" w:rsidRDefault="004D4F71" w:rsidP="00B179B1">
      <w:pPr>
        <w:pStyle w:val="MText"/>
      </w:pPr>
      <w:r w:rsidRPr="004D4F71">
        <w:t xml:space="preserve">The indicator does not measure allocation of resources but the existence of mechanisms to track resource allocations and that make that information available publicly. </w:t>
      </w:r>
      <w:r w:rsidR="00B27577" w:rsidRPr="004D4F71">
        <w:t>However,</w:t>
      </w:r>
      <w:r w:rsidRPr="004D4F71">
        <w:t xml:space="preserve"> there is an optional question in the questionnaire (not scored) that </w:t>
      </w:r>
      <w:r w:rsidR="00827E3C">
        <w:t>requests countries to report</w:t>
      </w:r>
      <w:r w:rsidRPr="004D4F71">
        <w:t xml:space="preserve"> the percentage of the government budget allocated for gender equality programs. </w:t>
      </w:r>
    </w:p>
    <w:p w14:paraId="6A7A5169" w14:textId="77777777" w:rsidR="00B179B1" w:rsidRDefault="00B179B1" w:rsidP="00B179B1">
      <w:pPr>
        <w:pStyle w:val="MText"/>
      </w:pPr>
    </w:p>
    <w:p w14:paraId="6BE65C9B" w14:textId="6F6756D0" w:rsidR="00C60806" w:rsidRDefault="004D4F71" w:rsidP="00B179B1">
      <w:pPr>
        <w:pStyle w:val="MText"/>
        <w:rPr>
          <w:rFonts w:cstheme="minorHAnsi"/>
        </w:rPr>
      </w:pPr>
      <w:r w:rsidRPr="004D4F71">
        <w:t>Another limitation is that the indicator, which is process oriented, does not provide data on the adequacy or quality of resource allocations.</w:t>
      </w:r>
    </w:p>
    <w:p w14:paraId="4F407F19" w14:textId="77777777" w:rsidR="00B179B1" w:rsidRPr="00B179B1" w:rsidRDefault="00B179B1" w:rsidP="00B179B1">
      <w:pPr>
        <w:pStyle w:val="MHeader"/>
        <w:rPr>
          <w:sz w:val="20"/>
          <w:szCs w:val="20"/>
        </w:rPr>
      </w:pPr>
    </w:p>
    <w:p w14:paraId="43CCD710" w14:textId="3C7AD4BF" w:rsidR="00C60806" w:rsidRPr="00BA7B2E" w:rsidRDefault="00C60806" w:rsidP="00B179B1">
      <w:pPr>
        <w:pStyle w:val="MHeader"/>
      </w:pPr>
      <w:r w:rsidRPr="00BA7B2E">
        <w:t>Methodology</w:t>
      </w:r>
    </w:p>
    <w:p w14:paraId="2463630C" w14:textId="77777777" w:rsidR="00C60806" w:rsidRDefault="00C60806" w:rsidP="00E75A2B">
      <w:pPr>
        <w:autoSpaceDE w:val="0"/>
        <w:autoSpaceDN w:val="0"/>
        <w:adjustRightInd w:val="0"/>
        <w:spacing w:after="0" w:line="276" w:lineRule="auto"/>
        <w:jc w:val="both"/>
        <w:rPr>
          <w:rFonts w:cstheme="minorHAnsi"/>
          <w:b/>
          <w:bCs/>
          <w:color w:val="000000"/>
        </w:rPr>
      </w:pPr>
    </w:p>
    <w:p w14:paraId="13DB7BDC" w14:textId="77777777" w:rsidR="00C60806" w:rsidRPr="00BA7B2E" w:rsidRDefault="00C60806" w:rsidP="00B179B1">
      <w:pPr>
        <w:pStyle w:val="MSubHeader"/>
      </w:pPr>
      <w:r w:rsidRPr="00DC0AC8">
        <w:t>Computation Method:</w:t>
      </w:r>
    </w:p>
    <w:p w14:paraId="662B58BF" w14:textId="77777777" w:rsidR="00C219C7" w:rsidRDefault="00C219C7" w:rsidP="00B179B1">
      <w:pPr>
        <w:pStyle w:val="MText"/>
      </w:pPr>
      <w:r w:rsidRPr="00322887">
        <w:t xml:space="preserve">The method of computation is as follows: </w:t>
      </w:r>
    </w:p>
    <w:p w14:paraId="05A8BB5E" w14:textId="77777777" w:rsidR="00C219C7" w:rsidRPr="00322887" w:rsidRDefault="00C219C7" w:rsidP="00B179B1">
      <w:pPr>
        <w:pStyle w:val="MText"/>
      </w:pPr>
      <m:oMathPara>
        <m:oMath>
          <m:r>
            <m:rPr>
              <m:sty m:val="p"/>
            </m:rPr>
            <w:rPr>
              <w:rFonts w:ascii="Cambria Math" w:hAnsi="Cambria Math"/>
            </w:rPr>
            <m:t xml:space="preserve"> </m:t>
          </m:r>
          <m:r>
            <w:rPr>
              <w:rFonts w:ascii="Cambria Math" w:hAnsi="Cambria Math"/>
            </w:rPr>
            <m:t>Indicator</m:t>
          </m:r>
          <m:r>
            <m:rPr>
              <m:sty m:val="p"/>
            </m:rPr>
            <w:rPr>
              <w:rFonts w:ascii="Cambria Math" w:hAnsi="Cambria Math"/>
            </w:rPr>
            <m:t xml:space="preserve"> 5.</m:t>
          </m:r>
          <m:r>
            <w:rPr>
              <w:rFonts w:ascii="Cambria Math" w:hAnsi="Cambria Math"/>
            </w:rPr>
            <m:t>c</m:t>
          </m:r>
          <m:r>
            <m:rPr>
              <m:sty m:val="p"/>
            </m:rPr>
            <w:rPr>
              <w:rFonts w:ascii="Cambria Math" w:hAnsi="Cambria Math"/>
            </w:rPr>
            <m:t xml:space="preserve">.1= </m:t>
          </m:r>
          <m:f>
            <m:fPr>
              <m:ctrlPr>
                <w:rPr>
                  <w:rFonts w:ascii="Cambria Math" w:hAnsi="Cambria Math"/>
                </w:rPr>
              </m:ctrlPr>
            </m:fPr>
            <m:num>
              <m:d>
                <m:dPr>
                  <m:ctrlPr>
                    <w:rPr>
                      <w:rFonts w:ascii="Cambria Math" w:hAnsi="Cambria Math"/>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fully</m:t>
                  </m:r>
                  <m:r>
                    <m:rPr>
                      <m:sty m:val="p"/>
                    </m:rPr>
                    <w:rPr>
                      <w:rFonts w:ascii="Cambria Math" w:hAnsi="Cambria Math"/>
                    </w:rPr>
                    <m:t xml:space="preserve">  </m:t>
                  </m:r>
                  <m:r>
                    <w:rPr>
                      <w:rFonts w:ascii="Cambria Math" w:hAnsi="Cambria Math"/>
                    </w:rPr>
                    <m:t>meet</m:t>
                  </m:r>
                  <m:r>
                    <m:rPr>
                      <m:sty m:val="p"/>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p w14:paraId="3AD72A1F" w14:textId="77777777" w:rsidR="00B179B1" w:rsidRDefault="00B179B1" w:rsidP="00B179B1">
      <w:pPr>
        <w:pStyle w:val="MSubHeader"/>
      </w:pPr>
    </w:p>
    <w:p w14:paraId="7905A3DA" w14:textId="15F6DF09" w:rsidR="00102539" w:rsidRPr="00BA7B2E" w:rsidRDefault="00102539" w:rsidP="00B179B1">
      <w:pPr>
        <w:pStyle w:val="MSubHeader"/>
      </w:pPr>
      <w:r w:rsidRPr="00BA7B2E">
        <w:t>Unit</w:t>
      </w:r>
      <w:r w:rsidR="000C61AB" w:rsidRPr="00BA7B2E">
        <w:t>:</w:t>
      </w:r>
    </w:p>
    <w:p w14:paraId="686BCD7E" w14:textId="3A455096" w:rsidR="00102539" w:rsidRDefault="000D34D2" w:rsidP="00023FBC">
      <w:pPr>
        <w:autoSpaceDE w:val="0"/>
        <w:autoSpaceDN w:val="0"/>
        <w:adjustRightInd w:val="0"/>
        <w:spacing w:after="200" w:line="276" w:lineRule="auto"/>
        <w:ind w:firstLine="720"/>
        <w:jc w:val="both"/>
        <w:rPr>
          <w:sz w:val="23"/>
          <w:szCs w:val="23"/>
        </w:rPr>
      </w:pPr>
      <w:r>
        <w:rPr>
          <w:sz w:val="23"/>
          <w:szCs w:val="23"/>
        </w:rPr>
        <w:t>%</w:t>
      </w:r>
    </w:p>
    <w:p w14:paraId="539A697E" w14:textId="77777777" w:rsidR="00B179B1" w:rsidRDefault="00B179B1" w:rsidP="00B179B1">
      <w:pPr>
        <w:pStyle w:val="MSubHeader"/>
      </w:pPr>
    </w:p>
    <w:p w14:paraId="0AB738D0" w14:textId="044E86EA" w:rsidR="00B776C8" w:rsidRPr="00BA7B2E" w:rsidRDefault="00102539" w:rsidP="00B179B1">
      <w:pPr>
        <w:pStyle w:val="MSubHeader"/>
      </w:pPr>
      <w:r w:rsidRPr="00BA7B2E">
        <w:t>Disaggregation</w:t>
      </w:r>
      <w:r w:rsidR="00B776C8" w:rsidRPr="00BA7B2E">
        <w:t xml:space="preserve">: </w:t>
      </w:r>
    </w:p>
    <w:p w14:paraId="320B3577" w14:textId="7F37A546" w:rsidR="003610FB" w:rsidRPr="007C05DB" w:rsidRDefault="003610FB" w:rsidP="00B179B1">
      <w:pPr>
        <w:pStyle w:val="MText"/>
        <w:numPr>
          <w:ilvl w:val="0"/>
          <w:numId w:val="13"/>
        </w:numPr>
      </w:pPr>
      <w:r w:rsidRPr="007C05DB">
        <w:t xml:space="preserve">In </w:t>
      </w:r>
      <w:r w:rsidR="007C05DB">
        <w:t>a</w:t>
      </w:r>
      <w:r w:rsidRPr="007C05DB">
        <w:t>ddition to reporting Indicator 5.c.1</w:t>
      </w:r>
      <w:r w:rsidR="007C05DB">
        <w:t xml:space="preserve"> as described above</w:t>
      </w:r>
      <w:r w:rsidRPr="007C05DB">
        <w:t xml:space="preserve">, </w:t>
      </w:r>
      <w:r w:rsidR="007C05DB">
        <w:t>t</w:t>
      </w:r>
      <w:r w:rsidRPr="007C05DB">
        <w:t>he following two country classification global proportions will also be reported:</w:t>
      </w:r>
    </w:p>
    <w:p w14:paraId="730EEF05" w14:textId="77777777" w:rsidR="003610FB" w:rsidRDefault="003610FB" w:rsidP="00B179B1">
      <w:pPr>
        <w:pStyle w:val="MText"/>
      </w:pPr>
      <w:r w:rsidRPr="00DE365C">
        <w:rPr>
          <w:noProof/>
        </w:rPr>
        <mc:AlternateContent>
          <mc:Choice Requires="wps">
            <w:drawing>
              <wp:anchor distT="0" distB="0" distL="114300" distR="114300" simplePos="0" relativeHeight="251661312" behindDoc="0" locked="0" layoutInCell="1" allowOverlap="1" wp14:anchorId="5FDF6AA3" wp14:editId="190ACA08">
                <wp:simplePos x="0" y="0"/>
                <wp:positionH relativeFrom="column">
                  <wp:posOffset>666750</wp:posOffset>
                </wp:positionH>
                <wp:positionV relativeFrom="paragraph">
                  <wp:posOffset>59055</wp:posOffset>
                </wp:positionV>
                <wp:extent cx="4346575" cy="446405"/>
                <wp:effectExtent l="0" t="0" r="0" b="0"/>
                <wp:wrapNone/>
                <wp:docPr id="1" name="Rectangle 3"/>
                <wp:cNvGraphicFramePr/>
                <a:graphic xmlns:a="http://schemas.openxmlformats.org/drawingml/2006/main">
                  <a:graphicData uri="http://schemas.microsoft.com/office/word/2010/wordprocessingShape">
                    <wps:wsp>
                      <wps:cNvSpPr/>
                      <wps:spPr>
                        <a:xfrm>
                          <a:off x="0" y="0"/>
                          <a:ext cx="4346575" cy="446405"/>
                        </a:xfrm>
                        <a:prstGeom prst="rect">
                          <a:avLst/>
                        </a:prstGeom>
                      </wps:spPr>
                      <wps:txbx>
                        <w:txbxContent>
                          <w:p w14:paraId="09469250" w14:textId="77777777" w:rsidR="003610FB" w:rsidRPr="00DE365C" w:rsidRDefault="00DF6DDE" w:rsidP="00B179B1">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do</m:t>
                                        </m:r>
                                        <m:r>
                                          <m:rPr>
                                            <m:sty m:val="b"/>
                                          </m:rPr>
                                          <w:rPr>
                                            <w:rFonts w:ascii="Cambria Math" w:hAnsi="Cambria Math"/>
                                          </w:rPr>
                                          <m:t xml:space="preserve"> </m:t>
                                        </m:r>
                                        <m:r>
                                          <m:rPr>
                                            <m:sty m:val="bi"/>
                                          </m:rPr>
                                          <w:rPr>
                                            <w:rFonts w:ascii="Cambria Math" w:hAnsi="Cambria Math"/>
                                          </w:rPr>
                                          <m:t>not</m:t>
                                        </m:r>
                                        <m:r>
                                          <m:rPr>
                                            <m:sty m:val="b"/>
                                          </m:rPr>
                                          <w:rPr>
                                            <w:rFonts w:ascii="Cambria Math" w:hAnsi="Cambria Math"/>
                                          </w:rPr>
                                          <m:t xml:space="preserve"> </m:t>
                                        </m:r>
                                        <m:r>
                                          <m:rPr>
                                            <m:sty m:val="bi"/>
                                          </m:rPr>
                                          <w:rPr>
                                            <w:rFonts w:ascii="Cambria Math" w:hAnsi="Cambria Math"/>
                                          </w:rPr>
                                          <m:t>meet</m:t>
                                        </m:r>
                                        <m:r>
                                          <m:rPr>
                                            <m:sty m:val="b"/>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wps:txbx>
                      <wps:bodyPr wrap="square">
                        <a:spAutoFit/>
                      </wps:bodyPr>
                    </wps:wsp>
                  </a:graphicData>
                </a:graphic>
              </wp:anchor>
            </w:drawing>
          </mc:Choice>
          <mc:Fallback>
            <w:pict>
              <v:rect w14:anchorId="5FDF6AA3" id="_x0000_s1026" style="position:absolute;margin-left:52.5pt;margin-top:4.65pt;width:342.25pt;height:35.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" filled="f" stroked="f">
                <v:textbox style="mso-fit-shape-to-text:t">
                  <w:txbxContent>
                    <w:p w14:paraId="09469250" w14:textId="77777777" w:rsidR="003610FB" w:rsidRPr="00DE365C" w:rsidRDefault="000270DA" w:rsidP="00B179B1">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do</m:t>
                                  </m:r>
                                  <m:r>
                                    <m:rPr>
                                      <m:sty m:val="b"/>
                                    </m:rPr>
                                    <w:rPr>
                                      <w:rFonts w:ascii="Cambria Math" w:hAnsi="Cambria Math"/>
                                    </w:rPr>
                                    <m:t xml:space="preserve"> </m:t>
                                  </m:r>
                                  <m:r>
                                    <m:rPr>
                                      <m:sty m:val="bi"/>
                                    </m:rPr>
                                    <w:rPr>
                                      <w:rFonts w:ascii="Cambria Math" w:hAnsi="Cambria Math"/>
                                    </w:rPr>
                                    <m:t>not</m:t>
                                  </m:r>
                                  <m:r>
                                    <m:rPr>
                                      <m:sty m:val="b"/>
                                    </m:rPr>
                                    <w:rPr>
                                      <w:rFonts w:ascii="Cambria Math" w:hAnsi="Cambria Math"/>
                                    </w:rPr>
                                    <m:t xml:space="preserve"> </m:t>
                                  </m:r>
                                  <m:r>
                                    <m:rPr>
                                      <m:sty m:val="bi"/>
                                    </m:rPr>
                                    <w:rPr>
                                      <w:rFonts w:ascii="Cambria Math" w:hAnsi="Cambria Math"/>
                                    </w:rPr>
                                    <m:t>meet</m:t>
                                  </m:r>
                                  <m:r>
                                    <m:rPr>
                                      <m:sty m:val="b"/>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v:textbox>
              </v:rect>
            </w:pict>
          </mc:Fallback>
        </mc:AlternateContent>
      </w:r>
    </w:p>
    <w:p w14:paraId="1EF47606" w14:textId="77777777" w:rsidR="003610FB" w:rsidRPr="00136316" w:rsidRDefault="003610FB" w:rsidP="00B179B1">
      <w:pPr>
        <w:pStyle w:val="MText"/>
      </w:pPr>
    </w:p>
    <w:p w14:paraId="23608A8A" w14:textId="77777777" w:rsidR="003610FB" w:rsidRDefault="003610FB" w:rsidP="00B179B1">
      <w:pPr>
        <w:pStyle w:val="MText"/>
      </w:pPr>
    </w:p>
    <w:p w14:paraId="49AF991D" w14:textId="77777777" w:rsidR="003610FB" w:rsidRDefault="003610FB" w:rsidP="00B179B1">
      <w:pPr>
        <w:pStyle w:val="MText"/>
      </w:pPr>
      <w:r w:rsidRPr="00DE365C">
        <w:rPr>
          <w:noProof/>
        </w:rPr>
        <w:lastRenderedPageBreak/>
        <mc:AlternateContent>
          <mc:Choice Requires="wps">
            <w:drawing>
              <wp:anchor distT="0" distB="0" distL="114300" distR="114300" simplePos="0" relativeHeight="251662336" behindDoc="0" locked="0" layoutInCell="1" allowOverlap="1" wp14:anchorId="4DF54E13" wp14:editId="56C11F72">
                <wp:simplePos x="0" y="0"/>
                <wp:positionH relativeFrom="column">
                  <wp:posOffset>570865</wp:posOffset>
                </wp:positionH>
                <wp:positionV relativeFrom="paragraph">
                  <wp:posOffset>34925</wp:posOffset>
                </wp:positionV>
                <wp:extent cx="4733925" cy="446405"/>
                <wp:effectExtent l="0" t="0" r="0" b="0"/>
                <wp:wrapNone/>
                <wp:docPr id="20" name="Rectangle 3"/>
                <wp:cNvGraphicFramePr/>
                <a:graphic xmlns:a="http://schemas.openxmlformats.org/drawingml/2006/main">
                  <a:graphicData uri="http://schemas.microsoft.com/office/word/2010/wordprocessingShape">
                    <wps:wsp>
                      <wps:cNvSpPr/>
                      <wps:spPr>
                        <a:xfrm>
                          <a:off x="0" y="0"/>
                          <a:ext cx="4733925" cy="446405"/>
                        </a:xfrm>
                        <a:prstGeom prst="rect">
                          <a:avLst/>
                        </a:prstGeom>
                      </wps:spPr>
                      <wps:txbx>
                        <w:txbxContent>
                          <w:p w14:paraId="6BC584D0" w14:textId="77777777" w:rsidR="003610FB" w:rsidRPr="00DE365C" w:rsidRDefault="00DF6DDE" w:rsidP="00B179B1">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approach</m:t>
                                        </m:r>
                                        <m:r>
                                          <m:rPr>
                                            <m:sty m:val="b"/>
                                          </m:rPr>
                                          <w:rPr>
                                            <w:rFonts w:ascii="Cambria Math" w:hAnsi="Cambria Math"/>
                                          </w:rPr>
                                          <m:t xml:space="preserve"> </m:t>
                                        </m:r>
                                        <m:r>
                                          <w:rPr>
                                            <w:rFonts w:ascii="Cambria Math" w:hAnsi="Cambria Math"/>
                                          </w:rPr>
                                          <m:t>approach</m:t>
                                        </m:r>
                                        <m:r>
                                          <m:rPr>
                                            <m:sty m:val="p"/>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wps:txbx>
                      <wps:bodyPr wrap="square">
                        <a:spAutoFit/>
                      </wps:bodyPr>
                    </wps:wsp>
                  </a:graphicData>
                </a:graphic>
                <wp14:sizeRelH relativeFrom="margin">
                  <wp14:pctWidth>0</wp14:pctWidth>
                </wp14:sizeRelH>
              </wp:anchor>
            </w:drawing>
          </mc:Choice>
          <mc:Fallback>
            <w:pict>
              <v:rect w14:anchorId="4DF54E13" id="_x0000_s1027" style="position:absolute;margin-left:44.95pt;margin-top:2.75pt;width:372.75pt;height:35.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" filled="f" stroked="f">
                <v:textbox style="mso-fit-shape-to-text:t">
                  <w:txbxContent>
                    <w:p w14:paraId="6BC584D0" w14:textId="77777777" w:rsidR="003610FB" w:rsidRPr="00DE365C" w:rsidRDefault="000270DA" w:rsidP="00B179B1">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approach</m:t>
                                  </m:r>
                                  <m:r>
                                    <m:rPr>
                                      <m:sty m:val="b"/>
                                    </m:rPr>
                                    <w:rPr>
                                      <w:rFonts w:ascii="Cambria Math" w:hAnsi="Cambria Math"/>
                                    </w:rPr>
                                    <m:t xml:space="preserve"> </m:t>
                                  </m:r>
                                  <m:r>
                                    <w:rPr>
                                      <w:rFonts w:ascii="Cambria Math" w:hAnsi="Cambria Math"/>
                                    </w:rPr>
                                    <m:t>approach</m:t>
                                  </m:r>
                                  <m:r>
                                    <m:rPr>
                                      <m:sty m:val="p"/>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v:textbox>
              </v:rect>
            </w:pict>
          </mc:Fallback>
        </mc:AlternateContent>
      </w:r>
    </w:p>
    <w:p w14:paraId="7091C439" w14:textId="77777777" w:rsidR="003610FB" w:rsidRPr="00136316" w:rsidRDefault="003610FB" w:rsidP="00B179B1">
      <w:pPr>
        <w:pStyle w:val="MText"/>
      </w:pPr>
    </w:p>
    <w:p w14:paraId="2321C4FB" w14:textId="77777777" w:rsidR="003610FB" w:rsidRDefault="003610FB" w:rsidP="00B179B1">
      <w:pPr>
        <w:pStyle w:val="MText"/>
      </w:pPr>
    </w:p>
    <w:p w14:paraId="618E97D7" w14:textId="77777777" w:rsidR="003610FB" w:rsidRDefault="003610FB" w:rsidP="00B179B1">
      <w:pPr>
        <w:pStyle w:val="MText"/>
      </w:pPr>
    </w:p>
    <w:p w14:paraId="3663F7F6" w14:textId="21D9C19B" w:rsidR="003610FB" w:rsidRPr="00B179B1" w:rsidRDefault="003610FB" w:rsidP="00B179B1">
      <w:pPr>
        <w:pStyle w:val="MText"/>
        <w:numPr>
          <w:ilvl w:val="0"/>
          <w:numId w:val="13"/>
        </w:numPr>
      </w:pPr>
      <w:r w:rsidRPr="00B179B1">
        <w:t>Additional disaggregation by region as follows:</w:t>
      </w:r>
    </w:p>
    <w:p w14:paraId="342C5E93" w14:textId="77777777" w:rsidR="003610FB" w:rsidRPr="007C05DB" w:rsidRDefault="003610FB" w:rsidP="00E75A2B">
      <w:pPr>
        <w:pStyle w:val="ListParagraph"/>
        <w:spacing w:after="0" w:line="276" w:lineRule="auto"/>
        <w:jc w:val="both"/>
        <w:rPr>
          <w:rFonts w:cstheme="minorHAnsi"/>
          <w:b/>
          <w:lang w:val="en-GB"/>
        </w:rPr>
      </w:pPr>
    </w:p>
    <w:p w14:paraId="25350ED0" w14:textId="77777777" w:rsidR="003610FB" w:rsidRPr="00136316" w:rsidRDefault="003610FB" w:rsidP="00B179B1">
      <w:pPr>
        <w:pStyle w:val="MText"/>
      </w:pPr>
      <w:r w:rsidRPr="00136316">
        <w:rPr>
          <w:noProof/>
        </w:rPr>
        <mc:AlternateContent>
          <mc:Choice Requires="wps">
            <w:drawing>
              <wp:inline distT="0" distB="0" distL="0" distR="0" wp14:anchorId="49E02B82" wp14:editId="37F204ED">
                <wp:extent cx="4857750" cy="613373"/>
                <wp:effectExtent l="0" t="0" r="0" b="0"/>
                <wp:docPr id="21" name="Rectangle 3"/>
                <wp:cNvGraphicFramePr/>
                <a:graphic xmlns:a="http://schemas.openxmlformats.org/drawingml/2006/main">
                  <a:graphicData uri="http://schemas.microsoft.com/office/word/2010/wordprocessingShape">
                    <wps:wsp>
                      <wps:cNvSpPr/>
                      <wps:spPr>
                        <a:xfrm>
                          <a:off x="0" y="0"/>
                          <a:ext cx="4857750" cy="613373"/>
                        </a:xfrm>
                        <a:prstGeom prst="rect">
                          <a:avLst/>
                        </a:prstGeom>
                      </wps:spPr>
                      <wps:txbx>
                        <w:txbxContent>
                          <w:p w14:paraId="73DE826E" w14:textId="77777777" w:rsidR="003610FB" w:rsidRPr="00136316" w:rsidRDefault="00DF6DDE" w:rsidP="00B179B1">
                            <w:pPr>
                              <w:pStyle w:val="MText"/>
                              <w:jc w:val="center"/>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country</m:t>
                                        </m:r>
                                        <m:r>
                                          <m:rPr>
                                            <m:sty m:val="p"/>
                                          </m:rPr>
                                          <w:rPr>
                                            <w:rFonts w:ascii="Cambria Math" w:hAnsi="Cambria Math"/>
                                          </w:rPr>
                                          <m:t xml:space="preserve"> </m:t>
                                        </m:r>
                                        <m:r>
                                          <m:rPr>
                                            <m:sty m:val="bi"/>
                                          </m:rPr>
                                          <w:rPr>
                                            <w:rFonts w:ascii="Cambria Math" w:hAnsi="Cambria Math"/>
                                          </w:rPr>
                                          <m:t>classification</m:t>
                                        </m:r>
                                        <m:r>
                                          <m:rPr>
                                            <m:sty m:val="b"/>
                                          </m:rPr>
                                          <w:rPr>
                                            <w:rFonts w:ascii="Cambria Math" w:hAnsi="Cambria Math"/>
                                          </w:rPr>
                                          <m:t xml:space="preserve"> y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den>
                                </m:f>
                              </m:oMath>
                            </m:oMathPara>
                          </w:p>
                        </w:txbxContent>
                      </wps:txbx>
                      <wps:bodyPr wrap="square">
                        <a:spAutoFit/>
                      </wps:bodyPr>
                    </wps:wsp>
                  </a:graphicData>
                </a:graphic>
              </wp:inline>
            </w:drawing>
          </mc:Choice>
          <mc:Fallback>
            <w:pict>
              <v:rect w14:anchorId="49E02B82" id="Rectangle 3" o:spid="_x0000_s1028" style="width:382.5pt;height: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" filled="f" stroked="f">
                <v:textbox style="mso-fit-shape-to-text:t">
                  <w:txbxContent>
                    <w:p w14:paraId="73DE826E" w14:textId="77777777" w:rsidR="003610FB" w:rsidRPr="00136316" w:rsidRDefault="000270DA" w:rsidP="00B179B1">
                      <w:pPr>
                        <w:pStyle w:val="MText"/>
                        <w:jc w:val="center"/>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country</m:t>
                                  </m:r>
                                  <m:r>
                                    <m:rPr>
                                      <m:sty m:val="p"/>
                                    </m:rPr>
                                    <w:rPr>
                                      <w:rFonts w:ascii="Cambria Math" w:hAnsi="Cambria Math"/>
                                    </w:rPr>
                                    <m:t xml:space="preserve"> </m:t>
                                  </m:r>
                                  <m:r>
                                    <m:rPr>
                                      <m:sty m:val="bi"/>
                                    </m:rPr>
                                    <w:rPr>
                                      <w:rFonts w:ascii="Cambria Math" w:hAnsi="Cambria Math"/>
                                    </w:rPr>
                                    <m:t>classification</m:t>
                                  </m:r>
                                  <m:r>
                                    <m:rPr>
                                      <m:sty m:val="b"/>
                                    </m:rPr>
                                    <w:rPr>
                                      <w:rFonts w:ascii="Cambria Math" w:hAnsi="Cambria Math"/>
                                    </w:rPr>
                                    <m:t xml:space="preserve"> y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den>
                          </m:f>
                        </m:oMath>
                      </m:oMathPara>
                    </w:p>
                  </w:txbxContent>
                </v:textbox>
                <w10:anchorlock/>
              </v:rect>
            </w:pict>
          </mc:Fallback>
        </mc:AlternateContent>
      </w:r>
    </w:p>
    <w:p w14:paraId="7F85FA21" w14:textId="77777777" w:rsidR="003610FB" w:rsidRPr="00136316" w:rsidRDefault="003610FB" w:rsidP="00B179B1">
      <w:pPr>
        <w:pStyle w:val="MText"/>
      </w:pPr>
    </w:p>
    <w:p w14:paraId="51D9C982" w14:textId="77777777" w:rsidR="003610FB" w:rsidRPr="00136316" w:rsidRDefault="003610FB" w:rsidP="00B179B1">
      <w:pPr>
        <w:pStyle w:val="MText"/>
      </w:pPr>
      <w:r w:rsidRPr="00136316">
        <w:t xml:space="preserve">Where </w:t>
      </w:r>
      <w:r w:rsidRPr="00136316">
        <w:rPr>
          <w:b/>
          <w:bCs/>
          <w:i/>
          <w:iCs/>
        </w:rPr>
        <w:t>x</w:t>
      </w:r>
      <w:r w:rsidRPr="00136316">
        <w:t xml:space="preserve"> refers to the region of analysis and </w:t>
      </w:r>
      <w:r w:rsidRPr="00136316">
        <w:rPr>
          <w:b/>
          <w:bCs/>
          <w:i/>
          <w:iCs/>
        </w:rPr>
        <w:t>y</w:t>
      </w:r>
      <w:r w:rsidRPr="00136316">
        <w:t xml:space="preserve"> refers to the country classification based on the questionnaire.</w:t>
      </w:r>
    </w:p>
    <w:p w14:paraId="2B147471" w14:textId="77777777" w:rsidR="00102539" w:rsidRPr="00BA7B2E" w:rsidRDefault="00102539" w:rsidP="00E75A2B">
      <w:pPr>
        <w:autoSpaceDE w:val="0"/>
        <w:autoSpaceDN w:val="0"/>
        <w:adjustRightInd w:val="0"/>
        <w:spacing w:after="200" w:line="276" w:lineRule="auto"/>
        <w:jc w:val="both"/>
        <w:rPr>
          <w:sz w:val="23"/>
          <w:szCs w:val="23"/>
        </w:rPr>
      </w:pPr>
    </w:p>
    <w:p w14:paraId="4AC3E253" w14:textId="77777777" w:rsidR="005A6EB1" w:rsidRPr="00BA7B2E" w:rsidRDefault="005A6EB1" w:rsidP="00B179B1">
      <w:pPr>
        <w:pStyle w:val="MSubHeader"/>
      </w:pPr>
      <w:r w:rsidRPr="00BA7B2E">
        <w:t xml:space="preserve">Treatment of missing values: </w:t>
      </w:r>
    </w:p>
    <w:p w14:paraId="57CE6ABC" w14:textId="77777777" w:rsidR="005A6EB1" w:rsidRDefault="00DB11E6" w:rsidP="00E75A2B">
      <w:pPr>
        <w:pStyle w:val="ListParagraph"/>
        <w:numPr>
          <w:ilvl w:val="0"/>
          <w:numId w:val="2"/>
        </w:numPr>
        <w:autoSpaceDE w:val="0"/>
        <w:autoSpaceDN w:val="0"/>
        <w:adjustRightInd w:val="0"/>
        <w:spacing w:after="200" w:line="276" w:lineRule="auto"/>
        <w:jc w:val="both"/>
        <w:rPr>
          <w:color w:val="0070C0"/>
          <w:sz w:val="23"/>
          <w:szCs w:val="23"/>
        </w:rPr>
      </w:pPr>
      <w:r>
        <w:rPr>
          <w:color w:val="0070C0"/>
          <w:sz w:val="23"/>
          <w:szCs w:val="23"/>
        </w:rPr>
        <w:t>At country level</w:t>
      </w:r>
    </w:p>
    <w:p w14:paraId="24E18D4F" w14:textId="77777777" w:rsidR="00DB11E6" w:rsidRPr="00DB11E6" w:rsidRDefault="00DB11E6" w:rsidP="00B179B1">
      <w:pPr>
        <w:pStyle w:val="MText"/>
        <w:ind w:left="720"/>
      </w:pPr>
      <w:r w:rsidRPr="00DB11E6">
        <w:t>Not Imputed</w:t>
      </w:r>
    </w:p>
    <w:p w14:paraId="4681D1CF" w14:textId="77777777" w:rsidR="005A6EB1" w:rsidRPr="00BA7B2E" w:rsidRDefault="005A6EB1" w:rsidP="00E75A2B">
      <w:pPr>
        <w:pStyle w:val="ListParagraph"/>
        <w:numPr>
          <w:ilvl w:val="0"/>
          <w:numId w:val="2"/>
        </w:numPr>
        <w:autoSpaceDE w:val="0"/>
        <w:autoSpaceDN w:val="0"/>
        <w:adjustRightInd w:val="0"/>
        <w:spacing w:after="200" w:line="276" w:lineRule="auto"/>
        <w:jc w:val="both"/>
        <w:rPr>
          <w:color w:val="0070C0"/>
          <w:sz w:val="23"/>
          <w:szCs w:val="23"/>
        </w:rPr>
      </w:pPr>
      <w:r w:rsidRPr="00BA7B2E">
        <w:rPr>
          <w:color w:val="0070C0"/>
          <w:sz w:val="23"/>
          <w:szCs w:val="23"/>
        </w:rPr>
        <w:t>At regional and global levels</w:t>
      </w:r>
    </w:p>
    <w:p w14:paraId="7D5ADA6C" w14:textId="77777777" w:rsidR="005A6EB1" w:rsidRPr="000C61AB" w:rsidRDefault="00DB11E6" w:rsidP="00B179B1">
      <w:pPr>
        <w:pStyle w:val="MText"/>
        <w:ind w:firstLine="720"/>
        <w:rPr>
          <w:sz w:val="23"/>
          <w:szCs w:val="23"/>
        </w:rPr>
      </w:pPr>
      <w:r w:rsidRPr="00DB11E6">
        <w:t>Not Imputed</w:t>
      </w:r>
    </w:p>
    <w:p w14:paraId="36AAC04A" w14:textId="77777777" w:rsidR="00B179B1" w:rsidRDefault="00B179B1" w:rsidP="00B179B1">
      <w:pPr>
        <w:pStyle w:val="MSubHeader"/>
      </w:pPr>
    </w:p>
    <w:p w14:paraId="6D078DE1" w14:textId="4FF64B12" w:rsidR="000C61AB" w:rsidRPr="00BA7B2E" w:rsidRDefault="000C61AB" w:rsidP="00B179B1">
      <w:pPr>
        <w:pStyle w:val="MSubHeader"/>
      </w:pPr>
      <w:r w:rsidRPr="00BA7B2E">
        <w:t>Sources of discrepancies:</w:t>
      </w:r>
    </w:p>
    <w:p w14:paraId="55DAEE78" w14:textId="77777777" w:rsidR="000C61AB" w:rsidRDefault="00DB11E6" w:rsidP="00B179B1">
      <w:pPr>
        <w:pStyle w:val="MText"/>
      </w:pPr>
      <w:r w:rsidRPr="00DB11E6">
        <w:t xml:space="preserve">Since data </w:t>
      </w:r>
      <w:r>
        <w:t xml:space="preserve">is </w:t>
      </w:r>
      <w:r w:rsidRPr="00DB11E6">
        <w:t>reported by countries</w:t>
      </w:r>
      <w:r>
        <w:t xml:space="preserve"> via a </w:t>
      </w:r>
      <w:r w:rsidR="00EA669B">
        <w:t xml:space="preserve">validated </w:t>
      </w:r>
      <w:r>
        <w:t>questionnaire</w:t>
      </w:r>
      <w:r w:rsidRPr="00DB11E6">
        <w:t xml:space="preserve">, there should be no </w:t>
      </w:r>
      <w:r>
        <w:t>discrepancies</w:t>
      </w:r>
      <w:r w:rsidRPr="00DB11E6">
        <w:t>.</w:t>
      </w:r>
    </w:p>
    <w:p w14:paraId="5AAEF881" w14:textId="77777777" w:rsidR="00B179B1" w:rsidRPr="00B179B1" w:rsidRDefault="00B179B1" w:rsidP="00B179B1">
      <w:pPr>
        <w:pStyle w:val="MHeader"/>
        <w:rPr>
          <w:sz w:val="16"/>
          <w:szCs w:val="16"/>
        </w:rPr>
      </w:pPr>
    </w:p>
    <w:p w14:paraId="4AFB43A4" w14:textId="2854DCFF" w:rsidR="005A6EB1" w:rsidRPr="00BA7B2E" w:rsidRDefault="005A6EB1" w:rsidP="00B179B1">
      <w:pPr>
        <w:pStyle w:val="MHeader"/>
      </w:pPr>
      <w:r w:rsidRPr="00BA7B2E">
        <w:t>Data sources</w:t>
      </w:r>
    </w:p>
    <w:p w14:paraId="245EC073" w14:textId="77777777" w:rsidR="005A6EB1" w:rsidRDefault="005A6EB1" w:rsidP="00E75A2B">
      <w:pPr>
        <w:autoSpaceDE w:val="0"/>
        <w:autoSpaceDN w:val="0"/>
        <w:adjustRightInd w:val="0"/>
        <w:spacing w:after="0" w:line="276" w:lineRule="auto"/>
        <w:jc w:val="both"/>
        <w:rPr>
          <w:rFonts w:cstheme="minorHAnsi"/>
          <w:b/>
          <w:bCs/>
          <w:color w:val="000000"/>
        </w:rPr>
      </w:pPr>
    </w:p>
    <w:p w14:paraId="6209B565" w14:textId="77777777" w:rsidR="005A6EB1" w:rsidRPr="00BA7B2E" w:rsidRDefault="005A6EB1" w:rsidP="00B179B1">
      <w:pPr>
        <w:pStyle w:val="MSubHeader"/>
      </w:pPr>
      <w:r w:rsidRPr="00BA7B2E">
        <w:t>Description:</w:t>
      </w:r>
    </w:p>
    <w:p w14:paraId="31AD44F7" w14:textId="77777777" w:rsidR="00B179B1" w:rsidRDefault="00D75AB4" w:rsidP="00B179B1">
      <w:pPr>
        <w:pStyle w:val="MText"/>
      </w:pPr>
      <w:r w:rsidRPr="00D75AB4">
        <w:t xml:space="preserve">An electronic questionnaire with accompanying monitoring guidance will be used </w:t>
      </w:r>
      <w:r w:rsidR="00C219C7" w:rsidRPr="00D75AB4">
        <w:t>to collect data on this indicator.</w:t>
      </w:r>
    </w:p>
    <w:p w14:paraId="2980D7AF" w14:textId="33A08F7C" w:rsidR="00C219C7" w:rsidRPr="00C219C7" w:rsidRDefault="00C219C7" w:rsidP="00E75A2B">
      <w:pPr>
        <w:autoSpaceDE w:val="0"/>
        <w:autoSpaceDN w:val="0"/>
        <w:adjustRightInd w:val="0"/>
        <w:spacing w:after="0" w:line="276" w:lineRule="auto"/>
        <w:jc w:val="both"/>
        <w:rPr>
          <w:rFonts w:cstheme="minorHAnsi"/>
        </w:rPr>
      </w:pPr>
      <w:r w:rsidRPr="00D75AB4">
        <w:rPr>
          <w:rFonts w:cstheme="minorHAnsi"/>
        </w:rPr>
        <w:t xml:space="preserve"> </w:t>
      </w:r>
    </w:p>
    <w:p w14:paraId="5E4D207F" w14:textId="77777777" w:rsidR="005A6EB1" w:rsidRDefault="005A6EB1" w:rsidP="00B179B1">
      <w:pPr>
        <w:pStyle w:val="MSubHeader"/>
      </w:pPr>
      <w:r w:rsidRPr="00BA7B2E">
        <w:t>Collection process</w:t>
      </w:r>
      <w:r w:rsidR="00A350E3" w:rsidRPr="00BA7B2E">
        <w:t>:</w:t>
      </w:r>
    </w:p>
    <w:p w14:paraId="4FE48605" w14:textId="77777777" w:rsidR="004108C5" w:rsidRDefault="00044C59" w:rsidP="00B179B1">
      <w:pPr>
        <w:pStyle w:val="MText"/>
      </w:pPr>
      <w:r>
        <w:t>It is envisaged that data collection will be</w:t>
      </w:r>
      <w:r w:rsidR="004108C5">
        <w:t xml:space="preserve"> undertaken as part of the country-level monitoring of effective development cooperation (SDG 17.16.1) where the Global Partnership monitoring framework provides a useful platform and mechanism. The Global Partnership monitoring is led by national coordinators appointed by their respective government to coordinate data collection and validation across relevant government ministries, departments and agencies. </w:t>
      </w:r>
    </w:p>
    <w:p w14:paraId="0CF65E83" w14:textId="77777777" w:rsidR="004108C5" w:rsidRDefault="004108C5" w:rsidP="00B179B1">
      <w:pPr>
        <w:pStyle w:val="MText"/>
      </w:pPr>
    </w:p>
    <w:p w14:paraId="62948242" w14:textId="4FFC82EF" w:rsidR="004108C5" w:rsidRDefault="004108C5" w:rsidP="00B179B1">
      <w:pPr>
        <w:pStyle w:val="MText"/>
      </w:pPr>
      <w:r>
        <w:t xml:space="preserve">For </w:t>
      </w:r>
      <w:r w:rsidR="00044C59">
        <w:t>this indicator</w:t>
      </w:r>
      <w:r>
        <w:t xml:space="preserve">, the national coordinator will liaise with the Ministry of Finance, Ministry of Women and other relevant ministries to </w:t>
      </w:r>
      <w:r w:rsidR="006A2990">
        <w:t>complete the</w:t>
      </w:r>
      <w:r>
        <w:t xml:space="preserve"> questionnaire. UN Women country office focal points will be available for support. With the GPEDC monitoring process generally launched early in the year, national coordinators will have until the end of the year to complete the data collection and validation at country level before submission to the JST for consolidation and analysis. </w:t>
      </w:r>
    </w:p>
    <w:p w14:paraId="2537EFE8" w14:textId="77777777" w:rsidR="00B179B1" w:rsidRDefault="00B179B1" w:rsidP="00E75A2B">
      <w:pPr>
        <w:spacing w:after="0" w:line="276" w:lineRule="auto"/>
        <w:jc w:val="both"/>
        <w:rPr>
          <w:rFonts w:cstheme="minorHAnsi"/>
          <w:lang w:val="en-GB"/>
        </w:rPr>
      </w:pPr>
    </w:p>
    <w:p w14:paraId="5C5B6FB9" w14:textId="77777777" w:rsidR="005A6EB1" w:rsidRDefault="005A6EB1" w:rsidP="00B179B1">
      <w:pPr>
        <w:pStyle w:val="MHeader"/>
      </w:pPr>
      <w:r>
        <w:t>Data availability</w:t>
      </w:r>
    </w:p>
    <w:p w14:paraId="3AD9FE79" w14:textId="77777777" w:rsidR="005A6EB1" w:rsidRDefault="005A6EB1" w:rsidP="00E75A2B">
      <w:pPr>
        <w:autoSpaceDE w:val="0"/>
        <w:autoSpaceDN w:val="0"/>
        <w:adjustRightInd w:val="0"/>
        <w:spacing w:after="0" w:line="276" w:lineRule="auto"/>
        <w:rPr>
          <w:rFonts w:cstheme="minorHAnsi"/>
        </w:rPr>
      </w:pPr>
    </w:p>
    <w:p w14:paraId="580441DF" w14:textId="77777777" w:rsidR="000C61AB" w:rsidRPr="00BA7B2E" w:rsidRDefault="000C61AB" w:rsidP="00B179B1">
      <w:pPr>
        <w:pStyle w:val="MSubHeader"/>
      </w:pPr>
      <w:r w:rsidRPr="00BA7B2E">
        <w:t>Description:</w:t>
      </w:r>
    </w:p>
    <w:p w14:paraId="173A3BF0" w14:textId="77777777" w:rsidR="000A1853" w:rsidRDefault="00352FF0" w:rsidP="00B179B1">
      <w:pPr>
        <w:pStyle w:val="MText"/>
      </w:pPr>
      <w:r>
        <w:t xml:space="preserve">As identified in the </w:t>
      </w:r>
      <w:r w:rsidR="00827E3C">
        <w:t>p</w:t>
      </w:r>
      <w:r>
        <w:t>ilot</w:t>
      </w:r>
      <w:r w:rsidR="00827E3C">
        <w:t xml:space="preserve"> exercise</w:t>
      </w:r>
      <w:r>
        <w:t xml:space="preserve"> </w:t>
      </w:r>
      <w:r w:rsidR="00827E3C">
        <w:t>for</w:t>
      </w:r>
      <w:r>
        <w:t xml:space="preserve"> Indicator 5.c.1, the information that is collected </w:t>
      </w:r>
      <w:r w:rsidR="00827E3C">
        <w:t>through administering the</w:t>
      </w:r>
      <w:r>
        <w:t xml:space="preserve"> questionnaire is readily available by Ministries of Finance and/or Budget Offices.</w:t>
      </w:r>
    </w:p>
    <w:p w14:paraId="301A34CA" w14:textId="77777777" w:rsidR="000C61AB" w:rsidRDefault="000C61AB" w:rsidP="00E75A2B">
      <w:pPr>
        <w:autoSpaceDE w:val="0"/>
        <w:autoSpaceDN w:val="0"/>
        <w:adjustRightInd w:val="0"/>
        <w:spacing w:after="0" w:line="276" w:lineRule="auto"/>
        <w:rPr>
          <w:rFonts w:cstheme="minorHAnsi"/>
          <w:sz w:val="23"/>
          <w:szCs w:val="23"/>
        </w:rPr>
      </w:pPr>
    </w:p>
    <w:p w14:paraId="7867F19C" w14:textId="77777777" w:rsidR="005A6EB1" w:rsidRPr="009606EF" w:rsidRDefault="005A6EB1" w:rsidP="00B179B1">
      <w:pPr>
        <w:pStyle w:val="MHeader"/>
      </w:pPr>
      <w:r w:rsidRPr="009606EF">
        <w:t>Calendar</w:t>
      </w:r>
    </w:p>
    <w:p w14:paraId="46ACF1C5" w14:textId="77777777" w:rsidR="005A6EB1" w:rsidRDefault="005A6EB1" w:rsidP="00E75A2B">
      <w:pPr>
        <w:autoSpaceDE w:val="0"/>
        <w:autoSpaceDN w:val="0"/>
        <w:adjustRightInd w:val="0"/>
        <w:spacing w:after="0" w:line="276" w:lineRule="auto"/>
        <w:rPr>
          <w:rFonts w:cstheme="minorHAnsi"/>
        </w:rPr>
      </w:pPr>
    </w:p>
    <w:p w14:paraId="73C3F565" w14:textId="77777777" w:rsidR="005A6EB1" w:rsidRPr="00BA7B2E" w:rsidRDefault="005E208A" w:rsidP="00B179B1">
      <w:pPr>
        <w:pStyle w:val="MSubHeader"/>
      </w:pPr>
      <w:r w:rsidRPr="00BA7B2E">
        <w:t>Data collection:</w:t>
      </w:r>
    </w:p>
    <w:p w14:paraId="7ACB958E" w14:textId="77777777" w:rsidR="0011497B" w:rsidRDefault="00CB7865" w:rsidP="00B179B1">
      <w:pPr>
        <w:pStyle w:val="MText"/>
      </w:pPr>
      <w:bookmarkStart w:id="1" w:name="_GoBack"/>
      <w:bookmarkEnd w:id="1"/>
      <w:r>
        <w:t>First quarter of</w:t>
      </w:r>
      <w:r w:rsidR="0011497B">
        <w:t xml:space="preserve"> 2018</w:t>
      </w:r>
    </w:p>
    <w:p w14:paraId="6F3571B4" w14:textId="77777777" w:rsidR="005E208A" w:rsidRDefault="005E208A" w:rsidP="00E75A2B">
      <w:pPr>
        <w:autoSpaceDE w:val="0"/>
        <w:autoSpaceDN w:val="0"/>
        <w:adjustRightInd w:val="0"/>
        <w:spacing w:after="0" w:line="276" w:lineRule="auto"/>
        <w:rPr>
          <w:rFonts w:cstheme="minorHAnsi"/>
        </w:rPr>
      </w:pPr>
    </w:p>
    <w:p w14:paraId="7057EFD0" w14:textId="77777777" w:rsidR="00C219C7" w:rsidRDefault="005E208A" w:rsidP="00B179B1">
      <w:pPr>
        <w:pStyle w:val="MSubHeader"/>
        <w:rPr>
          <w:sz w:val="23"/>
          <w:szCs w:val="23"/>
        </w:rPr>
      </w:pPr>
      <w:r w:rsidRPr="00BA7B2E">
        <w:t>Data release:</w:t>
      </w:r>
      <w:r w:rsidR="00C219C7" w:rsidRPr="00C219C7">
        <w:rPr>
          <w:sz w:val="23"/>
          <w:szCs w:val="23"/>
        </w:rPr>
        <w:t xml:space="preserve"> </w:t>
      </w:r>
    </w:p>
    <w:p w14:paraId="779D1366" w14:textId="766C2BC1" w:rsidR="005E208A" w:rsidRDefault="00307AC4" w:rsidP="00B179B1">
      <w:pPr>
        <w:pStyle w:val="MText"/>
      </w:pPr>
      <w:r>
        <w:t xml:space="preserve">Fourth </w:t>
      </w:r>
      <w:r w:rsidR="0011497B">
        <w:t>quarter of 2018</w:t>
      </w:r>
    </w:p>
    <w:p w14:paraId="2ED77523" w14:textId="77777777" w:rsidR="00B179B1" w:rsidRDefault="00B179B1" w:rsidP="00E75A2B">
      <w:pPr>
        <w:autoSpaceDE w:val="0"/>
        <w:autoSpaceDN w:val="0"/>
        <w:adjustRightInd w:val="0"/>
        <w:spacing w:after="0" w:line="276" w:lineRule="auto"/>
        <w:rPr>
          <w:sz w:val="23"/>
          <w:szCs w:val="23"/>
        </w:rPr>
      </w:pPr>
    </w:p>
    <w:p w14:paraId="5FFE28C3" w14:textId="77777777" w:rsidR="005A6EB1" w:rsidRPr="009606EF" w:rsidRDefault="005A6EB1" w:rsidP="00B179B1">
      <w:pPr>
        <w:pStyle w:val="MHeader"/>
      </w:pPr>
      <w:r w:rsidRPr="009606EF">
        <w:t>Data providers</w:t>
      </w:r>
    </w:p>
    <w:p w14:paraId="346EB2A8" w14:textId="77777777" w:rsidR="005A6EB1" w:rsidRDefault="005A6EB1" w:rsidP="00E75A2B">
      <w:pPr>
        <w:autoSpaceDE w:val="0"/>
        <w:autoSpaceDN w:val="0"/>
        <w:adjustRightInd w:val="0"/>
        <w:spacing w:after="0" w:line="276" w:lineRule="auto"/>
        <w:rPr>
          <w:rFonts w:cstheme="minorHAnsi"/>
        </w:rPr>
      </w:pPr>
    </w:p>
    <w:p w14:paraId="15C8AD80" w14:textId="358C50F3" w:rsidR="005A6EB1" w:rsidRDefault="00C219C7" w:rsidP="00B179B1">
      <w:pPr>
        <w:pStyle w:val="MText"/>
      </w:pPr>
      <w:r w:rsidRPr="00C219C7">
        <w:t xml:space="preserve">Response to questionnaire completed by Ministries of Finance—as part of national statistical systems—or Budget Office in coordination with </w:t>
      </w:r>
      <w:r>
        <w:t xml:space="preserve">National Statistical Offices and </w:t>
      </w:r>
      <w:r w:rsidRPr="00C219C7">
        <w:t>relevant sectoral ministries and national women’s machineries.</w:t>
      </w:r>
    </w:p>
    <w:p w14:paraId="630A46C7" w14:textId="77777777" w:rsidR="00B179B1" w:rsidRPr="00BA7B2E" w:rsidRDefault="00B179B1" w:rsidP="00E75A2B">
      <w:pPr>
        <w:autoSpaceDE w:val="0"/>
        <w:autoSpaceDN w:val="0"/>
        <w:adjustRightInd w:val="0"/>
        <w:spacing w:after="0" w:line="276" w:lineRule="auto"/>
        <w:rPr>
          <w:rFonts w:cstheme="minorHAnsi"/>
          <w:sz w:val="23"/>
          <w:szCs w:val="23"/>
        </w:rPr>
      </w:pPr>
    </w:p>
    <w:p w14:paraId="4EB4D281" w14:textId="77777777" w:rsidR="005A6EB1" w:rsidRPr="009606EF" w:rsidRDefault="005A6EB1" w:rsidP="00B179B1">
      <w:pPr>
        <w:pStyle w:val="MHeader"/>
      </w:pPr>
      <w:r w:rsidRPr="009606EF">
        <w:t>Data compilers</w:t>
      </w:r>
    </w:p>
    <w:p w14:paraId="09FC71E3" w14:textId="77777777" w:rsidR="005A6EB1" w:rsidRPr="003616F0" w:rsidRDefault="005A6EB1" w:rsidP="00E75A2B">
      <w:pPr>
        <w:autoSpaceDE w:val="0"/>
        <w:autoSpaceDN w:val="0"/>
        <w:adjustRightInd w:val="0"/>
        <w:spacing w:after="0" w:line="276" w:lineRule="auto"/>
        <w:rPr>
          <w:rFonts w:cstheme="minorHAnsi"/>
        </w:rPr>
      </w:pPr>
    </w:p>
    <w:p w14:paraId="34A9CED5" w14:textId="0923FD3B" w:rsidR="005A6EB1" w:rsidRDefault="00C219C7" w:rsidP="00B179B1">
      <w:pPr>
        <w:pStyle w:val="MText"/>
      </w:pPr>
      <w:r w:rsidRPr="00BA7B2E">
        <w:t xml:space="preserve">UN Women </w:t>
      </w:r>
      <w:r>
        <w:t>and the UNDP-OECD joint support team.</w:t>
      </w:r>
    </w:p>
    <w:p w14:paraId="44B682D2" w14:textId="77777777" w:rsidR="00B179B1" w:rsidRDefault="00B179B1" w:rsidP="00E75A2B">
      <w:pPr>
        <w:autoSpaceDE w:val="0"/>
        <w:autoSpaceDN w:val="0"/>
        <w:adjustRightInd w:val="0"/>
        <w:spacing w:after="0" w:line="276" w:lineRule="auto"/>
        <w:rPr>
          <w:rFonts w:cstheme="minorHAnsi"/>
        </w:rPr>
      </w:pPr>
    </w:p>
    <w:p w14:paraId="06A3B4AB" w14:textId="77777777" w:rsidR="000C61AB" w:rsidRPr="000C61AB" w:rsidRDefault="000C61AB" w:rsidP="00B179B1">
      <w:pPr>
        <w:pStyle w:val="MHeader"/>
      </w:pPr>
      <w:r w:rsidRPr="000C61AB">
        <w:t>References</w:t>
      </w:r>
    </w:p>
    <w:p w14:paraId="5156B726" w14:textId="77777777" w:rsidR="004D4F71" w:rsidRDefault="004D4F71" w:rsidP="00E75A2B">
      <w:pPr>
        <w:autoSpaceDE w:val="0"/>
        <w:autoSpaceDN w:val="0"/>
        <w:adjustRightInd w:val="0"/>
        <w:spacing w:after="0" w:line="276" w:lineRule="auto"/>
        <w:rPr>
          <w:rFonts w:cstheme="minorHAnsi"/>
        </w:rPr>
      </w:pPr>
    </w:p>
    <w:p w14:paraId="06BCFB09" w14:textId="77777777" w:rsidR="004D4F71" w:rsidRPr="009163E2" w:rsidRDefault="004D4F71" w:rsidP="00B179B1">
      <w:pPr>
        <w:pStyle w:val="MText"/>
      </w:pPr>
      <w:r w:rsidRPr="009163E2">
        <w:t xml:space="preserve">Information on the Global Partnership for Effective Development Corporation can be found here: </w:t>
      </w:r>
      <w:hyperlink r:id="rId8" w:history="1">
        <w:r w:rsidRPr="009163E2">
          <w:rPr>
            <w:rStyle w:val="Hyperlink"/>
            <w:rFonts w:cstheme="minorHAnsi"/>
            <w:sz w:val="23"/>
            <w:szCs w:val="23"/>
          </w:rPr>
          <w:t>http://effectivecooperation.org/about/global-monitoring-framework/</w:t>
        </w:r>
      </w:hyperlink>
    </w:p>
    <w:p w14:paraId="1AF72DA9" w14:textId="77777777" w:rsidR="004D4F71" w:rsidRPr="009163E2" w:rsidRDefault="004D4F71" w:rsidP="00B179B1">
      <w:pPr>
        <w:pStyle w:val="MText"/>
      </w:pPr>
    </w:p>
    <w:p w14:paraId="179F7860" w14:textId="77777777" w:rsidR="004D4F71" w:rsidRPr="009163E2" w:rsidRDefault="004D4F71" w:rsidP="00B179B1">
      <w:pPr>
        <w:pStyle w:val="MText"/>
      </w:pPr>
      <w:r w:rsidRPr="009163E2">
        <w:t xml:space="preserve">Other useful technical materials on how to incorporate gender equality in to public finance management systems can be found here: </w:t>
      </w:r>
      <w:hyperlink r:id="rId9" w:history="1">
        <w:r w:rsidRPr="009163E2">
          <w:rPr>
            <w:rStyle w:val="Hyperlink"/>
            <w:rFonts w:cstheme="minorHAnsi"/>
            <w:sz w:val="23"/>
            <w:szCs w:val="23"/>
          </w:rPr>
          <w:t>http://gender-financing.unwomen.org/en</w:t>
        </w:r>
      </w:hyperlink>
    </w:p>
    <w:p w14:paraId="322257E7" w14:textId="77777777" w:rsidR="00B179B1" w:rsidRDefault="00B179B1" w:rsidP="00B179B1">
      <w:pPr>
        <w:pStyle w:val="MText"/>
      </w:pPr>
    </w:p>
    <w:p w14:paraId="5BD9B565" w14:textId="2488E0BC" w:rsidR="004D4F71" w:rsidRPr="009163E2" w:rsidRDefault="004D4F71" w:rsidP="00B179B1">
      <w:pPr>
        <w:pStyle w:val="MText"/>
      </w:pPr>
      <w:r w:rsidRPr="009163E2">
        <w:t xml:space="preserve">IMF research on gender responsive budgeting and tracking systems: </w:t>
      </w:r>
      <w:hyperlink r:id="rId10" w:history="1">
        <w:r w:rsidRPr="009163E2">
          <w:rPr>
            <w:rStyle w:val="Hyperlink"/>
            <w:rFonts w:cstheme="minorHAnsi"/>
            <w:sz w:val="23"/>
            <w:szCs w:val="23"/>
          </w:rPr>
          <w:t>https://www.imf.org/external/np/res/dfidimf/topic7.htm</w:t>
        </w:r>
      </w:hyperlink>
      <w:r w:rsidRPr="009163E2">
        <w:t xml:space="preserve"> </w:t>
      </w:r>
    </w:p>
    <w:p w14:paraId="4A10B836" w14:textId="77777777" w:rsidR="004D4F71" w:rsidRPr="009163E2" w:rsidRDefault="00DF6DDE" w:rsidP="00B179B1">
      <w:pPr>
        <w:pStyle w:val="MText"/>
      </w:pPr>
      <w:hyperlink r:id="rId11" w:history="1">
        <w:r w:rsidR="004D4F71" w:rsidRPr="009163E2">
          <w:rPr>
            <w:rStyle w:val="Hyperlink"/>
            <w:rFonts w:cstheme="minorHAnsi"/>
            <w:sz w:val="23"/>
            <w:szCs w:val="23"/>
          </w:rPr>
          <w:t>https://www.imf.org/external/pubs/ft/wp/2016/wp16149.pdf</w:t>
        </w:r>
      </w:hyperlink>
    </w:p>
    <w:p w14:paraId="7E77C542" w14:textId="77777777" w:rsidR="004D4F71" w:rsidRPr="009163E2" w:rsidRDefault="004D4F71" w:rsidP="00B179B1">
      <w:pPr>
        <w:pStyle w:val="MText"/>
      </w:pPr>
    </w:p>
    <w:p w14:paraId="53D7666B" w14:textId="77777777" w:rsidR="004D4F71" w:rsidRPr="009163E2" w:rsidRDefault="004D4F71" w:rsidP="00B179B1">
      <w:pPr>
        <w:pStyle w:val="MText"/>
      </w:pPr>
      <w:r w:rsidRPr="009163E2">
        <w:t>Gender budgeting and tracking in OECD countries:</w:t>
      </w:r>
    </w:p>
    <w:p w14:paraId="0980F103" w14:textId="77777777" w:rsidR="004D4F71" w:rsidRPr="009163E2" w:rsidRDefault="00DF6DDE" w:rsidP="00B179B1">
      <w:pPr>
        <w:pStyle w:val="MText"/>
      </w:pPr>
      <w:hyperlink r:id="rId12" w:history="1">
        <w:r w:rsidR="004D4F71" w:rsidRPr="009163E2">
          <w:rPr>
            <w:rStyle w:val="Hyperlink"/>
            <w:rFonts w:cstheme="minorHAnsi"/>
            <w:sz w:val="23"/>
            <w:szCs w:val="23"/>
          </w:rPr>
          <w:t>https://www.imf.org/external/pubs/ft/wp/2016/wp16149.pdf</w:t>
        </w:r>
      </w:hyperlink>
    </w:p>
    <w:p w14:paraId="32AAC746" w14:textId="77777777" w:rsidR="004D4F71" w:rsidRPr="009163E2" w:rsidRDefault="00DF6DDE" w:rsidP="00B179B1">
      <w:pPr>
        <w:pStyle w:val="MText"/>
      </w:pPr>
      <w:hyperlink r:id="rId13" w:history="1">
        <w:r w:rsidR="004D4F71" w:rsidRPr="009163E2">
          <w:rPr>
            <w:rStyle w:val="Hyperlink"/>
            <w:rFonts w:cstheme="minorHAnsi"/>
            <w:sz w:val="23"/>
            <w:szCs w:val="23"/>
          </w:rPr>
          <w:t>https://www.oecd.org/gender/Gender-Budgeting-in-OECD-countries.pdf</w:t>
        </w:r>
      </w:hyperlink>
    </w:p>
    <w:p w14:paraId="5CAB9155" w14:textId="77777777" w:rsidR="004D4F71" w:rsidRPr="009163E2" w:rsidRDefault="004D4F71" w:rsidP="00B179B1">
      <w:pPr>
        <w:pStyle w:val="MText"/>
      </w:pPr>
    </w:p>
    <w:p w14:paraId="3CF35FF7" w14:textId="77777777" w:rsidR="00B377AE" w:rsidRPr="009163E2" w:rsidRDefault="004D4F71" w:rsidP="00B179B1">
      <w:pPr>
        <w:pStyle w:val="MText"/>
      </w:pPr>
      <w:r w:rsidRPr="009163E2">
        <w:lastRenderedPageBreak/>
        <w:t xml:space="preserve">Information on the Public Expenditure and Financial Accountability (PEFA) Program which provides guidance on assessment of public finance management systems can be found here: </w:t>
      </w:r>
      <w:hyperlink r:id="rId14" w:history="1">
        <w:r w:rsidRPr="009163E2">
          <w:rPr>
            <w:rStyle w:val="Hyperlink"/>
            <w:rFonts w:cstheme="minorHAnsi"/>
            <w:sz w:val="23"/>
            <w:szCs w:val="23"/>
          </w:rPr>
          <w:t>http://www.pefa.org/en</w:t>
        </w:r>
      </w:hyperlink>
    </w:p>
    <w:sectPr w:rsidR="00B377AE" w:rsidRPr="009163E2" w:rsidSect="00C205CB">
      <w:headerReference w:type="default" r:id="rId15"/>
      <w:footerReference w:type="default" r:id="rId16"/>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0B463" w14:textId="77777777" w:rsidR="00E810EB" w:rsidRDefault="00E810EB" w:rsidP="00102539">
      <w:pPr>
        <w:spacing w:after="0" w:line="240" w:lineRule="auto"/>
      </w:pPr>
      <w:r>
        <w:separator/>
      </w:r>
    </w:p>
  </w:endnote>
  <w:endnote w:type="continuationSeparator" w:id="0">
    <w:p w14:paraId="55A4FA05" w14:textId="77777777" w:rsidR="00E810EB" w:rsidRDefault="00E810EB" w:rsidP="0010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7498671"/>
      <w:docPartObj>
        <w:docPartGallery w:val="Page Numbers (Bottom of Page)"/>
        <w:docPartUnique/>
      </w:docPartObj>
    </w:sdtPr>
    <w:sdtEndPr>
      <w:rPr>
        <w:noProof/>
      </w:rPr>
    </w:sdtEndPr>
    <w:sdtContent>
      <w:p w14:paraId="1AE2C26C" w14:textId="616917DA" w:rsidR="00B97F91" w:rsidRDefault="00B97F91">
        <w:pPr>
          <w:pStyle w:val="Footer"/>
          <w:jc w:val="center"/>
        </w:pPr>
        <w:r>
          <w:fldChar w:fldCharType="begin"/>
        </w:r>
        <w:r>
          <w:instrText xml:space="preserve"> PAGE   \* MERGEFORMAT </w:instrText>
        </w:r>
        <w:r>
          <w:fldChar w:fldCharType="separate"/>
        </w:r>
        <w:r w:rsidR="00DF6DDE">
          <w:rPr>
            <w:noProof/>
          </w:rPr>
          <w:t>9</w:t>
        </w:r>
        <w:r>
          <w:rPr>
            <w:noProof/>
          </w:rPr>
          <w:fldChar w:fldCharType="end"/>
        </w:r>
      </w:p>
    </w:sdtContent>
  </w:sdt>
  <w:p w14:paraId="61D87585" w14:textId="77777777" w:rsidR="00B97F91" w:rsidRDefault="00B97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D53AE" w14:textId="77777777" w:rsidR="00E810EB" w:rsidRDefault="00E810EB" w:rsidP="00102539">
      <w:pPr>
        <w:spacing w:after="0" w:line="240" w:lineRule="auto"/>
      </w:pPr>
      <w:r>
        <w:separator/>
      </w:r>
    </w:p>
  </w:footnote>
  <w:footnote w:type="continuationSeparator" w:id="0">
    <w:p w14:paraId="1EFA14D0" w14:textId="77777777" w:rsidR="00E810EB" w:rsidRDefault="00E810EB" w:rsidP="00102539">
      <w:pPr>
        <w:spacing w:after="0" w:line="240" w:lineRule="auto"/>
      </w:pPr>
      <w:r>
        <w:continuationSeparator/>
      </w:r>
    </w:p>
  </w:footnote>
  <w:footnote w:id="1">
    <w:p w14:paraId="7DCF1651" w14:textId="77777777" w:rsidR="00D03CF8" w:rsidRDefault="00D03CF8">
      <w:pPr>
        <w:pStyle w:val="FootnoteText"/>
      </w:pPr>
      <w:r>
        <w:rPr>
          <w:rStyle w:val="FootnoteReference"/>
        </w:rPr>
        <w:footnoteRef/>
      </w:r>
      <w:r>
        <w:t xml:space="preserve"> </w:t>
      </w:r>
      <w:r w:rsidR="00D25CD8">
        <w:t>Addis Ababa Action Agenda paragraphs 30 and 53.</w:t>
      </w:r>
    </w:p>
  </w:footnote>
  <w:footnote w:id="2">
    <w:p w14:paraId="0C9827ED" w14:textId="77777777" w:rsidR="004A6939" w:rsidRDefault="004A6939" w:rsidP="004A6939">
      <w:pPr>
        <w:pStyle w:val="FootnoteText"/>
      </w:pPr>
      <w:r>
        <w:rPr>
          <w:rStyle w:val="FootnoteReference"/>
        </w:rPr>
        <w:footnoteRef/>
      </w:r>
      <w:r>
        <w:t xml:space="preserve"> Ibid.</w:t>
      </w:r>
    </w:p>
  </w:footnote>
  <w:footnote w:id="3">
    <w:p w14:paraId="4440645F" w14:textId="77777777" w:rsidR="004A6939" w:rsidRDefault="004A6939" w:rsidP="004A6939">
      <w:pPr>
        <w:pStyle w:val="FootnoteText"/>
      </w:pPr>
      <w:r>
        <w:rPr>
          <w:rStyle w:val="FootnoteReference"/>
        </w:rPr>
        <w:footnoteRef/>
      </w:r>
      <w:r>
        <w:t xml:space="preserve"> “Gender Budgeting in OECD Countries,” OECD, 2016.</w:t>
      </w:r>
    </w:p>
  </w:footnote>
  <w:footnote w:id="4">
    <w:p w14:paraId="75576FF8" w14:textId="77777777" w:rsidR="004A6939" w:rsidRDefault="004A6939" w:rsidP="004A6939">
      <w:pPr>
        <w:pStyle w:val="FootnoteText"/>
      </w:pPr>
      <w:r>
        <w:rPr>
          <w:rStyle w:val="FootnoteReference"/>
        </w:rPr>
        <w:footnoteRef/>
      </w:r>
      <w:r>
        <w:t xml:space="preserve"> Ibid.</w:t>
      </w:r>
    </w:p>
  </w:footnote>
  <w:footnote w:id="5">
    <w:p w14:paraId="366F66AB" w14:textId="77777777" w:rsidR="004A6939" w:rsidRDefault="004A6939" w:rsidP="004A6939">
      <w:pPr>
        <w:pStyle w:val="FootnoteText"/>
      </w:pPr>
      <w:r>
        <w:rPr>
          <w:rStyle w:val="FootnoteReference"/>
        </w:rPr>
        <w:footnoteRef/>
      </w:r>
      <w:r>
        <w:t xml:space="preserve"> “Budget Call Circulars and Gender Budget Statements in the Asia Pacific: A Review,” UN Women, 2015.</w:t>
      </w:r>
    </w:p>
  </w:footnote>
  <w:footnote w:id="6">
    <w:p w14:paraId="6AC28569" w14:textId="77777777" w:rsidR="004A6939" w:rsidRDefault="004A6939" w:rsidP="004A6939">
      <w:pPr>
        <w:pStyle w:val="FootnoteText"/>
      </w:pPr>
      <w:r>
        <w:rPr>
          <w:rStyle w:val="FootnoteReference"/>
        </w:rPr>
        <w:footnoteRef/>
      </w:r>
      <w:r>
        <w:t xml:space="preserve"> “Budget Classification,” IMF, 2009. </w:t>
      </w:r>
    </w:p>
  </w:footnote>
  <w:footnote w:id="7">
    <w:p w14:paraId="4384FE70" w14:textId="77777777" w:rsidR="004A6939" w:rsidRDefault="004A6939" w:rsidP="004A6939">
      <w:pPr>
        <w:pStyle w:val="FootnoteText"/>
      </w:pPr>
      <w:r>
        <w:rPr>
          <w:rStyle w:val="FootnoteReference"/>
        </w:rPr>
        <w:footnoteRef/>
      </w:r>
      <w:r>
        <w:t xml:space="preserve"> Ibid.</w:t>
      </w:r>
    </w:p>
  </w:footnote>
  <w:footnote w:id="8">
    <w:p w14:paraId="6021DABD" w14:textId="77777777" w:rsidR="004A6939" w:rsidRDefault="004A6939" w:rsidP="004A6939">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9849" w14:textId="4BB2953E" w:rsidR="00B179B1" w:rsidRDefault="00B179B1" w:rsidP="00B179B1">
    <w:pPr>
      <w:pStyle w:val="Header"/>
      <w:jc w:val="right"/>
    </w:pPr>
    <w:bookmarkStart w:id="2" w:name="_Hlk505094158"/>
    <w:bookmarkStart w:id="3" w:name="_Hlk505094159"/>
    <w:bookmarkStart w:id="4" w:name="_Hlk505094160"/>
    <w:bookmarkStart w:id="5" w:name="_Hlk505094752"/>
    <w:bookmarkStart w:id="6" w:name="_Hlk505094753"/>
    <w:bookmarkStart w:id="7" w:name="_Hlk505094754"/>
    <w:r w:rsidRPr="00077F46">
      <w:rPr>
        <w:sz w:val="18"/>
        <w:szCs w:val="18"/>
      </w:rPr>
      <w:t xml:space="preserve">Last updated: </w:t>
    </w:r>
    <w:bookmarkEnd w:id="2"/>
    <w:bookmarkEnd w:id="3"/>
    <w:bookmarkEnd w:id="4"/>
    <w:bookmarkEnd w:id="5"/>
    <w:bookmarkEnd w:id="6"/>
    <w:bookmarkEnd w:id="7"/>
    <w:r>
      <w:rPr>
        <w:sz w:val="18"/>
        <w:szCs w:val="18"/>
      </w:rPr>
      <w:t>30 January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8BB"/>
    <w:multiLevelType w:val="hybridMultilevel"/>
    <w:tmpl w:val="3228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4009"/>
    <w:multiLevelType w:val="hybridMultilevel"/>
    <w:tmpl w:val="C592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C00B4"/>
    <w:multiLevelType w:val="hybridMultilevel"/>
    <w:tmpl w:val="1804B560"/>
    <w:lvl w:ilvl="0" w:tplc="A4F82F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571D4"/>
    <w:multiLevelType w:val="hybridMultilevel"/>
    <w:tmpl w:val="5D86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057DC"/>
    <w:multiLevelType w:val="hybridMultilevel"/>
    <w:tmpl w:val="978C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D044E"/>
    <w:multiLevelType w:val="hybridMultilevel"/>
    <w:tmpl w:val="C92EA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2A4A"/>
    <w:multiLevelType w:val="hybridMultilevel"/>
    <w:tmpl w:val="1A50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A5E27"/>
    <w:multiLevelType w:val="hybridMultilevel"/>
    <w:tmpl w:val="0308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6782E"/>
    <w:multiLevelType w:val="hybridMultilevel"/>
    <w:tmpl w:val="7AC4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B6124"/>
    <w:multiLevelType w:val="hybridMultilevel"/>
    <w:tmpl w:val="FB1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C43A2"/>
    <w:multiLevelType w:val="hybridMultilevel"/>
    <w:tmpl w:val="C2DC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47110"/>
    <w:multiLevelType w:val="hybridMultilevel"/>
    <w:tmpl w:val="51E89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A0125"/>
    <w:multiLevelType w:val="hybridMultilevel"/>
    <w:tmpl w:val="1764C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65132"/>
    <w:multiLevelType w:val="hybridMultilevel"/>
    <w:tmpl w:val="5DA63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D1DBA"/>
    <w:multiLevelType w:val="hybridMultilevel"/>
    <w:tmpl w:val="E41A535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B2D98"/>
    <w:multiLevelType w:val="hybridMultilevel"/>
    <w:tmpl w:val="D7CC6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10E71"/>
    <w:multiLevelType w:val="hybridMultilevel"/>
    <w:tmpl w:val="78C21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86912"/>
    <w:multiLevelType w:val="hybridMultilevel"/>
    <w:tmpl w:val="E828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C7EB9"/>
    <w:multiLevelType w:val="hybridMultilevel"/>
    <w:tmpl w:val="C860A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51B85"/>
    <w:multiLevelType w:val="hybridMultilevel"/>
    <w:tmpl w:val="8FFAF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9578F"/>
    <w:multiLevelType w:val="hybridMultilevel"/>
    <w:tmpl w:val="C47C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34D67"/>
    <w:multiLevelType w:val="hybridMultilevel"/>
    <w:tmpl w:val="96688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3"/>
  </w:num>
  <w:num w:numId="4">
    <w:abstractNumId w:val="3"/>
  </w:num>
  <w:num w:numId="5">
    <w:abstractNumId w:val="16"/>
  </w:num>
  <w:num w:numId="6">
    <w:abstractNumId w:val="11"/>
  </w:num>
  <w:num w:numId="7">
    <w:abstractNumId w:val="21"/>
  </w:num>
  <w:num w:numId="8">
    <w:abstractNumId w:val="7"/>
  </w:num>
  <w:num w:numId="9">
    <w:abstractNumId w:val="17"/>
  </w:num>
  <w:num w:numId="10">
    <w:abstractNumId w:val="14"/>
  </w:num>
  <w:num w:numId="11">
    <w:abstractNumId w:val="19"/>
  </w:num>
  <w:num w:numId="12">
    <w:abstractNumId w:val="9"/>
  </w:num>
  <w:num w:numId="13">
    <w:abstractNumId w:val="2"/>
  </w:num>
  <w:num w:numId="14">
    <w:abstractNumId w:val="5"/>
  </w:num>
  <w:num w:numId="15">
    <w:abstractNumId w:val="12"/>
  </w:num>
  <w:num w:numId="16">
    <w:abstractNumId w:val="4"/>
  </w:num>
  <w:num w:numId="17">
    <w:abstractNumId w:val="1"/>
  </w:num>
  <w:num w:numId="18">
    <w:abstractNumId w:val="15"/>
  </w:num>
  <w:num w:numId="19">
    <w:abstractNumId w:val="6"/>
  </w:num>
  <w:num w:numId="20">
    <w:abstractNumId w:val="10"/>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39"/>
    <w:rsid w:val="00010135"/>
    <w:rsid w:val="00023FBC"/>
    <w:rsid w:val="000270DA"/>
    <w:rsid w:val="00034CDD"/>
    <w:rsid w:val="00044C59"/>
    <w:rsid w:val="00082BEA"/>
    <w:rsid w:val="000A1853"/>
    <w:rsid w:val="000A4832"/>
    <w:rsid w:val="000C0BD2"/>
    <w:rsid w:val="000C2C18"/>
    <w:rsid w:val="000C61AB"/>
    <w:rsid w:val="000D34D2"/>
    <w:rsid w:val="000D405F"/>
    <w:rsid w:val="000D62C7"/>
    <w:rsid w:val="00102539"/>
    <w:rsid w:val="00111B06"/>
    <w:rsid w:val="0011497B"/>
    <w:rsid w:val="00123692"/>
    <w:rsid w:val="001772C5"/>
    <w:rsid w:val="001863E4"/>
    <w:rsid w:val="00191735"/>
    <w:rsid w:val="001A3F97"/>
    <w:rsid w:val="001B0712"/>
    <w:rsid w:val="001C05D9"/>
    <w:rsid w:val="001C2DD9"/>
    <w:rsid w:val="001D2B8F"/>
    <w:rsid w:val="0021228D"/>
    <w:rsid w:val="00231654"/>
    <w:rsid w:val="00242BBF"/>
    <w:rsid w:val="00290167"/>
    <w:rsid w:val="00305BEC"/>
    <w:rsid w:val="00307AC4"/>
    <w:rsid w:val="00336903"/>
    <w:rsid w:val="00352FF0"/>
    <w:rsid w:val="003610FB"/>
    <w:rsid w:val="00376A7D"/>
    <w:rsid w:val="003A52A1"/>
    <w:rsid w:val="003A5668"/>
    <w:rsid w:val="003A70E2"/>
    <w:rsid w:val="003C4CDD"/>
    <w:rsid w:val="003C5E93"/>
    <w:rsid w:val="003F5DAE"/>
    <w:rsid w:val="00407EE1"/>
    <w:rsid w:val="004108C5"/>
    <w:rsid w:val="00424D2E"/>
    <w:rsid w:val="0044719B"/>
    <w:rsid w:val="004912CB"/>
    <w:rsid w:val="004A6939"/>
    <w:rsid w:val="004D4F71"/>
    <w:rsid w:val="004D58FB"/>
    <w:rsid w:val="004E6BED"/>
    <w:rsid w:val="005514A4"/>
    <w:rsid w:val="00554CD8"/>
    <w:rsid w:val="00556AF3"/>
    <w:rsid w:val="00562BB8"/>
    <w:rsid w:val="0057395F"/>
    <w:rsid w:val="005A6EB1"/>
    <w:rsid w:val="005B0123"/>
    <w:rsid w:val="005B5C9F"/>
    <w:rsid w:val="005E208A"/>
    <w:rsid w:val="006746B1"/>
    <w:rsid w:val="006A2990"/>
    <w:rsid w:val="006B10E4"/>
    <w:rsid w:val="006D7C95"/>
    <w:rsid w:val="006E270A"/>
    <w:rsid w:val="00707C13"/>
    <w:rsid w:val="00720E72"/>
    <w:rsid w:val="00732521"/>
    <w:rsid w:val="00750155"/>
    <w:rsid w:val="00751C7B"/>
    <w:rsid w:val="007569E4"/>
    <w:rsid w:val="0076434D"/>
    <w:rsid w:val="007729DC"/>
    <w:rsid w:val="007860ED"/>
    <w:rsid w:val="00790A2B"/>
    <w:rsid w:val="007B4E04"/>
    <w:rsid w:val="007C05DB"/>
    <w:rsid w:val="007C1450"/>
    <w:rsid w:val="007C2C2A"/>
    <w:rsid w:val="008075CA"/>
    <w:rsid w:val="00812CF0"/>
    <w:rsid w:val="00827E3C"/>
    <w:rsid w:val="00837506"/>
    <w:rsid w:val="00840960"/>
    <w:rsid w:val="00876178"/>
    <w:rsid w:val="008C58A9"/>
    <w:rsid w:val="008D1FCE"/>
    <w:rsid w:val="009163E2"/>
    <w:rsid w:val="0093661D"/>
    <w:rsid w:val="00944B0F"/>
    <w:rsid w:val="00955172"/>
    <w:rsid w:val="00957260"/>
    <w:rsid w:val="009606EF"/>
    <w:rsid w:val="00987FDE"/>
    <w:rsid w:val="009F33DF"/>
    <w:rsid w:val="00A21741"/>
    <w:rsid w:val="00A350E3"/>
    <w:rsid w:val="00A80A4D"/>
    <w:rsid w:val="00A96AD9"/>
    <w:rsid w:val="00AA3CE9"/>
    <w:rsid w:val="00AA632A"/>
    <w:rsid w:val="00AD4949"/>
    <w:rsid w:val="00AD6D4F"/>
    <w:rsid w:val="00AF1135"/>
    <w:rsid w:val="00AF4CB6"/>
    <w:rsid w:val="00B175F1"/>
    <w:rsid w:val="00B179B1"/>
    <w:rsid w:val="00B26997"/>
    <w:rsid w:val="00B27577"/>
    <w:rsid w:val="00B2762D"/>
    <w:rsid w:val="00B32AC8"/>
    <w:rsid w:val="00B62664"/>
    <w:rsid w:val="00B776C8"/>
    <w:rsid w:val="00B92CF0"/>
    <w:rsid w:val="00B95453"/>
    <w:rsid w:val="00B97F91"/>
    <w:rsid w:val="00BA0EA3"/>
    <w:rsid w:val="00BA7B2E"/>
    <w:rsid w:val="00BE1385"/>
    <w:rsid w:val="00BE7CBA"/>
    <w:rsid w:val="00BF5C62"/>
    <w:rsid w:val="00C0070E"/>
    <w:rsid w:val="00C01F69"/>
    <w:rsid w:val="00C0734F"/>
    <w:rsid w:val="00C205CB"/>
    <w:rsid w:val="00C219C7"/>
    <w:rsid w:val="00C26789"/>
    <w:rsid w:val="00C304A8"/>
    <w:rsid w:val="00C4441F"/>
    <w:rsid w:val="00C60806"/>
    <w:rsid w:val="00C7415C"/>
    <w:rsid w:val="00C91A47"/>
    <w:rsid w:val="00C93381"/>
    <w:rsid w:val="00CA3B2B"/>
    <w:rsid w:val="00CA4618"/>
    <w:rsid w:val="00CB05B6"/>
    <w:rsid w:val="00CB7865"/>
    <w:rsid w:val="00CE43B7"/>
    <w:rsid w:val="00D03CF8"/>
    <w:rsid w:val="00D25123"/>
    <w:rsid w:val="00D25CD8"/>
    <w:rsid w:val="00D3746F"/>
    <w:rsid w:val="00D614EF"/>
    <w:rsid w:val="00D6439B"/>
    <w:rsid w:val="00D71DB4"/>
    <w:rsid w:val="00D75AB4"/>
    <w:rsid w:val="00D83DBE"/>
    <w:rsid w:val="00D9498C"/>
    <w:rsid w:val="00DA1E2D"/>
    <w:rsid w:val="00DA5BC9"/>
    <w:rsid w:val="00DB11E6"/>
    <w:rsid w:val="00DB41D5"/>
    <w:rsid w:val="00DB5D24"/>
    <w:rsid w:val="00DC0AC8"/>
    <w:rsid w:val="00DD578B"/>
    <w:rsid w:val="00DE16CE"/>
    <w:rsid w:val="00DE26EA"/>
    <w:rsid w:val="00DF6DDE"/>
    <w:rsid w:val="00E711E3"/>
    <w:rsid w:val="00E72829"/>
    <w:rsid w:val="00E733D4"/>
    <w:rsid w:val="00E75A2B"/>
    <w:rsid w:val="00E810EB"/>
    <w:rsid w:val="00E90505"/>
    <w:rsid w:val="00EA669B"/>
    <w:rsid w:val="00EC2719"/>
    <w:rsid w:val="00EE71F8"/>
    <w:rsid w:val="00EF1035"/>
    <w:rsid w:val="00EF1D23"/>
    <w:rsid w:val="00EF330A"/>
    <w:rsid w:val="00EF3EF1"/>
    <w:rsid w:val="00F202F7"/>
    <w:rsid w:val="00F422AD"/>
    <w:rsid w:val="00F67B6F"/>
    <w:rsid w:val="00F8125A"/>
    <w:rsid w:val="00F8239A"/>
    <w:rsid w:val="00FA1DEA"/>
    <w:rsid w:val="00FA3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96B316"/>
  <w15:docId w15:val="{6D85A99D-42D0-4FA4-A24A-D0BDAB54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2539"/>
  </w:style>
  <w:style w:type="paragraph" w:styleId="Heading1">
    <w:name w:val="heading 1"/>
    <w:basedOn w:val="Normal"/>
    <w:next w:val="Normal"/>
    <w:link w:val="Heading1Char"/>
    <w:uiPriority w:val="9"/>
    <w:qFormat/>
    <w:rsid w:val="00102539"/>
    <w:pPr>
      <w:keepNext/>
      <w:keepLines/>
      <w:spacing w:before="240" w:after="0"/>
      <w:jc w:val="both"/>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02539"/>
    <w:pPr>
      <w:autoSpaceDE w:val="0"/>
      <w:autoSpaceDN w:val="0"/>
      <w:adjustRightInd w:val="0"/>
      <w:spacing w:after="0" w:line="240" w:lineRule="auto"/>
      <w:jc w:val="both"/>
      <w:outlineLvl w:val="1"/>
    </w:pPr>
    <w:rPr>
      <w:rFonts w:asciiTheme="majorHAnsi" w:hAnsiTheme="majorHAnsi" w:cstheme="majorHAnsi"/>
      <w:bCs/>
      <w:color w:val="1F4E79" w:themeColor="accent1" w:themeShade="8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53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02539"/>
    <w:rPr>
      <w:rFonts w:asciiTheme="majorHAnsi" w:hAnsiTheme="majorHAnsi" w:cstheme="majorHAnsi"/>
      <w:bCs/>
      <w:color w:val="1F4E79" w:themeColor="accent1" w:themeShade="80"/>
      <w:sz w:val="40"/>
      <w:szCs w:val="40"/>
    </w:rPr>
  </w:style>
  <w:style w:type="paragraph" w:styleId="FootnoteText">
    <w:name w:val="footnote text"/>
    <w:aliases w:val="single space Char Char,single space Char,Char,Nbpage Moens,single space,Fußnote,ft,(NECG) Footnote Text,Footnote Text Char Char Char Char Char,Footnote Text Char Char Char Char Char Char,(NECG) Footnote Text Char Char Char Char Char,fn,Car"/>
    <w:basedOn w:val="Normal"/>
    <w:link w:val="FootnoteTextChar"/>
    <w:uiPriority w:val="99"/>
    <w:unhideWhenUsed/>
    <w:rsid w:val="00102539"/>
    <w:pPr>
      <w:spacing w:after="0" w:line="240" w:lineRule="auto"/>
    </w:pPr>
    <w:rPr>
      <w:sz w:val="20"/>
      <w:szCs w:val="20"/>
    </w:rPr>
  </w:style>
  <w:style w:type="character" w:customStyle="1" w:styleId="FootnoteTextChar">
    <w:name w:val="Footnote Text Char"/>
    <w:aliases w:val="single space Char Char Char,single space Char Char1,Char Char,Nbpage Moens Char,single space Char1,Fußnote Char,ft Char,(NECG) Footnote Text Char,Footnote Text Char Char Char Char Char Char1,fn Char,Car Char"/>
    <w:basedOn w:val="DefaultParagraphFont"/>
    <w:link w:val="FootnoteText"/>
    <w:uiPriority w:val="99"/>
    <w:rsid w:val="00102539"/>
    <w:rPr>
      <w:sz w:val="20"/>
      <w:szCs w:val="20"/>
    </w:rPr>
  </w:style>
  <w:style w:type="character" w:styleId="FootnoteReference">
    <w:name w:val="footnote reference"/>
    <w:aliases w:val="ftref,4_G,Ref. de nota al pie EDEP,pie pddes,BVI fnr,BVI fnr Car Car,BVI fnr Char Car Car Car,BVI fnr Char Car Car Car Char,BVI fnr Car,BVI fnr Car Car Car Car,BVI fnr Char Char,BVI fnr Car Car Char Char,BVI fnr Car Char Cha"/>
    <w:basedOn w:val="DefaultParagraphFont"/>
    <w:uiPriority w:val="99"/>
    <w:unhideWhenUsed/>
    <w:rsid w:val="00102539"/>
    <w:rPr>
      <w:vertAlign w:val="superscript"/>
    </w:rPr>
  </w:style>
  <w:style w:type="paragraph" w:customStyle="1" w:styleId="Default">
    <w:name w:val="Default"/>
    <w:rsid w:val="00C9338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93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381"/>
    <w:rPr>
      <w:rFonts w:ascii="Segoe UI" w:hAnsi="Segoe UI" w:cs="Segoe UI"/>
      <w:sz w:val="18"/>
      <w:szCs w:val="18"/>
    </w:rPr>
  </w:style>
  <w:style w:type="character" w:styleId="CommentReference">
    <w:name w:val="annotation reference"/>
    <w:basedOn w:val="DefaultParagraphFont"/>
    <w:uiPriority w:val="99"/>
    <w:semiHidden/>
    <w:unhideWhenUsed/>
    <w:rsid w:val="009606EF"/>
    <w:rPr>
      <w:sz w:val="16"/>
      <w:szCs w:val="16"/>
    </w:rPr>
  </w:style>
  <w:style w:type="paragraph" w:styleId="CommentText">
    <w:name w:val="annotation text"/>
    <w:basedOn w:val="Normal"/>
    <w:link w:val="CommentTextChar"/>
    <w:uiPriority w:val="99"/>
    <w:semiHidden/>
    <w:unhideWhenUsed/>
    <w:rsid w:val="009606EF"/>
    <w:pPr>
      <w:spacing w:line="240" w:lineRule="auto"/>
    </w:pPr>
    <w:rPr>
      <w:sz w:val="20"/>
      <w:szCs w:val="20"/>
    </w:rPr>
  </w:style>
  <w:style w:type="character" w:customStyle="1" w:styleId="CommentTextChar">
    <w:name w:val="Comment Text Char"/>
    <w:basedOn w:val="DefaultParagraphFont"/>
    <w:link w:val="CommentText"/>
    <w:uiPriority w:val="99"/>
    <w:semiHidden/>
    <w:rsid w:val="009606EF"/>
    <w:rPr>
      <w:sz w:val="20"/>
      <w:szCs w:val="20"/>
    </w:rPr>
  </w:style>
  <w:style w:type="paragraph" w:styleId="CommentSubject">
    <w:name w:val="annotation subject"/>
    <w:basedOn w:val="CommentText"/>
    <w:next w:val="CommentText"/>
    <w:link w:val="CommentSubjectChar"/>
    <w:uiPriority w:val="99"/>
    <w:semiHidden/>
    <w:unhideWhenUsed/>
    <w:rsid w:val="009606EF"/>
    <w:rPr>
      <w:b/>
      <w:bCs/>
    </w:rPr>
  </w:style>
  <w:style w:type="character" w:customStyle="1" w:styleId="CommentSubjectChar">
    <w:name w:val="Comment Subject Char"/>
    <w:basedOn w:val="CommentTextChar"/>
    <w:link w:val="CommentSubject"/>
    <w:uiPriority w:val="99"/>
    <w:semiHidden/>
    <w:rsid w:val="009606EF"/>
    <w:rPr>
      <w:b/>
      <w:bCs/>
      <w:sz w:val="20"/>
      <w:szCs w:val="20"/>
    </w:rPr>
  </w:style>
  <w:style w:type="paragraph" w:styleId="Revision">
    <w:name w:val="Revision"/>
    <w:hidden/>
    <w:uiPriority w:val="99"/>
    <w:semiHidden/>
    <w:rsid w:val="009606EF"/>
    <w:pPr>
      <w:spacing w:after="0" w:line="240" w:lineRule="auto"/>
    </w:pPr>
  </w:style>
  <w:style w:type="paragraph" w:styleId="ListParagraph">
    <w:name w:val="List Paragraph"/>
    <w:basedOn w:val="Normal"/>
    <w:uiPriority w:val="34"/>
    <w:qFormat/>
    <w:rsid w:val="000C61AB"/>
    <w:pPr>
      <w:ind w:left="720"/>
      <w:contextualSpacing/>
    </w:pPr>
  </w:style>
  <w:style w:type="character" w:styleId="Hyperlink">
    <w:name w:val="Hyperlink"/>
    <w:basedOn w:val="DefaultParagraphFont"/>
    <w:uiPriority w:val="99"/>
    <w:unhideWhenUsed/>
    <w:rsid w:val="004D4F71"/>
    <w:rPr>
      <w:color w:val="0563C1" w:themeColor="hyperlink"/>
      <w:u w:val="single"/>
    </w:rPr>
  </w:style>
  <w:style w:type="character" w:customStyle="1" w:styleId="Mention1">
    <w:name w:val="Mention1"/>
    <w:basedOn w:val="DefaultParagraphFont"/>
    <w:uiPriority w:val="99"/>
    <w:semiHidden/>
    <w:unhideWhenUsed/>
    <w:rsid w:val="004D4F71"/>
    <w:rPr>
      <w:color w:val="2B579A"/>
      <w:shd w:val="clear" w:color="auto" w:fill="E6E6E6"/>
    </w:rPr>
  </w:style>
  <w:style w:type="table" w:styleId="TableGrid">
    <w:name w:val="Table Grid"/>
    <w:basedOn w:val="TableNormal"/>
    <w:uiPriority w:val="59"/>
    <w:rsid w:val="00EF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10FB"/>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9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F91"/>
  </w:style>
  <w:style w:type="paragraph" w:styleId="Footer">
    <w:name w:val="footer"/>
    <w:basedOn w:val="Normal"/>
    <w:link w:val="FooterChar"/>
    <w:uiPriority w:val="99"/>
    <w:unhideWhenUsed/>
    <w:rsid w:val="00B9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91"/>
  </w:style>
  <w:style w:type="paragraph" w:customStyle="1" w:styleId="MGTHeader">
    <w:name w:val="M.G+T.Header"/>
    <w:basedOn w:val="Normal"/>
    <w:link w:val="MGTHeaderChar"/>
    <w:qFormat/>
    <w:rsid w:val="00B179B1"/>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B179B1"/>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B179B1"/>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B179B1"/>
    <w:rPr>
      <w:rFonts w:eastAsia="Times New Roman" w:cs="Times New Roman"/>
      <w:color w:val="1C75BC"/>
      <w:shd w:val="clear" w:color="auto" w:fill="F5F5F5"/>
      <w:lang w:val="en-GB" w:eastAsia="en-GB"/>
    </w:rPr>
  </w:style>
  <w:style w:type="paragraph" w:customStyle="1" w:styleId="MText">
    <w:name w:val="M.Text"/>
    <w:basedOn w:val="Normal"/>
    <w:link w:val="MTextChar"/>
    <w:qFormat/>
    <w:rsid w:val="00B179B1"/>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B179B1"/>
    <w:rPr>
      <w:rFonts w:eastAsia="Times New Roman" w:cs="Times New Roman"/>
      <w:color w:val="4A4A4A"/>
      <w:sz w:val="21"/>
      <w:szCs w:val="21"/>
      <w:shd w:val="clear" w:color="auto" w:fill="FFFFFF"/>
      <w:lang w:val="en-GB" w:eastAsia="en-GB"/>
    </w:rPr>
  </w:style>
  <w:style w:type="paragraph" w:customStyle="1" w:styleId="MHeader">
    <w:name w:val="M.Header"/>
    <w:basedOn w:val="Normal"/>
    <w:link w:val="MHeaderChar"/>
    <w:qFormat/>
    <w:rsid w:val="00B179B1"/>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B179B1"/>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B179B1"/>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B179B1"/>
    <w:rPr>
      <w:rFonts w:eastAsia="Times New Roman" w:cs="Times New Roman"/>
      <w:b/>
      <w:bCs/>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9498">
      <w:bodyDiv w:val="1"/>
      <w:marLeft w:val="0"/>
      <w:marRight w:val="0"/>
      <w:marTop w:val="0"/>
      <w:marBottom w:val="0"/>
      <w:divBdr>
        <w:top w:val="none" w:sz="0" w:space="0" w:color="auto"/>
        <w:left w:val="none" w:sz="0" w:space="0" w:color="auto"/>
        <w:bottom w:val="none" w:sz="0" w:space="0" w:color="auto"/>
        <w:right w:val="none" w:sz="0" w:space="0" w:color="auto"/>
      </w:divBdr>
    </w:div>
    <w:div w:id="143158445">
      <w:bodyDiv w:val="1"/>
      <w:marLeft w:val="0"/>
      <w:marRight w:val="0"/>
      <w:marTop w:val="0"/>
      <w:marBottom w:val="0"/>
      <w:divBdr>
        <w:top w:val="none" w:sz="0" w:space="0" w:color="auto"/>
        <w:left w:val="none" w:sz="0" w:space="0" w:color="auto"/>
        <w:bottom w:val="none" w:sz="0" w:space="0" w:color="auto"/>
        <w:right w:val="none" w:sz="0" w:space="0" w:color="auto"/>
      </w:divBdr>
    </w:div>
    <w:div w:id="146291098">
      <w:bodyDiv w:val="1"/>
      <w:marLeft w:val="0"/>
      <w:marRight w:val="0"/>
      <w:marTop w:val="0"/>
      <w:marBottom w:val="0"/>
      <w:divBdr>
        <w:top w:val="none" w:sz="0" w:space="0" w:color="auto"/>
        <w:left w:val="none" w:sz="0" w:space="0" w:color="auto"/>
        <w:bottom w:val="none" w:sz="0" w:space="0" w:color="auto"/>
        <w:right w:val="none" w:sz="0" w:space="0" w:color="auto"/>
      </w:divBdr>
    </w:div>
    <w:div w:id="221909832">
      <w:bodyDiv w:val="1"/>
      <w:marLeft w:val="0"/>
      <w:marRight w:val="0"/>
      <w:marTop w:val="0"/>
      <w:marBottom w:val="0"/>
      <w:divBdr>
        <w:top w:val="none" w:sz="0" w:space="0" w:color="auto"/>
        <w:left w:val="none" w:sz="0" w:space="0" w:color="auto"/>
        <w:bottom w:val="none" w:sz="0" w:space="0" w:color="auto"/>
        <w:right w:val="none" w:sz="0" w:space="0" w:color="auto"/>
      </w:divBdr>
    </w:div>
    <w:div w:id="318075992">
      <w:bodyDiv w:val="1"/>
      <w:marLeft w:val="0"/>
      <w:marRight w:val="0"/>
      <w:marTop w:val="0"/>
      <w:marBottom w:val="0"/>
      <w:divBdr>
        <w:top w:val="none" w:sz="0" w:space="0" w:color="auto"/>
        <w:left w:val="none" w:sz="0" w:space="0" w:color="auto"/>
        <w:bottom w:val="none" w:sz="0" w:space="0" w:color="auto"/>
        <w:right w:val="none" w:sz="0" w:space="0" w:color="auto"/>
      </w:divBdr>
    </w:div>
    <w:div w:id="894315990">
      <w:bodyDiv w:val="1"/>
      <w:marLeft w:val="0"/>
      <w:marRight w:val="0"/>
      <w:marTop w:val="0"/>
      <w:marBottom w:val="0"/>
      <w:divBdr>
        <w:top w:val="none" w:sz="0" w:space="0" w:color="auto"/>
        <w:left w:val="none" w:sz="0" w:space="0" w:color="auto"/>
        <w:bottom w:val="none" w:sz="0" w:space="0" w:color="auto"/>
        <w:right w:val="none" w:sz="0" w:space="0" w:color="auto"/>
      </w:divBdr>
    </w:div>
    <w:div w:id="1417284068">
      <w:bodyDiv w:val="1"/>
      <w:marLeft w:val="0"/>
      <w:marRight w:val="0"/>
      <w:marTop w:val="0"/>
      <w:marBottom w:val="0"/>
      <w:divBdr>
        <w:top w:val="none" w:sz="0" w:space="0" w:color="auto"/>
        <w:left w:val="none" w:sz="0" w:space="0" w:color="auto"/>
        <w:bottom w:val="none" w:sz="0" w:space="0" w:color="auto"/>
        <w:right w:val="none" w:sz="0" w:space="0" w:color="auto"/>
      </w:divBdr>
    </w:div>
    <w:div w:id="1612856602">
      <w:bodyDiv w:val="1"/>
      <w:marLeft w:val="0"/>
      <w:marRight w:val="0"/>
      <w:marTop w:val="0"/>
      <w:marBottom w:val="0"/>
      <w:divBdr>
        <w:top w:val="none" w:sz="0" w:space="0" w:color="auto"/>
        <w:left w:val="none" w:sz="0" w:space="0" w:color="auto"/>
        <w:bottom w:val="none" w:sz="0" w:space="0" w:color="auto"/>
        <w:right w:val="none" w:sz="0" w:space="0" w:color="auto"/>
      </w:divBdr>
    </w:div>
    <w:div w:id="1749182509">
      <w:bodyDiv w:val="1"/>
      <w:marLeft w:val="0"/>
      <w:marRight w:val="0"/>
      <w:marTop w:val="0"/>
      <w:marBottom w:val="0"/>
      <w:divBdr>
        <w:top w:val="none" w:sz="0" w:space="0" w:color="auto"/>
        <w:left w:val="none" w:sz="0" w:space="0" w:color="auto"/>
        <w:bottom w:val="none" w:sz="0" w:space="0" w:color="auto"/>
        <w:right w:val="none" w:sz="0" w:space="0" w:color="auto"/>
      </w:divBdr>
    </w:div>
    <w:div w:id="1871259469">
      <w:bodyDiv w:val="1"/>
      <w:marLeft w:val="0"/>
      <w:marRight w:val="0"/>
      <w:marTop w:val="0"/>
      <w:marBottom w:val="0"/>
      <w:divBdr>
        <w:top w:val="none" w:sz="0" w:space="0" w:color="auto"/>
        <w:left w:val="none" w:sz="0" w:space="0" w:color="auto"/>
        <w:bottom w:val="none" w:sz="0" w:space="0" w:color="auto"/>
        <w:right w:val="none" w:sz="0" w:space="0" w:color="auto"/>
      </w:divBdr>
    </w:div>
    <w:div w:id="1872762427">
      <w:bodyDiv w:val="1"/>
      <w:marLeft w:val="0"/>
      <w:marRight w:val="0"/>
      <w:marTop w:val="0"/>
      <w:marBottom w:val="0"/>
      <w:divBdr>
        <w:top w:val="none" w:sz="0" w:space="0" w:color="auto"/>
        <w:left w:val="none" w:sz="0" w:space="0" w:color="auto"/>
        <w:bottom w:val="none" w:sz="0" w:space="0" w:color="auto"/>
        <w:right w:val="none" w:sz="0" w:space="0" w:color="auto"/>
      </w:divBdr>
    </w:div>
    <w:div w:id="20207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ectivecooperation.org/about/global-monitoring-framework/" TargetMode="External"/><Relationship Id="rId13" Type="http://schemas.openxmlformats.org/officeDocument/2006/relationships/hyperlink" Target="https://www.oecd.org/gender/Gender-Budgeting-in-OECD-countrie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f.org/external/pubs/ft/wp/2016/wp1614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p/2016/wp16149.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mf.org/external/np/res/dfidimf/topic7.htm" TargetMode="External"/><Relationship Id="rId4" Type="http://schemas.openxmlformats.org/officeDocument/2006/relationships/settings" Target="settings.xml"/><Relationship Id="rId9" Type="http://schemas.openxmlformats.org/officeDocument/2006/relationships/hyperlink" Target="http://gender-financing.unwomen.org/en" TargetMode="External"/><Relationship Id="rId14" Type="http://schemas.openxmlformats.org/officeDocument/2006/relationships/hyperlink" Target="http://www.pef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48456-A3D0-4D6B-9764-D872BCBA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Ginette Azcona</dc:creator>
  <cp:lastModifiedBy>Zin Lin</cp:lastModifiedBy>
  <cp:revision>5</cp:revision>
  <dcterms:created xsi:type="dcterms:W3CDTF">2018-01-30T22:00:00Z</dcterms:created>
  <dcterms:modified xsi:type="dcterms:W3CDTF">2018-01-30T22:34:00Z</dcterms:modified>
</cp:coreProperties>
</file>