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7FA7804D" w14:textId="261E45C4" w:rsidR="00E7335B" w:rsidRPr="00A96255" w:rsidRDefault="00E7335B" w:rsidP="002F5F0C">
      <w:pPr>
        <w:pStyle w:val="MGTHeader"/>
      </w:pPr>
      <w:r w:rsidRPr="00E7335B">
        <w:t>Goal 6: Ensure availability and sustainable management of water and sanitation for all</w:t>
      </w:r>
    </w:p>
    <w:p w14:paraId="084142D2" w14:textId="77777777" w:rsidR="00D24330" w:rsidRPr="00A96255" w:rsidRDefault="00D24330" w:rsidP="00D24330">
      <w:pPr>
        <w:pStyle w:val="MIndHeader"/>
      </w:pPr>
      <w:r w:rsidRPr="00A96255">
        <w:t>0.b. Target</w:t>
      </w:r>
    </w:p>
    <w:p w14:paraId="6E3510FE" w14:textId="0887A62F" w:rsidR="00E7335B" w:rsidRPr="00A96255" w:rsidRDefault="00E7335B" w:rsidP="00D24330">
      <w:pPr>
        <w:pStyle w:val="MGTHeader"/>
      </w:pPr>
      <w:r w:rsidRPr="00E7335B">
        <w:t>Target 6.5: By 2030, implement integrated water resources management at all levels, including through transboundary cooperation as appropriate</w:t>
      </w:r>
    </w:p>
    <w:p w14:paraId="3E67E7E0" w14:textId="77777777" w:rsidR="00D24330" w:rsidRPr="00A96255" w:rsidRDefault="00D24330" w:rsidP="00D24330">
      <w:pPr>
        <w:pStyle w:val="MIndHeader"/>
      </w:pPr>
      <w:r w:rsidRPr="00A96255">
        <w:t>0.c. Indicator</w:t>
      </w:r>
    </w:p>
    <w:p w14:paraId="228A5214" w14:textId="4527375A" w:rsidR="00E7335B" w:rsidRPr="00A96255" w:rsidRDefault="00E7335B" w:rsidP="00D24330">
      <w:pPr>
        <w:pStyle w:val="MGTHeader"/>
      </w:pPr>
      <w:r w:rsidRPr="00E7335B">
        <w:t>Indicator 6.5.1: Degree of integrated water resources management</w:t>
      </w:r>
      <w:r w:rsidR="009A499A">
        <w:t xml:space="preserve"> implementation</w:t>
      </w:r>
    </w:p>
    <w:p w14:paraId="37E5E4F6" w14:textId="77777777" w:rsidR="00D24330" w:rsidRPr="00A96255" w:rsidRDefault="00D24330" w:rsidP="00D24330">
      <w:pPr>
        <w:pStyle w:val="MIndHeader"/>
      </w:pPr>
      <w:r w:rsidRPr="00A96255">
        <w:t>0.d. Series</w:t>
      </w:r>
    </w:p>
    <w:p w14:paraId="771888BA" w14:textId="24A9333D" w:rsidR="00D24330" w:rsidRPr="00A96255" w:rsidRDefault="00F80B23" w:rsidP="00D24330">
      <w:pPr>
        <w:pStyle w:val="MGTHeader"/>
      </w:pPr>
      <w:r w:rsidRPr="00D72599">
        <w:t>Not applicable (this metadata applies to all series under this indicator).</w:t>
      </w:r>
      <w:r w:rsidR="00D24330" w:rsidRPr="00A96255">
        <w:tab/>
      </w:r>
    </w:p>
    <w:p w14:paraId="157DACE7" w14:textId="77777777" w:rsidR="00D24330" w:rsidRPr="00A96255" w:rsidRDefault="00D24330" w:rsidP="00D24330">
      <w:pPr>
        <w:pStyle w:val="MIndHeader"/>
      </w:pPr>
      <w:r w:rsidRPr="00A96255">
        <w:t>0.e. Metadata update</w:t>
      </w:r>
    </w:p>
    <w:p w14:paraId="32E92741" w14:textId="0A1F6143" w:rsidR="00E92576" w:rsidRPr="00A96255" w:rsidRDefault="009A499A" w:rsidP="00D24330">
      <w:pPr>
        <w:pStyle w:val="MGTHeader"/>
      </w:pPr>
      <w:r>
        <w:t>02 February 2021</w:t>
      </w:r>
    </w:p>
    <w:p w14:paraId="415C9FF1" w14:textId="77777777" w:rsidR="00D24330" w:rsidRPr="00A96255" w:rsidRDefault="00D24330" w:rsidP="00D24330">
      <w:pPr>
        <w:pStyle w:val="MIndHeader"/>
      </w:pPr>
      <w:r w:rsidRPr="00A96255">
        <w:t>0.f. Related indicators</w:t>
      </w:r>
    </w:p>
    <w:p w14:paraId="59EF069E" w14:textId="1FE2079C" w:rsidR="00E7335B" w:rsidRPr="00A96255" w:rsidRDefault="00E7335B" w:rsidP="00D24330">
      <w:pPr>
        <w:pStyle w:val="MGTHeader"/>
      </w:pPr>
      <w:r w:rsidRPr="00E7335B">
        <w:t>As it measures the degree of implementation of an enabling environment for better water resources management, it directly supports the other outcome targets under SDG 6 (6.1 – 6.6). It does this by providing further information to countries on the context and possible explanation for the progress on other targets, and points to barriers and enablers to obtaining the other targets. It also directly supports the means of implementation targets 6.a and 6.b, as disaggregation is possible to provide data on financing (6.a) and stakeholder participation (6.b). Beyond SDG 6, indicator 6.5.1 has linkages with a number of other targets across the SDGs, as integrated water resources management is concerned with integrating the demands and impacts on water resources and water-related ecosystems from a number of different SDGs and their targets, including: poverty (1.4); agriculture (2.3); education (4.7); gender (5.5); energy (7.1); work (8.5); equality (10.2); urban areas (11.3); climate change (13.2); ecosystems (15.9); governance (16.3, 16.5 – 16.7) (UN-Water 2016).</w:t>
      </w:r>
    </w:p>
    <w:p w14:paraId="077BC49E" w14:textId="77777777" w:rsidR="00D24330" w:rsidRPr="00A96255" w:rsidRDefault="00D24330" w:rsidP="00D24330">
      <w:pPr>
        <w:pStyle w:val="MIndHeader"/>
      </w:pPr>
      <w:r w:rsidRPr="00A96255">
        <w:t>0.g. International organisations(s) responsible for global monitoring</w:t>
      </w:r>
    </w:p>
    <w:p w14:paraId="0158CC45" w14:textId="68F966A5" w:rsidR="00E7335B" w:rsidRPr="00A96255" w:rsidRDefault="00E7335B" w:rsidP="00D24330">
      <w:pPr>
        <w:pStyle w:val="MGTHeader"/>
        <w:rPr>
          <w:color w:val="4A4A4A"/>
        </w:rPr>
      </w:pPr>
      <w:r w:rsidRPr="00E7335B">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4CE8F21B" w14:textId="6CE81696" w:rsidR="00011F45" w:rsidRDefault="00011F45" w:rsidP="00576CFA">
      <w:pPr>
        <w:pStyle w:val="MText"/>
      </w:pPr>
      <w:r w:rsidRPr="00011F45">
        <w:t>United Nations Environment Programme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153B09C3" w14:textId="3A06F2A3" w:rsidR="00D51E7C" w:rsidRDefault="008B0AC7" w:rsidP="00BA4112">
      <w:pPr>
        <w:pStyle w:val="MHeader2"/>
      </w:pPr>
      <w:r w:rsidRPr="00A96255">
        <w:t>2.a. Definition and concepts</w:t>
      </w:r>
    </w:p>
    <w:p w14:paraId="6C689889" w14:textId="77777777" w:rsidR="00BA4112" w:rsidRPr="00F07C28" w:rsidRDefault="00BA4112">
      <w:pPr>
        <w:shd w:val="clear" w:color="auto" w:fill="FFFFFF"/>
        <w:spacing w:after="0"/>
        <w:contextualSpacing/>
        <w:rPr>
          <w:rFonts w:eastAsia="Times New Roman" w:cs="Times New Roman"/>
          <w:color w:val="4A4A4A"/>
          <w:sz w:val="21"/>
          <w:szCs w:val="21"/>
          <w:lang w:eastAsia="en-GB"/>
        </w:rPr>
      </w:pPr>
      <w:r w:rsidRPr="00F07C28">
        <w:rPr>
          <w:rFonts w:eastAsia="Times New Roman" w:cs="Times New Roman"/>
          <w:b/>
          <w:bCs/>
          <w:color w:val="4A4A4A"/>
          <w:sz w:val="21"/>
          <w:szCs w:val="21"/>
          <w:lang w:eastAsia="en-GB"/>
        </w:rPr>
        <w:t>Definition:</w:t>
      </w:r>
    </w:p>
    <w:p w14:paraId="03B0A527" w14:textId="70E3005C"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Indicator 6.5.1 is ‘degree of integrated water resources management implementation’. It measures the stages of development and implementation of Integrated Water Resources Management (IWRM), on a </w:t>
      </w:r>
      <w:r w:rsidRPr="00F07C28">
        <w:rPr>
          <w:rFonts w:eastAsia="Times New Roman" w:cs="Times New Roman"/>
          <w:color w:val="4A4A4A"/>
          <w:sz w:val="21"/>
          <w:szCs w:val="21"/>
          <w:lang w:eastAsia="en-GB"/>
        </w:rPr>
        <w:lastRenderedPageBreak/>
        <w:t xml:space="preserve">scale of 0 to 100, in six categories (see Rationale section). The indicator score is calculated from a country survey with 33 questions, with each question scored on the same scale of 0-100.  </w:t>
      </w:r>
    </w:p>
    <w:p w14:paraId="2ABC7F0B" w14:textId="77777777"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definition of IWRM is based on an internationally agreed definition, and is universally applicable. IWRM was officially established in 1992 and is defined as “a process which promotes the coordinated development and management of water, land and related resources in order to maximise economic and social welfare in an equitable manner without compromising the sustainability of vital ecosystems.” (GWP 2010). </w:t>
      </w:r>
    </w:p>
    <w:p w14:paraId="1C62937A" w14:textId="77777777"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method builds on official UN IWRM status reporting, from 2008 and 2012, of the Johannesburg Plan of Implementation from the UN World Summit for Sustainable Development (1992).</w:t>
      </w:r>
    </w:p>
    <w:p w14:paraId="0D976037" w14:textId="77777777" w:rsidR="00BA4112" w:rsidRPr="00F07C28" w:rsidRDefault="00BA4112">
      <w:pPr>
        <w:shd w:val="clear" w:color="auto" w:fill="FFFFFF"/>
        <w:spacing w:after="0"/>
        <w:contextualSpacing/>
        <w:rPr>
          <w:rFonts w:eastAsia="Times New Roman" w:cs="Times New Roman"/>
          <w:b/>
          <w:bCs/>
          <w:color w:val="4A4A4A"/>
          <w:sz w:val="21"/>
          <w:szCs w:val="21"/>
          <w:lang w:eastAsia="en-GB"/>
        </w:rPr>
      </w:pPr>
    </w:p>
    <w:p w14:paraId="0352E2C5" w14:textId="77777777" w:rsidR="00BA4112" w:rsidRPr="00F07C28" w:rsidRDefault="00BA4112">
      <w:pPr>
        <w:shd w:val="clear" w:color="auto" w:fill="FFFFFF"/>
        <w:spacing w:after="0"/>
        <w:contextualSpacing/>
        <w:rPr>
          <w:rFonts w:eastAsia="Times New Roman" w:cs="Times New Roman"/>
          <w:color w:val="4A4A4A"/>
          <w:sz w:val="21"/>
          <w:szCs w:val="21"/>
          <w:lang w:eastAsia="en-GB"/>
        </w:rPr>
      </w:pPr>
      <w:r w:rsidRPr="00F07C28">
        <w:rPr>
          <w:rFonts w:eastAsia="Times New Roman" w:cs="Times New Roman"/>
          <w:b/>
          <w:bCs/>
          <w:color w:val="4A4A4A"/>
          <w:sz w:val="21"/>
          <w:szCs w:val="21"/>
          <w:lang w:eastAsia="en-GB"/>
        </w:rPr>
        <w:t>Concepts:</w:t>
      </w:r>
    </w:p>
    <w:p w14:paraId="1DD2494E" w14:textId="77777777"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concept of IWRM is measured in 4 main sections, each representing key dimension of IWRM: </w:t>
      </w:r>
    </w:p>
    <w:p w14:paraId="2752EF7C" w14:textId="77777777" w:rsidR="00BA4112" w:rsidRPr="00F07C28" w:rsidRDefault="00BA4112">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Enabling environment: this includes the policies, laws, plans and strategies which create the ‘enabling environment’ for IWRM. </w:t>
      </w:r>
    </w:p>
    <w:p w14:paraId="33BA30BA" w14:textId="77777777" w:rsidR="00BA4112" w:rsidRPr="00F07C28" w:rsidRDefault="00BA4112">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Institutions and participation: includes the range and roles of political, social, economic and administrative institutions that help to support the implementation of IWRM. </w:t>
      </w:r>
    </w:p>
    <w:p w14:paraId="08EC30C2" w14:textId="77777777" w:rsidR="00BA4112" w:rsidRPr="00F07C28" w:rsidRDefault="00BA4112">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Management Instruments: The tools and activities that enable decision-makers and users to make rational and informed choices between alternative actions. </w:t>
      </w:r>
    </w:p>
    <w:p w14:paraId="68172624" w14:textId="77777777" w:rsidR="00BA4112" w:rsidRPr="00F07C28" w:rsidRDefault="00BA4112">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Financing: Budgeting and financing made available and used for water resources development and management from various sources.</w:t>
      </w:r>
    </w:p>
    <w:p w14:paraId="5B1F1E99" w14:textId="77777777"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p>
    <w:p w14:paraId="53E5C685" w14:textId="77777777"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indicator is based on a national survey structured around these four main sectio</w:t>
      </w:r>
      <w:r>
        <w:rPr>
          <w:rFonts w:eastAsia="Times New Roman" w:cs="Times New Roman"/>
          <w:color w:val="4A4A4A"/>
          <w:sz w:val="21"/>
          <w:szCs w:val="21"/>
          <w:lang w:eastAsia="en-GB"/>
        </w:rPr>
        <w:t>ns</w:t>
      </w:r>
      <w:r w:rsidRPr="00F07C28">
        <w:rPr>
          <w:rFonts w:eastAsia="Times New Roman" w:cs="Times New Roman"/>
          <w:color w:val="4A4A4A"/>
          <w:sz w:val="21"/>
          <w:szCs w:val="21"/>
          <w:lang w:eastAsia="en-GB"/>
        </w:rPr>
        <w:t>. Each section is split into two parts: questions concerning the ‘National level’ and ‘Other levels’ respectively. ‘Other levels’ includes sub-national (including provinces/states for federated countries), basin level, and the transboundary level as appropriate. These two parts address the wording of Target 6.5 ‘implement [IWRM] at all levels …’.</w:t>
      </w:r>
    </w:p>
    <w:p w14:paraId="6E54D3D6" w14:textId="77777777" w:rsidR="00EC2915" w:rsidRPr="00A96255" w:rsidRDefault="00EC2915">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228163E2" w:rsidR="00576CFA" w:rsidRPr="00A96255" w:rsidRDefault="003C0C2C" w:rsidP="00576CFA">
      <w:pPr>
        <w:pStyle w:val="MText"/>
      </w:pPr>
      <w:r w:rsidRPr="00D72599">
        <w:t>The indicator is measured as a percentage (0-100)</w:t>
      </w:r>
      <w:r w:rsidR="009A499A">
        <w:t>.</w:t>
      </w:r>
    </w:p>
    <w:p w14:paraId="548E9AAA" w14:textId="77777777" w:rsidR="00EC2915" w:rsidRPr="00A96255" w:rsidRDefault="00EC2915" w:rsidP="00576CFA">
      <w:pPr>
        <w:pStyle w:val="MText"/>
      </w:pPr>
    </w:p>
    <w:p w14:paraId="651AA7AC" w14:textId="4310B4B7" w:rsidR="00DA615C" w:rsidRPr="00A96255" w:rsidRDefault="008B0AC7" w:rsidP="00F719A8">
      <w:pPr>
        <w:pStyle w:val="MHeader2"/>
      </w:pPr>
      <w:r w:rsidRPr="00A96255">
        <w:t>2.c. Classifications</w:t>
      </w:r>
    </w:p>
    <w:p w14:paraId="6291A7DD" w14:textId="61AB6BA1" w:rsidR="00576CFA" w:rsidRPr="00A96255" w:rsidRDefault="00FA7158" w:rsidP="00576CFA">
      <w:pPr>
        <w:pStyle w:val="MText"/>
      </w:pPr>
      <w:r w:rsidRPr="00D72599">
        <w:t>The concepts and methodology are broadly accepted by the international community</w:t>
      </w:r>
      <w:r w:rsidR="00971C75" w:rsidRPr="00D72599">
        <w:t>, having been developed over at least five decades. However, there are no international standards per se.</w:t>
      </w:r>
      <w:r w:rsidRPr="00D72599">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0E972FE" w14:textId="0C5BE217" w:rsidR="00563586" w:rsidRPr="00F07C28" w:rsidRDefault="00563586"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Monitoring progress on meeting SDG 6.5 is owned by and is the responsibility of the national government. The government assign</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a ministry with the primary responsibility for overseeing this survey, which </w:t>
      </w:r>
      <w:r w:rsidR="00703AA4">
        <w:rPr>
          <w:rFonts w:eastAsia="Times New Roman" w:cs="Times New Roman"/>
          <w:color w:val="4A4A4A"/>
          <w:sz w:val="21"/>
          <w:szCs w:val="21"/>
          <w:lang w:eastAsia="en-GB"/>
        </w:rPr>
        <w:t>then</w:t>
      </w:r>
      <w:r w:rsidRPr="00F07C28">
        <w:rPr>
          <w:rFonts w:eastAsia="Times New Roman" w:cs="Times New Roman"/>
          <w:color w:val="4A4A4A"/>
          <w:sz w:val="21"/>
          <w:szCs w:val="21"/>
          <w:lang w:eastAsia="en-GB"/>
        </w:rPr>
        <w:t xml:space="preserve"> take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on the responsibility of coordinating the national IWRM monitoring and reporting process. As water management issues cut across a wide number of sectors, often overseen by different ministries and other administrative bodies at national or other levels, the process should be inclusive. Major stakeholders should be involved in order to contribute to well informed and objective answers to the survey. </w:t>
      </w:r>
    </w:p>
    <w:p w14:paraId="66ED2521" w14:textId="3BFD3BDC" w:rsidR="00563586" w:rsidRPr="00F07C28" w:rsidRDefault="00563586"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ministry is invited to nominate a national “IWRM focal point”, who may or may not be a government official. The UN provide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support where needed and possible. The following steps are suggested as guidance only, as it is up to countries to decide which process or processes would best serve their needs. It should also be noted that the following steps represent a ‘ladder’ approach, in that completing all the </w:t>
      </w:r>
      <w:r w:rsidRPr="00F07C28">
        <w:rPr>
          <w:rFonts w:eastAsia="Times New Roman" w:cs="Times New Roman"/>
          <w:color w:val="4A4A4A"/>
          <w:sz w:val="21"/>
          <w:szCs w:val="21"/>
          <w:lang w:eastAsia="en-GB"/>
        </w:rPr>
        <w:lastRenderedPageBreak/>
        <w:t xml:space="preserve">steps will generally lead to a more robust indicator. However, it may not be possible or necessary for all countries to complete all steps. </w:t>
      </w:r>
    </w:p>
    <w:p w14:paraId="32B65F4C" w14:textId="7CEE46E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responsible ministry or IWRM focal point contacts other relevant ministries/agencies to compile responses to the questionnaire. Each possible response option has a score which </w:t>
      </w:r>
      <w:r w:rsidR="00703AA4">
        <w:rPr>
          <w:rFonts w:eastAsia="Times New Roman" w:cs="Times New Roman"/>
          <w:color w:val="4A4A4A"/>
          <w:sz w:val="21"/>
          <w:szCs w:val="21"/>
          <w:lang w:eastAsia="en-GB"/>
        </w:rPr>
        <w:t>is</w:t>
      </w:r>
      <w:r w:rsidRPr="00F07C28">
        <w:rPr>
          <w:rFonts w:eastAsia="Times New Roman" w:cs="Times New Roman"/>
          <w:color w:val="4A4A4A"/>
          <w:sz w:val="21"/>
          <w:szCs w:val="21"/>
          <w:lang w:eastAsia="en-GB"/>
        </w:rPr>
        <w:t xml:space="preserve"> used to calculate the overall indicator score.</w:t>
      </w:r>
    </w:p>
    <w:p w14:paraId="1972A733"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completed draft survey is reviewed by government stakeholders. These stakeholders could include those involved in water-relevant sectors, such as agriculture, energy, water supply and environment, as well as water management at different administrative levels. This process may be electronic (e.g. via email) and/or through workshops. </w:t>
      </w:r>
    </w:p>
    <w:p w14:paraId="5E851908"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revised draft survey is validated at a multi-stakeholder workshop. Apart from government representatives these stakeholders could include water user associations, private sector, interest groups concerned with e.g. environment, agriculture, poverty, and academia. The suggested process is through a workshop but alternative m</w:t>
      </w:r>
      <w:r>
        <w:rPr>
          <w:rFonts w:eastAsia="Times New Roman" w:cs="Times New Roman"/>
          <w:color w:val="4A4A4A"/>
          <w:sz w:val="21"/>
          <w:szCs w:val="21"/>
          <w:lang w:eastAsia="en-GB"/>
        </w:rPr>
        <w:t>eans of consultation e.g. email or</w:t>
      </w:r>
      <w:r w:rsidRPr="00F07C28">
        <w:rPr>
          <w:rFonts w:eastAsia="Times New Roman" w:cs="Times New Roman"/>
          <w:color w:val="4A4A4A"/>
          <w:sz w:val="21"/>
          <w:szCs w:val="21"/>
          <w:lang w:eastAsia="en-GB"/>
        </w:rPr>
        <w:t xml:space="preserve"> online call for public submissions could be considered. Note that steps 2 and 3 could be combined if desired. </w:t>
      </w:r>
    </w:p>
    <w:p w14:paraId="331E2904"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responsible ministry or IWRM focal point discusses with relevant officials and consolidates the input into a final version. This version </w:t>
      </w:r>
      <w:r>
        <w:rPr>
          <w:rFonts w:eastAsia="Times New Roman" w:cs="Times New Roman"/>
          <w:color w:val="4A4A4A"/>
          <w:sz w:val="21"/>
          <w:szCs w:val="21"/>
          <w:lang w:eastAsia="en-GB"/>
        </w:rPr>
        <w:t>is</w:t>
      </w:r>
      <w:r w:rsidRPr="00F07C28">
        <w:rPr>
          <w:rFonts w:eastAsia="Times New Roman" w:cs="Times New Roman"/>
          <w:color w:val="4A4A4A"/>
          <w:sz w:val="21"/>
          <w:szCs w:val="21"/>
          <w:lang w:eastAsia="en-GB"/>
        </w:rPr>
        <w:t xml:space="preserve"> the basis for calculating the degree of IWRM implementation (0-100) for global reporting. </w:t>
      </w:r>
    </w:p>
    <w:p w14:paraId="27184184"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responsible ministry submits the final indicator score to the national statistics office responsible for compiling all national SDG target data. </w:t>
      </w:r>
    </w:p>
    <w:p w14:paraId="68962E3B" w14:textId="77777777" w:rsidR="00563586" w:rsidRPr="00F07C28" w:rsidRDefault="00563586">
      <w:pPr>
        <w:shd w:val="clear" w:color="auto" w:fill="FFFFFF"/>
        <w:spacing w:after="0" w:line="23" w:lineRule="atLeast"/>
        <w:rPr>
          <w:rFonts w:eastAsia="Times New Roman" w:cs="Times New Roman"/>
          <w:color w:val="4A4A4A"/>
          <w:sz w:val="21"/>
          <w:szCs w:val="21"/>
          <w:lang w:eastAsia="en-GB"/>
        </w:rPr>
      </w:pPr>
    </w:p>
    <w:p w14:paraId="64787FFF" w14:textId="5C22FFE8" w:rsidR="00563586" w:rsidRPr="00F07C28" w:rsidRDefault="00563586"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Based on the national survey, UN-Water periodically prepare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synthesis reports for regional and global levels to provide overall progress on meeting SDG target 6.5. </w:t>
      </w:r>
    </w:p>
    <w:p w14:paraId="7DD34F6C" w14:textId="77777777" w:rsidR="00563586" w:rsidRPr="00F07C28" w:rsidRDefault="00563586"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Temporal Coverage: A reporting cycle of three years is recommended.</w:t>
      </w:r>
    </w:p>
    <w:p w14:paraId="3018A8D8" w14:textId="77777777" w:rsidR="00EC2915" w:rsidRPr="00A96255" w:rsidRDefault="00EC2915">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402F11FF" w14:textId="77777777" w:rsidR="00563586" w:rsidRDefault="00563586" w:rsidP="00563586">
      <w:pPr>
        <w:pStyle w:val="MText"/>
      </w:pPr>
      <w:r>
        <w:t xml:space="preserve">Official counterparts at the country level oversee the validation and consultation process. </w:t>
      </w:r>
    </w:p>
    <w:p w14:paraId="5823FBC8" w14:textId="68D24857" w:rsidR="00576CFA" w:rsidRPr="00A96255" w:rsidRDefault="00563586" w:rsidP="00563586">
      <w:pPr>
        <w:pStyle w:val="MText"/>
      </w:pPr>
      <w:r>
        <w:t>The survey has been designed so that the indicator is comparable between countries and time periods. No adjustments are foreseen.</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45C04803" w:rsidR="00EC2915" w:rsidRDefault="009A499A" w:rsidP="00576CFA">
      <w:pPr>
        <w:pStyle w:val="MText"/>
      </w:pPr>
      <w:r>
        <w:t xml:space="preserve">Data is collected approximately every 3-4 years. The baseline dataset was collected in 2017, with the second data collection round in 2020. Subsequent data collection rounds are expected in 2023-24, 2026-27, and 2030. Each data collection round spans approximately 9-12 months. </w:t>
      </w:r>
    </w:p>
    <w:p w14:paraId="59AC1FEA" w14:textId="77777777" w:rsidR="00E7335B" w:rsidRPr="00A96255" w:rsidRDefault="00E7335B" w:rsidP="00576CFA">
      <w:pPr>
        <w:pStyle w:val="MText"/>
      </w:pPr>
    </w:p>
    <w:p w14:paraId="7D466604" w14:textId="674844F0" w:rsidR="00E46D96" w:rsidRPr="00F719A8" w:rsidRDefault="00E46D96" w:rsidP="00F719A8">
      <w:pPr>
        <w:pStyle w:val="MHeader2"/>
      </w:pPr>
      <w:r w:rsidRPr="00A96255">
        <w:t>3.d. Data release calendar</w:t>
      </w:r>
    </w:p>
    <w:p w14:paraId="64C749BD" w14:textId="5C4A9F27" w:rsidR="00EC2915" w:rsidRDefault="00AF2769" w:rsidP="00576CFA">
      <w:pPr>
        <w:pStyle w:val="MText"/>
      </w:pPr>
      <w:r>
        <w:t xml:space="preserve">Data is released approximately 3 months after the </w:t>
      </w:r>
      <w:r w:rsidR="002C05EF">
        <w:t xml:space="preserve">close of each data collection round. </w:t>
      </w:r>
    </w:p>
    <w:p w14:paraId="3F28D2F5" w14:textId="77777777" w:rsidR="00E7335B" w:rsidRPr="00A96255" w:rsidRDefault="00E7335B" w:rsidP="00576CFA">
      <w:pPr>
        <w:pStyle w:val="MText"/>
      </w:pPr>
    </w:p>
    <w:p w14:paraId="3A4F3065" w14:textId="3AD52F9D" w:rsidR="00E46D96" w:rsidRPr="00A96255" w:rsidRDefault="00E46D96" w:rsidP="00F719A8">
      <w:pPr>
        <w:pStyle w:val="MHeader2"/>
      </w:pPr>
      <w:r w:rsidRPr="00A96255">
        <w:t>3.e. Data providers</w:t>
      </w:r>
    </w:p>
    <w:p w14:paraId="50A66E64" w14:textId="35C88BF0" w:rsidR="00EC2915" w:rsidRDefault="00E7335B" w:rsidP="00576CFA">
      <w:pPr>
        <w:pStyle w:val="MText"/>
      </w:pPr>
      <w:r w:rsidRPr="00E7335B">
        <w:t xml:space="preserve">The information required to complete the survey is expected to be held by government officials responsible for water resources management in the country, supported by official documentation. E.g. Ministry of Water in coordination with Ministry of Environment, Ministry of Finance, Ministry of Planning, Ministry of Lands and Agriculture, Ministry of Industry and Mining etc. See also ‘data sources’ section above. As a minimum, a small group of officials may be able to complete the survey. However, these government officials may belong to various government authorities, and coordination </w:t>
      </w:r>
      <w:r w:rsidR="00703AA4">
        <w:t>is</w:t>
      </w:r>
      <w:r w:rsidRPr="00E7335B">
        <w:t xml:space="preserve"> required to determine and validate the responses to each question. Increased government and non-government </w:t>
      </w:r>
      <w:r w:rsidRPr="00E7335B">
        <w:lastRenderedPageBreak/>
        <w:t>stakeholder participation in validating the question scores will lead to a more robust indicator score and facilitate tracking progress over time.</w:t>
      </w:r>
    </w:p>
    <w:p w14:paraId="5B4D7145" w14:textId="77777777" w:rsidR="00E7335B" w:rsidRPr="00A96255" w:rsidRDefault="00E7335B" w:rsidP="00576CFA">
      <w:pPr>
        <w:pStyle w:val="MText"/>
      </w:pPr>
    </w:p>
    <w:p w14:paraId="30DC8E05" w14:textId="484D6EC2" w:rsidR="00E46D96" w:rsidRPr="00A96255" w:rsidRDefault="00E46D96" w:rsidP="00F719A8">
      <w:pPr>
        <w:pStyle w:val="MHeader2"/>
      </w:pPr>
      <w:r w:rsidRPr="00A96255">
        <w:t>3.f. Data compilers</w:t>
      </w:r>
    </w:p>
    <w:p w14:paraId="5C43435B" w14:textId="06708FBD" w:rsidR="00EC2915" w:rsidRDefault="00E7335B" w:rsidP="00576CFA">
      <w:pPr>
        <w:pStyle w:val="MText"/>
      </w:pPr>
      <w:r w:rsidRPr="00E7335B">
        <w:t>UNEP and UN-Water partners, under the UN-Water initiative on integrated monitoring of SDG 6.</w:t>
      </w:r>
    </w:p>
    <w:p w14:paraId="2746F398" w14:textId="77777777" w:rsidR="00E7335B" w:rsidRPr="00A96255" w:rsidRDefault="00E7335B" w:rsidP="00576CFA">
      <w:pPr>
        <w:pStyle w:val="MText"/>
      </w:pPr>
    </w:p>
    <w:p w14:paraId="5655E768" w14:textId="5429F32E" w:rsidR="00E46D96" w:rsidRPr="00A96255" w:rsidRDefault="00E46D96" w:rsidP="00F719A8">
      <w:pPr>
        <w:pStyle w:val="MHeader2"/>
      </w:pPr>
      <w:r w:rsidRPr="00A96255">
        <w:t>3.g. Institutional mandate</w:t>
      </w:r>
    </w:p>
    <w:p w14:paraId="26B863C3" w14:textId="785EF2AF" w:rsidR="00576CFA" w:rsidRPr="00A96255" w:rsidRDefault="002F0098" w:rsidP="00576CFA">
      <w:pPr>
        <w:pStyle w:val="MText"/>
      </w:pPr>
      <w:r w:rsidRPr="00D72599">
        <w:t xml:space="preserve">UNEP is the designated Custodian Agency for the indicator. Support on the collection, processing, and dissemination of statistics for this indicator is provided by the UNEP-DHI Centre on Water and Environment, the Global Water Partnership (GWP), and Cap-Net. </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49ED2139" w14:textId="77777777" w:rsidR="004D500D" w:rsidRDefault="00BA4112" w:rsidP="004D500D">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indicator provides a direct progress measurement of the first part of Target 6.5 “…implement integrated water resources management at all levels …”. The indicator score provides an easy and understandable way of measuring progress towards the target, with ‘0’ interpreted as no implementation of IWRM, and ‘100’ interpreted as IWRM being fully implemented.</w:t>
      </w:r>
    </w:p>
    <w:p w14:paraId="1F6E54BB" w14:textId="09F6537A"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w:t>
      </w:r>
    </w:p>
    <w:p w14:paraId="66B55E3A" w14:textId="29206080" w:rsidR="00BA4112" w:rsidRDefault="00BA4112" w:rsidP="004D500D">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To further aid interpretation and comparison, the indicator results can be categorized as follows: </w:t>
      </w:r>
    </w:p>
    <w:p w14:paraId="5A22CB57" w14:textId="77777777" w:rsidR="004D500D" w:rsidRPr="00F07C28" w:rsidRDefault="004D500D" w:rsidP="00D72599">
      <w:pPr>
        <w:shd w:val="clear" w:color="auto" w:fill="FFFFFF"/>
        <w:spacing w:after="0" w:line="23" w:lineRule="atLeast"/>
        <w:rPr>
          <w:rFonts w:eastAsia="Times New Roman" w:cs="Times New Roman"/>
          <w:color w:val="4A4A4A"/>
          <w:sz w:val="21"/>
          <w:szCs w:val="21"/>
          <w:lang w:eastAsia="en-GB"/>
        </w:rPr>
      </w:pPr>
    </w:p>
    <w:tbl>
      <w:tblPr>
        <w:tblStyle w:val="TableGrid"/>
        <w:tblW w:w="9639" w:type="dxa"/>
        <w:tblLayout w:type="fixed"/>
        <w:tblCellMar>
          <w:left w:w="57" w:type="dxa"/>
          <w:right w:w="57" w:type="dxa"/>
        </w:tblCellMar>
        <w:tblLook w:val="04A0" w:firstRow="1" w:lastRow="0" w:firstColumn="1" w:lastColumn="0" w:noHBand="0" w:noVBand="1"/>
      </w:tblPr>
      <w:tblGrid>
        <w:gridCol w:w="1510"/>
        <w:gridCol w:w="895"/>
        <w:gridCol w:w="7234"/>
      </w:tblGrid>
      <w:tr w:rsidR="00BA4112" w:rsidRPr="00F07C28" w14:paraId="76D12C0A" w14:textId="77777777" w:rsidTr="0038667D">
        <w:trPr>
          <w:trHeight w:val="447"/>
        </w:trPr>
        <w:tc>
          <w:tcPr>
            <w:tcW w:w="1510" w:type="dxa"/>
          </w:tcPr>
          <w:p w14:paraId="56ECBE2C" w14:textId="77777777" w:rsidR="00BA4112" w:rsidRPr="00F07C28" w:rsidRDefault="00BA4112">
            <w:pPr>
              <w:tabs>
                <w:tab w:val="left" w:pos="2126"/>
              </w:tabs>
              <w:rPr>
                <w:color w:val="4A4A4A"/>
                <w:sz w:val="21"/>
                <w:szCs w:val="21"/>
              </w:rPr>
            </w:pPr>
            <w:r w:rsidRPr="00F07C28">
              <w:rPr>
                <w:color w:val="4A4A4A"/>
                <w:sz w:val="21"/>
                <w:szCs w:val="21"/>
              </w:rPr>
              <w:t>Degree of implementation</w:t>
            </w:r>
          </w:p>
        </w:tc>
        <w:tc>
          <w:tcPr>
            <w:tcW w:w="895" w:type="dxa"/>
          </w:tcPr>
          <w:p w14:paraId="5348756D" w14:textId="77777777" w:rsidR="00BA4112" w:rsidRPr="00F07C28" w:rsidRDefault="00BA4112">
            <w:pPr>
              <w:tabs>
                <w:tab w:val="left" w:pos="2126"/>
              </w:tabs>
              <w:jc w:val="center"/>
              <w:rPr>
                <w:color w:val="4A4A4A"/>
                <w:sz w:val="21"/>
                <w:szCs w:val="21"/>
              </w:rPr>
            </w:pPr>
            <w:r w:rsidRPr="00F07C28">
              <w:rPr>
                <w:color w:val="4A4A4A"/>
                <w:sz w:val="21"/>
                <w:szCs w:val="21"/>
              </w:rPr>
              <w:t>Score range</w:t>
            </w:r>
          </w:p>
        </w:tc>
        <w:tc>
          <w:tcPr>
            <w:tcW w:w="7234" w:type="dxa"/>
            <w:shd w:val="clear" w:color="auto" w:fill="auto"/>
          </w:tcPr>
          <w:p w14:paraId="1DCDAF77" w14:textId="77777777" w:rsidR="00BA4112" w:rsidRPr="00F07C28" w:rsidRDefault="00BA4112">
            <w:pPr>
              <w:tabs>
                <w:tab w:val="left" w:pos="2126"/>
              </w:tabs>
              <w:rPr>
                <w:color w:val="4A4A4A"/>
                <w:sz w:val="21"/>
                <w:szCs w:val="21"/>
              </w:rPr>
            </w:pPr>
            <w:r w:rsidRPr="00F07C28">
              <w:rPr>
                <w:color w:val="4A4A4A"/>
                <w:sz w:val="21"/>
                <w:szCs w:val="21"/>
              </w:rPr>
              <w:t>General interpretation for overall IWRM score</w:t>
            </w:r>
          </w:p>
        </w:tc>
      </w:tr>
      <w:tr w:rsidR="00BA4112" w:rsidRPr="00F07C28" w14:paraId="314926E9" w14:textId="77777777" w:rsidTr="0038667D">
        <w:trPr>
          <w:trHeight w:val="166"/>
        </w:trPr>
        <w:tc>
          <w:tcPr>
            <w:tcW w:w="1510" w:type="dxa"/>
            <w:shd w:val="clear" w:color="auto" w:fill="0A97D9"/>
          </w:tcPr>
          <w:p w14:paraId="5193643B" w14:textId="77777777" w:rsidR="00BA4112" w:rsidRPr="00F07C28" w:rsidRDefault="00BA4112">
            <w:pPr>
              <w:tabs>
                <w:tab w:val="left" w:pos="2126"/>
              </w:tabs>
              <w:rPr>
                <w:color w:val="FFFFFF" w:themeColor="background1"/>
                <w:sz w:val="21"/>
                <w:szCs w:val="21"/>
              </w:rPr>
            </w:pPr>
            <w:r w:rsidRPr="00F07C28">
              <w:rPr>
                <w:color w:val="FFFFFF" w:themeColor="background1"/>
                <w:sz w:val="21"/>
                <w:szCs w:val="21"/>
              </w:rPr>
              <w:t>Very high</w:t>
            </w:r>
          </w:p>
        </w:tc>
        <w:tc>
          <w:tcPr>
            <w:tcW w:w="895" w:type="dxa"/>
            <w:shd w:val="clear" w:color="auto" w:fill="0A97D9"/>
          </w:tcPr>
          <w:p w14:paraId="1E791B27" w14:textId="77777777" w:rsidR="00BA4112" w:rsidRPr="00F07C28" w:rsidRDefault="00BA4112">
            <w:pPr>
              <w:tabs>
                <w:tab w:val="left" w:pos="2126"/>
              </w:tabs>
              <w:jc w:val="center"/>
              <w:rPr>
                <w:color w:val="FFFFFF" w:themeColor="background1"/>
                <w:sz w:val="21"/>
                <w:szCs w:val="21"/>
              </w:rPr>
            </w:pPr>
            <w:r w:rsidRPr="00F07C28">
              <w:rPr>
                <w:color w:val="FFFFFF" w:themeColor="background1"/>
                <w:sz w:val="21"/>
                <w:szCs w:val="21"/>
              </w:rPr>
              <w:t>91 - 100</w:t>
            </w:r>
          </w:p>
        </w:tc>
        <w:tc>
          <w:tcPr>
            <w:tcW w:w="7234" w:type="dxa"/>
            <w:shd w:val="clear" w:color="auto" w:fill="auto"/>
          </w:tcPr>
          <w:p w14:paraId="27137A57" w14:textId="77777777" w:rsidR="00BA4112" w:rsidRPr="00F07C28" w:rsidRDefault="00BA4112">
            <w:pPr>
              <w:tabs>
                <w:tab w:val="left" w:pos="2126"/>
              </w:tabs>
              <w:rPr>
                <w:color w:val="4A4A4A"/>
                <w:sz w:val="21"/>
                <w:szCs w:val="21"/>
              </w:rPr>
            </w:pPr>
            <w:r w:rsidRPr="00F07C28">
              <w:rPr>
                <w:color w:val="4A4A4A"/>
                <w:sz w:val="21"/>
                <w:szCs w:val="21"/>
              </w:rPr>
              <w:t>Vast majority of IWRM elements are fully implemented, with objectives consistently achieved, and plans and programmes periodically assessed and revised.</w:t>
            </w:r>
          </w:p>
        </w:tc>
      </w:tr>
      <w:tr w:rsidR="00BA4112" w:rsidRPr="00F07C28" w14:paraId="62F6992E" w14:textId="77777777" w:rsidTr="0038667D">
        <w:tc>
          <w:tcPr>
            <w:tcW w:w="1510" w:type="dxa"/>
            <w:shd w:val="clear" w:color="auto" w:fill="6CC1E4"/>
          </w:tcPr>
          <w:p w14:paraId="5E66812C" w14:textId="77777777" w:rsidR="00BA4112" w:rsidRPr="00F07C28" w:rsidRDefault="00BA4112">
            <w:pPr>
              <w:tabs>
                <w:tab w:val="left" w:pos="2126"/>
              </w:tabs>
              <w:rPr>
                <w:color w:val="4A4A4A"/>
                <w:sz w:val="21"/>
                <w:szCs w:val="21"/>
              </w:rPr>
            </w:pPr>
            <w:r w:rsidRPr="00F07C28">
              <w:rPr>
                <w:color w:val="4A4A4A"/>
                <w:sz w:val="21"/>
                <w:szCs w:val="21"/>
              </w:rPr>
              <w:t>High</w:t>
            </w:r>
          </w:p>
        </w:tc>
        <w:tc>
          <w:tcPr>
            <w:tcW w:w="895" w:type="dxa"/>
            <w:shd w:val="clear" w:color="auto" w:fill="6CC1E4"/>
          </w:tcPr>
          <w:p w14:paraId="1D766E98" w14:textId="77777777" w:rsidR="00BA4112" w:rsidRPr="00F07C28" w:rsidRDefault="00BA4112">
            <w:pPr>
              <w:tabs>
                <w:tab w:val="left" w:pos="2126"/>
              </w:tabs>
              <w:jc w:val="center"/>
              <w:rPr>
                <w:color w:val="4A4A4A"/>
                <w:sz w:val="21"/>
                <w:szCs w:val="21"/>
              </w:rPr>
            </w:pPr>
            <w:r w:rsidRPr="00F07C28">
              <w:rPr>
                <w:color w:val="4A4A4A"/>
                <w:sz w:val="21"/>
                <w:szCs w:val="21"/>
              </w:rPr>
              <w:t>71 - 90</w:t>
            </w:r>
          </w:p>
        </w:tc>
        <w:tc>
          <w:tcPr>
            <w:tcW w:w="7234" w:type="dxa"/>
            <w:shd w:val="clear" w:color="auto" w:fill="auto"/>
          </w:tcPr>
          <w:p w14:paraId="637D8F7D" w14:textId="77777777" w:rsidR="00BA4112" w:rsidRPr="00F07C28" w:rsidRDefault="00BA4112">
            <w:pPr>
              <w:tabs>
                <w:tab w:val="left" w:pos="2126"/>
              </w:tabs>
              <w:rPr>
                <w:color w:val="4A4A4A"/>
                <w:sz w:val="21"/>
                <w:szCs w:val="21"/>
              </w:rPr>
            </w:pPr>
            <w:r w:rsidRPr="00F07C28">
              <w:rPr>
                <w:color w:val="4A4A4A"/>
                <w:sz w:val="21"/>
                <w:szCs w:val="21"/>
              </w:rPr>
              <w:t>IWRM objectives of plans and programmes are generally met, and geographic coverage and stakeholder engagement is generally good.</w:t>
            </w:r>
          </w:p>
        </w:tc>
      </w:tr>
      <w:tr w:rsidR="00BA4112" w:rsidRPr="00F07C28" w14:paraId="1E696C58" w14:textId="77777777" w:rsidTr="0038667D">
        <w:tc>
          <w:tcPr>
            <w:tcW w:w="1510" w:type="dxa"/>
            <w:shd w:val="clear" w:color="auto" w:fill="7EB06B"/>
          </w:tcPr>
          <w:p w14:paraId="295F73B2" w14:textId="77777777" w:rsidR="00BA4112" w:rsidRPr="00F07C28" w:rsidRDefault="00BA4112">
            <w:pPr>
              <w:tabs>
                <w:tab w:val="left" w:pos="2126"/>
              </w:tabs>
              <w:rPr>
                <w:color w:val="4A4A4A"/>
                <w:sz w:val="21"/>
                <w:szCs w:val="21"/>
              </w:rPr>
            </w:pPr>
            <w:r w:rsidRPr="00F07C28">
              <w:rPr>
                <w:color w:val="4A4A4A"/>
                <w:sz w:val="21"/>
                <w:szCs w:val="21"/>
              </w:rPr>
              <w:t>Medium-high</w:t>
            </w:r>
          </w:p>
        </w:tc>
        <w:tc>
          <w:tcPr>
            <w:tcW w:w="895" w:type="dxa"/>
            <w:shd w:val="clear" w:color="auto" w:fill="7EB06B"/>
          </w:tcPr>
          <w:p w14:paraId="4DE6426A" w14:textId="77777777" w:rsidR="00BA4112" w:rsidRPr="00F07C28" w:rsidRDefault="00BA4112">
            <w:pPr>
              <w:tabs>
                <w:tab w:val="left" w:pos="2126"/>
              </w:tabs>
              <w:jc w:val="center"/>
              <w:rPr>
                <w:color w:val="4A4A4A"/>
                <w:sz w:val="21"/>
                <w:szCs w:val="21"/>
              </w:rPr>
            </w:pPr>
            <w:r w:rsidRPr="00F07C28">
              <w:rPr>
                <w:color w:val="4A4A4A"/>
                <w:sz w:val="21"/>
                <w:szCs w:val="21"/>
              </w:rPr>
              <w:t>51 - 70</w:t>
            </w:r>
          </w:p>
        </w:tc>
        <w:tc>
          <w:tcPr>
            <w:tcW w:w="7234" w:type="dxa"/>
            <w:shd w:val="clear" w:color="auto" w:fill="auto"/>
          </w:tcPr>
          <w:p w14:paraId="158EB2AE" w14:textId="77777777" w:rsidR="00BA4112" w:rsidRPr="00F07C28" w:rsidRDefault="00BA4112">
            <w:pPr>
              <w:tabs>
                <w:tab w:val="left" w:pos="2126"/>
              </w:tabs>
              <w:rPr>
                <w:color w:val="4A4A4A"/>
                <w:sz w:val="21"/>
                <w:szCs w:val="21"/>
              </w:rPr>
            </w:pPr>
            <w:r w:rsidRPr="00F07C28">
              <w:rPr>
                <w:color w:val="4A4A4A"/>
                <w:sz w:val="21"/>
                <w:szCs w:val="21"/>
              </w:rPr>
              <w:t>Capacity to implement elements of IWRM is generally adequate, and elements are generally being implemented under long-term programmes.</w:t>
            </w:r>
          </w:p>
        </w:tc>
      </w:tr>
      <w:tr w:rsidR="00BA4112" w:rsidRPr="00F07C28" w14:paraId="4E4F52FC" w14:textId="77777777" w:rsidTr="0038667D">
        <w:trPr>
          <w:trHeight w:val="228"/>
        </w:trPr>
        <w:tc>
          <w:tcPr>
            <w:tcW w:w="1510" w:type="dxa"/>
            <w:shd w:val="clear" w:color="auto" w:fill="FBB811"/>
          </w:tcPr>
          <w:p w14:paraId="4D6E291C" w14:textId="77777777" w:rsidR="00BA4112" w:rsidRPr="00F07C28" w:rsidRDefault="00BA4112">
            <w:pPr>
              <w:tabs>
                <w:tab w:val="left" w:pos="2126"/>
              </w:tabs>
              <w:rPr>
                <w:color w:val="4A4A4A"/>
                <w:sz w:val="21"/>
                <w:szCs w:val="21"/>
              </w:rPr>
            </w:pPr>
            <w:r w:rsidRPr="00F07C28">
              <w:rPr>
                <w:color w:val="4A4A4A"/>
                <w:sz w:val="21"/>
                <w:szCs w:val="21"/>
              </w:rPr>
              <w:t>Medium-low</w:t>
            </w:r>
          </w:p>
        </w:tc>
        <w:tc>
          <w:tcPr>
            <w:tcW w:w="895" w:type="dxa"/>
            <w:shd w:val="clear" w:color="auto" w:fill="FBB811"/>
          </w:tcPr>
          <w:p w14:paraId="162BF968" w14:textId="77777777" w:rsidR="00BA4112" w:rsidRPr="00F07C28" w:rsidRDefault="00BA4112">
            <w:pPr>
              <w:tabs>
                <w:tab w:val="left" w:pos="2126"/>
              </w:tabs>
              <w:jc w:val="center"/>
              <w:rPr>
                <w:color w:val="4A4A4A"/>
                <w:sz w:val="21"/>
                <w:szCs w:val="21"/>
              </w:rPr>
            </w:pPr>
            <w:r w:rsidRPr="00F07C28">
              <w:rPr>
                <w:color w:val="4A4A4A"/>
                <w:sz w:val="21"/>
                <w:szCs w:val="21"/>
              </w:rPr>
              <w:t>31 - 50</w:t>
            </w:r>
          </w:p>
        </w:tc>
        <w:tc>
          <w:tcPr>
            <w:tcW w:w="7234" w:type="dxa"/>
            <w:shd w:val="clear" w:color="auto" w:fill="auto"/>
          </w:tcPr>
          <w:p w14:paraId="300BC347" w14:textId="77777777" w:rsidR="00BA4112" w:rsidRPr="00F07C28" w:rsidRDefault="00BA4112">
            <w:pPr>
              <w:tabs>
                <w:tab w:val="left" w:pos="2126"/>
              </w:tabs>
              <w:rPr>
                <w:color w:val="4A4A4A"/>
                <w:sz w:val="21"/>
                <w:szCs w:val="21"/>
              </w:rPr>
            </w:pPr>
            <w:r w:rsidRPr="00F07C28">
              <w:rPr>
                <w:color w:val="4A4A4A"/>
                <w:sz w:val="21"/>
                <w:szCs w:val="21"/>
              </w:rPr>
              <w:t>Elements of IWRM are generally institutionalized, and implementation is underway.</w:t>
            </w:r>
          </w:p>
        </w:tc>
      </w:tr>
      <w:tr w:rsidR="00BA4112" w:rsidRPr="00F07C28" w14:paraId="7D9312D6" w14:textId="77777777" w:rsidTr="0038667D">
        <w:tc>
          <w:tcPr>
            <w:tcW w:w="1510" w:type="dxa"/>
            <w:shd w:val="clear" w:color="auto" w:fill="FD6925"/>
          </w:tcPr>
          <w:p w14:paraId="542F5F5E" w14:textId="77777777" w:rsidR="00BA4112" w:rsidRPr="00F07C28" w:rsidRDefault="00BA4112">
            <w:pPr>
              <w:tabs>
                <w:tab w:val="left" w:pos="2126"/>
              </w:tabs>
              <w:rPr>
                <w:color w:val="4A4A4A"/>
                <w:sz w:val="21"/>
                <w:szCs w:val="21"/>
              </w:rPr>
            </w:pPr>
            <w:r w:rsidRPr="00F07C28">
              <w:rPr>
                <w:color w:val="4A4A4A"/>
                <w:sz w:val="21"/>
                <w:szCs w:val="21"/>
              </w:rPr>
              <w:t>Low</w:t>
            </w:r>
          </w:p>
        </w:tc>
        <w:tc>
          <w:tcPr>
            <w:tcW w:w="895" w:type="dxa"/>
            <w:shd w:val="clear" w:color="auto" w:fill="FD6925"/>
          </w:tcPr>
          <w:p w14:paraId="386A807A" w14:textId="77777777" w:rsidR="00BA4112" w:rsidRPr="00F07C28" w:rsidRDefault="00BA4112">
            <w:pPr>
              <w:tabs>
                <w:tab w:val="left" w:pos="2126"/>
              </w:tabs>
              <w:jc w:val="center"/>
              <w:rPr>
                <w:color w:val="4A4A4A"/>
                <w:sz w:val="21"/>
                <w:szCs w:val="21"/>
              </w:rPr>
            </w:pPr>
            <w:r w:rsidRPr="00F07C28">
              <w:rPr>
                <w:color w:val="4A4A4A"/>
                <w:sz w:val="21"/>
                <w:szCs w:val="21"/>
              </w:rPr>
              <w:t>11 - 30</w:t>
            </w:r>
          </w:p>
        </w:tc>
        <w:tc>
          <w:tcPr>
            <w:tcW w:w="7234" w:type="dxa"/>
            <w:shd w:val="clear" w:color="auto" w:fill="auto"/>
          </w:tcPr>
          <w:p w14:paraId="68CF8E4D" w14:textId="77777777" w:rsidR="00BA4112" w:rsidRPr="00F07C28" w:rsidRDefault="00BA4112">
            <w:pPr>
              <w:tabs>
                <w:tab w:val="left" w:pos="2126"/>
              </w:tabs>
              <w:rPr>
                <w:color w:val="4A4A4A"/>
                <w:sz w:val="21"/>
                <w:szCs w:val="21"/>
              </w:rPr>
            </w:pPr>
            <w:r w:rsidRPr="00F07C28">
              <w:rPr>
                <w:color w:val="4A4A4A"/>
                <w:sz w:val="21"/>
                <w:szCs w:val="21"/>
              </w:rPr>
              <w:t>Implementation of elements of IWRM has generally begun, but with limited uptake across the country, and potentially low engagement of stakeholder groups.</w:t>
            </w:r>
          </w:p>
        </w:tc>
      </w:tr>
      <w:tr w:rsidR="00BA4112" w:rsidRPr="00F07C28" w14:paraId="0FADEEC2" w14:textId="77777777" w:rsidTr="0038667D">
        <w:trPr>
          <w:trHeight w:val="193"/>
        </w:trPr>
        <w:tc>
          <w:tcPr>
            <w:tcW w:w="1510" w:type="dxa"/>
            <w:shd w:val="clear" w:color="auto" w:fill="AD1736"/>
          </w:tcPr>
          <w:p w14:paraId="0E46870B" w14:textId="77777777" w:rsidR="00BA4112" w:rsidRPr="00F07C28" w:rsidRDefault="00BA4112">
            <w:pPr>
              <w:tabs>
                <w:tab w:val="left" w:pos="2126"/>
              </w:tabs>
              <w:rPr>
                <w:color w:val="FFFFFF"/>
                <w:sz w:val="21"/>
                <w:szCs w:val="21"/>
              </w:rPr>
            </w:pPr>
            <w:r w:rsidRPr="00F07C28">
              <w:rPr>
                <w:color w:val="FFFFFF"/>
                <w:sz w:val="21"/>
                <w:szCs w:val="21"/>
              </w:rPr>
              <w:t>Very low</w:t>
            </w:r>
          </w:p>
        </w:tc>
        <w:tc>
          <w:tcPr>
            <w:tcW w:w="895" w:type="dxa"/>
            <w:shd w:val="clear" w:color="auto" w:fill="AD1736"/>
          </w:tcPr>
          <w:p w14:paraId="42B768AB" w14:textId="77777777" w:rsidR="00BA4112" w:rsidRPr="00F07C28" w:rsidRDefault="00BA4112">
            <w:pPr>
              <w:tabs>
                <w:tab w:val="left" w:pos="2126"/>
              </w:tabs>
              <w:jc w:val="center"/>
              <w:rPr>
                <w:color w:val="FFFFFF"/>
                <w:sz w:val="21"/>
                <w:szCs w:val="21"/>
              </w:rPr>
            </w:pPr>
            <w:r w:rsidRPr="00F07C28">
              <w:rPr>
                <w:color w:val="FFFFFF"/>
                <w:sz w:val="21"/>
                <w:szCs w:val="21"/>
              </w:rPr>
              <w:t>0 - 10</w:t>
            </w:r>
          </w:p>
        </w:tc>
        <w:tc>
          <w:tcPr>
            <w:tcW w:w="7234" w:type="dxa"/>
            <w:shd w:val="clear" w:color="auto" w:fill="auto"/>
          </w:tcPr>
          <w:p w14:paraId="11374064" w14:textId="77777777" w:rsidR="00BA4112" w:rsidRPr="00F07C28" w:rsidRDefault="00BA4112">
            <w:pPr>
              <w:tabs>
                <w:tab w:val="left" w:pos="2126"/>
              </w:tabs>
              <w:rPr>
                <w:color w:val="4A4A4A"/>
                <w:sz w:val="21"/>
                <w:szCs w:val="21"/>
              </w:rPr>
            </w:pPr>
            <w:r w:rsidRPr="00F07C28">
              <w:rPr>
                <w:color w:val="4A4A4A"/>
                <w:sz w:val="21"/>
                <w:szCs w:val="21"/>
              </w:rPr>
              <w:t>Development of elements of IWRM has generally not begun, or has stalled.</w:t>
            </w:r>
          </w:p>
        </w:tc>
      </w:tr>
    </w:tbl>
    <w:p w14:paraId="383C207F" w14:textId="77777777" w:rsidR="004D500D" w:rsidRDefault="004D500D" w:rsidP="004D500D">
      <w:pPr>
        <w:shd w:val="clear" w:color="auto" w:fill="FFFFFF"/>
        <w:spacing w:after="0" w:line="23" w:lineRule="atLeast"/>
        <w:rPr>
          <w:rFonts w:eastAsia="Times New Roman" w:cs="Times New Roman"/>
          <w:color w:val="4A4A4A"/>
          <w:sz w:val="21"/>
          <w:szCs w:val="21"/>
          <w:lang w:eastAsia="en-GB"/>
        </w:rPr>
      </w:pPr>
    </w:p>
    <w:p w14:paraId="1EAD4552" w14:textId="75B77ED3" w:rsidR="00BA4112" w:rsidRDefault="00BA4112" w:rsidP="004D500D">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concept of the survey is that it provides </w:t>
      </w:r>
      <w:proofErr w:type="gramStart"/>
      <w:r w:rsidRPr="00F07C28">
        <w:rPr>
          <w:rFonts w:eastAsia="Times New Roman" w:cs="Times New Roman"/>
          <w:color w:val="4A4A4A"/>
          <w:sz w:val="21"/>
          <w:szCs w:val="21"/>
          <w:lang w:eastAsia="en-GB"/>
        </w:rPr>
        <w:t>sufficient</w:t>
      </w:r>
      <w:proofErr w:type="gramEnd"/>
      <w:r w:rsidRPr="00F07C28">
        <w:rPr>
          <w:rFonts w:eastAsia="Times New Roman" w:cs="Times New Roman"/>
          <w:color w:val="4A4A4A"/>
          <w:sz w:val="21"/>
          <w:szCs w:val="21"/>
          <w:lang w:eastAsia="en-GB"/>
        </w:rPr>
        <w:t xml:space="preserve"> information to be of real value to the countries in determining their progress towards the target, and through this, various aspects of IWRM. A balance has been sought between providing </w:t>
      </w:r>
      <w:proofErr w:type="gramStart"/>
      <w:r w:rsidRPr="00F07C28">
        <w:rPr>
          <w:rFonts w:eastAsia="Times New Roman" w:cs="Times New Roman"/>
          <w:color w:val="4A4A4A"/>
          <w:sz w:val="21"/>
          <w:szCs w:val="21"/>
          <w:lang w:eastAsia="en-GB"/>
        </w:rPr>
        <w:t>sufficient</w:t>
      </w:r>
      <w:proofErr w:type="gramEnd"/>
      <w:r w:rsidRPr="00F07C28">
        <w:rPr>
          <w:rFonts w:eastAsia="Times New Roman" w:cs="Times New Roman"/>
          <w:color w:val="4A4A4A"/>
          <w:sz w:val="21"/>
          <w:szCs w:val="21"/>
          <w:lang w:eastAsia="en-GB"/>
        </w:rPr>
        <w:t xml:space="preserve"> information to cover the core principles of IWRM, and thus providing a robust indicator value, and not overburdening countries with unnecessary reporting requirements. </w:t>
      </w:r>
    </w:p>
    <w:p w14:paraId="1B896AED" w14:textId="77777777" w:rsidR="004D500D" w:rsidRPr="00F07C28" w:rsidRDefault="004D500D" w:rsidP="00D72599">
      <w:pPr>
        <w:shd w:val="clear" w:color="auto" w:fill="FFFFFF"/>
        <w:spacing w:after="0" w:line="23" w:lineRule="atLeast"/>
        <w:rPr>
          <w:rFonts w:eastAsia="Times New Roman" w:cs="Times New Roman"/>
          <w:color w:val="4A4A4A"/>
          <w:sz w:val="21"/>
          <w:szCs w:val="21"/>
          <w:lang w:eastAsia="en-GB"/>
        </w:rPr>
      </w:pPr>
    </w:p>
    <w:p w14:paraId="78492125" w14:textId="77777777"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Countries are encouraged to provide additional information on each question, which may help to qualify their choice of score, and/or put that score into their national context. </w:t>
      </w:r>
    </w:p>
    <w:p w14:paraId="288977C9" w14:textId="77777777"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Indicator 6.5.1 is supported by indicator 6.5.2 “Proportion of transboundary basin area with an operational arrangement for water cooperation”, which directly addresses the portion of Target 6.5 “…, including through transboundary cooperation as appropriate.”.</w:t>
      </w:r>
    </w:p>
    <w:p w14:paraId="18EA7892" w14:textId="77777777" w:rsidR="00576CFA" w:rsidRPr="00A96255" w:rsidRDefault="00576CFA">
      <w:pPr>
        <w:pStyle w:val="MText"/>
      </w:pPr>
    </w:p>
    <w:p w14:paraId="2529B069" w14:textId="618DCD10" w:rsidR="00E1050F" w:rsidRPr="00A96255" w:rsidRDefault="00E1050F" w:rsidP="00F719A8">
      <w:pPr>
        <w:pStyle w:val="MHeader2"/>
      </w:pPr>
      <w:r w:rsidRPr="00A96255">
        <w:t>4.b. Comment and limitations</w:t>
      </w:r>
    </w:p>
    <w:p w14:paraId="41F542D9" w14:textId="77777777" w:rsidR="001D70A5" w:rsidRPr="00F07C28" w:rsidRDefault="001D70A5"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lastRenderedPageBreak/>
        <w:t xml:space="preserve">The challenge of subjectivity in responses associated with this type of survey is being addressed in a number of ways: </w:t>
      </w:r>
    </w:p>
    <w:p w14:paraId="5067AA14" w14:textId="77777777" w:rsidR="001D70A5" w:rsidRPr="00F07C28" w:rsidRDefault="001D70A5">
      <w:pPr>
        <w:pStyle w:val="ListParagraph"/>
        <w:numPr>
          <w:ilvl w:val="0"/>
          <w:numId w:val="13"/>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Draft responses are reviewed by </w:t>
      </w:r>
      <w:proofErr w:type="gramStart"/>
      <w:r w:rsidRPr="00F07C28">
        <w:rPr>
          <w:rFonts w:eastAsia="Times New Roman" w:cs="Times New Roman"/>
          <w:color w:val="4A4A4A"/>
          <w:sz w:val="21"/>
          <w:szCs w:val="21"/>
          <w:lang w:eastAsia="en-GB"/>
        </w:rPr>
        <w:t>a number of</w:t>
      </w:r>
      <w:proofErr w:type="gramEnd"/>
      <w:r w:rsidRPr="00F07C28">
        <w:rPr>
          <w:rFonts w:eastAsia="Times New Roman" w:cs="Times New Roman"/>
          <w:color w:val="4A4A4A"/>
          <w:sz w:val="21"/>
          <w:szCs w:val="21"/>
          <w:lang w:eastAsia="en-GB"/>
        </w:rPr>
        <w:t xml:space="preserve"> governmental and non-governmental stakeholders in an open, inclusive and transparent process. </w:t>
      </w:r>
    </w:p>
    <w:p w14:paraId="33F498DC" w14:textId="77777777" w:rsidR="001D70A5" w:rsidRPr="00F07C28" w:rsidRDefault="001D70A5">
      <w:pPr>
        <w:pStyle w:val="ListParagraph"/>
        <w:numPr>
          <w:ilvl w:val="0"/>
          <w:numId w:val="13"/>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Countries are encouraged to provide further information to qualify their responses and/or set them in the national context. </w:t>
      </w:r>
    </w:p>
    <w:p w14:paraId="4998F05C" w14:textId="77777777" w:rsidR="001D70A5" w:rsidRPr="00F07C28" w:rsidRDefault="001D70A5" w:rsidP="00D72599">
      <w:pPr>
        <w:pStyle w:val="ListParagraph"/>
        <w:numPr>
          <w:ilvl w:val="0"/>
          <w:numId w:val="13"/>
        </w:numPr>
        <w:shd w:val="clear" w:color="auto" w:fill="FFFFFF"/>
        <w:spacing w:after="0"/>
        <w:ind w:left="714" w:hanging="357"/>
        <w:contextualSpacing w:val="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Guidelines are provided for each of the four main sections, each question, and each of the six thresholds for every single question, to ensure responses are as objective as possible, and are comparable both between countries, and between reporting periods. </w:t>
      </w:r>
    </w:p>
    <w:p w14:paraId="0B49DB5B" w14:textId="6D91123E" w:rsidR="001D70A5" w:rsidRPr="00F07C28" w:rsidRDefault="001D70A5"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To achieve robust indicator results requires a country process involving a wide range of stakeholders which require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a certain amount of time and resources. The advantage of this is that it puts in place a process that addresses the integrated and indivisible nature of the SDG targets, as well as stressing the importance of “leaving no on behind”.</w:t>
      </w:r>
    </w:p>
    <w:p w14:paraId="398C00AE" w14:textId="77777777" w:rsidR="00EC2915" w:rsidRPr="00A96255" w:rsidRDefault="00EC2915">
      <w:pPr>
        <w:pStyle w:val="MText"/>
      </w:pPr>
    </w:p>
    <w:p w14:paraId="79EEEE38" w14:textId="75AB172D" w:rsidR="00E1050F" w:rsidRPr="00A96255" w:rsidRDefault="00E1050F" w:rsidP="00F719A8">
      <w:pPr>
        <w:pStyle w:val="MHeader2"/>
      </w:pPr>
      <w:r w:rsidRPr="00A96255">
        <w:t>4.c. Method of computation</w:t>
      </w:r>
    </w:p>
    <w:p w14:paraId="7F2AAC80" w14:textId="77777777" w:rsidR="001D70A5" w:rsidRPr="00F07C28" w:rsidRDefault="001D70A5" w:rsidP="001D70A5">
      <w:pPr>
        <w:pStyle w:val="ListParagraph"/>
        <w:numPr>
          <w:ilvl w:val="0"/>
          <w:numId w:val="11"/>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survey contains 33 questions divided into the four main sections described above. </w:t>
      </w:r>
    </w:p>
    <w:p w14:paraId="2328AE9A" w14:textId="77777777" w:rsidR="001D70A5" w:rsidRPr="00F07C28" w:rsidRDefault="001D70A5" w:rsidP="001D70A5">
      <w:pPr>
        <w:pStyle w:val="ListParagraph"/>
        <w:numPr>
          <w:ilvl w:val="0"/>
          <w:numId w:val="11"/>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Each question is given a score between 0 and 100, in increments of 10, guided by threshold descriptions for the following 6 categories:</w:t>
      </w:r>
    </w:p>
    <w:p w14:paraId="6ABF0669" w14:textId="77777777" w:rsidR="001D70A5" w:rsidRPr="00F07C28" w:rsidRDefault="001D70A5" w:rsidP="001D70A5">
      <w:pPr>
        <w:pStyle w:val="ListParagraph"/>
        <w:numPr>
          <w:ilvl w:val="0"/>
          <w:numId w:val="12"/>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Very low (0)</w:t>
      </w:r>
    </w:p>
    <w:p w14:paraId="3D65DA63" w14:textId="77777777" w:rsidR="001D70A5" w:rsidRPr="00F07C28" w:rsidRDefault="001D70A5" w:rsidP="001D70A5">
      <w:pPr>
        <w:pStyle w:val="ListParagraph"/>
        <w:numPr>
          <w:ilvl w:val="0"/>
          <w:numId w:val="12"/>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Low (20)</w:t>
      </w:r>
    </w:p>
    <w:p w14:paraId="0777E58E" w14:textId="77777777" w:rsidR="001D70A5" w:rsidRPr="00F07C28" w:rsidRDefault="001D70A5" w:rsidP="001D70A5">
      <w:pPr>
        <w:pStyle w:val="ListParagraph"/>
        <w:numPr>
          <w:ilvl w:val="0"/>
          <w:numId w:val="12"/>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Medium-low (40)</w:t>
      </w:r>
    </w:p>
    <w:p w14:paraId="1DAE270B" w14:textId="77777777" w:rsidR="001D70A5" w:rsidRPr="00F07C28" w:rsidRDefault="001D70A5" w:rsidP="001D70A5">
      <w:pPr>
        <w:pStyle w:val="ListParagraph"/>
        <w:numPr>
          <w:ilvl w:val="0"/>
          <w:numId w:val="12"/>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Medium-high (60)</w:t>
      </w:r>
    </w:p>
    <w:p w14:paraId="3D1C9C26" w14:textId="77777777" w:rsidR="001D70A5" w:rsidRPr="00F07C28" w:rsidRDefault="001D70A5" w:rsidP="001D70A5">
      <w:pPr>
        <w:pStyle w:val="ListParagraph"/>
        <w:numPr>
          <w:ilvl w:val="0"/>
          <w:numId w:val="12"/>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High (80)</w:t>
      </w:r>
    </w:p>
    <w:p w14:paraId="0D9F3EC4" w14:textId="77777777" w:rsidR="001D70A5" w:rsidRPr="00F07C28" w:rsidRDefault="001D70A5" w:rsidP="001D70A5">
      <w:pPr>
        <w:pStyle w:val="ListParagraph"/>
        <w:numPr>
          <w:ilvl w:val="0"/>
          <w:numId w:val="12"/>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Very high (100)</w:t>
      </w:r>
    </w:p>
    <w:p w14:paraId="31379A54" w14:textId="77777777" w:rsidR="001D70A5" w:rsidRPr="00F07C28" w:rsidRDefault="001D70A5" w:rsidP="001D70A5">
      <w:pPr>
        <w:shd w:val="clear" w:color="auto" w:fill="FFFFFF"/>
        <w:spacing w:after="0"/>
        <w:ind w:left="720"/>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Note that guidance is provided for each threshold for each question, to ensure objective and comparable results. </w:t>
      </w:r>
    </w:p>
    <w:p w14:paraId="3D285A0A" w14:textId="77777777" w:rsidR="001D70A5" w:rsidRPr="00F07C28" w:rsidRDefault="001D70A5" w:rsidP="001D70A5">
      <w:pPr>
        <w:pStyle w:val="ListParagraph"/>
        <w:numPr>
          <w:ilvl w:val="0"/>
          <w:numId w:val="11"/>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un-weighted average of the question scores within each of the four sections is calculated to give a score of 0 – 100 for each section, rounded to the nearest whole number. </w:t>
      </w:r>
    </w:p>
    <w:p w14:paraId="5012FD16" w14:textId="77777777" w:rsidR="001D70A5" w:rsidRPr="00F07C28" w:rsidRDefault="001D70A5" w:rsidP="001D70A5">
      <w:pPr>
        <w:pStyle w:val="ListParagraph"/>
        <w:numPr>
          <w:ilvl w:val="0"/>
          <w:numId w:val="11"/>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section scores (rounded to the nearest whole number), are averaged (un-weighted), and rounded to the nearest whole number, to give the indicator score, expressed as a number between 0 and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4C52A4A6" w:rsidR="00576CFA" w:rsidRPr="00A96255" w:rsidRDefault="00D56E44" w:rsidP="00576CFA">
      <w:pPr>
        <w:pStyle w:val="MText"/>
      </w:pPr>
      <w:r w:rsidRPr="00D72599">
        <w:t xml:space="preserve">There is a dedicated SDG 6.5.1 Help Desk for ensuring the quality of the statistical results. </w:t>
      </w:r>
      <w:r w:rsidR="00E50CAE" w:rsidRPr="00D72599">
        <w:t xml:space="preserve">Firstly, the data goes through any national quality assurance and approval processes, before being submitted to the Help Desk. The Help Desk then undertakes the Quality Assurance procedure described in section 4.j. All issues are discussed between the Help Desk and the Focal Point(s). Only when all issues are resolved, are the data finalised and entered into the Help Desk Database. The data is then submitted to the UNEP SDG focal point, who collates all indicator data for which UNEP is the Custodian Agency, where a further quality check is undertaken, prior to submission to the SDGs Indicator Database. </w:t>
      </w: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4.e. Adjustments</w:t>
      </w:r>
    </w:p>
    <w:p w14:paraId="5032CC5E" w14:textId="05FCA198" w:rsidR="00576CFA" w:rsidRPr="00A96255" w:rsidRDefault="002D290D" w:rsidP="00576CFA">
      <w:pPr>
        <w:pStyle w:val="MText"/>
      </w:pPr>
      <w:r w:rsidRPr="00D72599">
        <w:t xml:space="preserve">Once the validation process described above is complete, no further adjustments are made.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58DCB865" w14:textId="73E1B691" w:rsidR="00D51E7C" w:rsidRPr="00660624" w:rsidRDefault="00D51E7C" w:rsidP="00660624">
      <w:pPr>
        <w:pStyle w:val="MText"/>
        <w:shd w:val="clear" w:color="auto" w:fill="auto"/>
      </w:pPr>
      <w:r w:rsidRPr="00660624">
        <w:lastRenderedPageBreak/>
        <w:t>•</w:t>
      </w:r>
      <w:r w:rsidRPr="00660624">
        <w:tab/>
        <w:t>At country level</w:t>
      </w:r>
    </w:p>
    <w:p w14:paraId="3525BDC1" w14:textId="20A0607A" w:rsidR="00660624" w:rsidRPr="00C019E5" w:rsidRDefault="00660624" w:rsidP="00D51E7C">
      <w:pPr>
        <w:pStyle w:val="MText"/>
        <w:rPr>
          <w:highlight w:val="cyan"/>
        </w:rPr>
      </w:pPr>
      <w:r w:rsidRPr="00660624">
        <w:t>The indicator and survey have been designed for all countries to be able to submit an indicator value</w:t>
      </w:r>
      <w:r w:rsidR="0008669A">
        <w:t xml:space="preserve">, and </w:t>
      </w:r>
      <w:r w:rsidRPr="00660624">
        <w:t xml:space="preserve">the number of country responses under the SDG process </w:t>
      </w:r>
      <w:r w:rsidR="00FA59D7">
        <w:t>is</w:t>
      </w:r>
      <w:r w:rsidRPr="00660624">
        <w:t xml:space="preserve"> in excess of 90%. Estimates for countries not responding to the survey </w:t>
      </w:r>
      <w:r w:rsidR="00FA59D7">
        <w:t>are</w:t>
      </w:r>
      <w:r w:rsidR="00FA59D7" w:rsidRPr="00660624">
        <w:t xml:space="preserve"> </w:t>
      </w:r>
      <w:r w:rsidRPr="00660624">
        <w:t>therefore not made.</w:t>
      </w:r>
    </w:p>
    <w:p w14:paraId="1B6182A5" w14:textId="54983DC5" w:rsidR="00D51E7C" w:rsidRPr="00C019E5" w:rsidRDefault="00D51E7C" w:rsidP="00D51E7C">
      <w:pPr>
        <w:pStyle w:val="MText"/>
        <w:rPr>
          <w:highlight w:val="cyan"/>
        </w:rPr>
      </w:pPr>
    </w:p>
    <w:p w14:paraId="06DDC253" w14:textId="77777777" w:rsidR="00D51E7C" w:rsidRDefault="00D51E7C" w:rsidP="00D51E7C">
      <w:pPr>
        <w:pStyle w:val="MText"/>
      </w:pPr>
      <w:r w:rsidRPr="00660624">
        <w:t>•</w:t>
      </w:r>
      <w:r w:rsidRPr="00660624">
        <w:tab/>
        <w:t>At regional and global levels</w:t>
      </w:r>
    </w:p>
    <w:p w14:paraId="04748E1F" w14:textId="37D7AC58" w:rsidR="00D51E7C" w:rsidRDefault="00347D42" w:rsidP="00D51E7C">
      <w:pPr>
        <w:pStyle w:val="MText"/>
      </w:pPr>
      <w:r>
        <w:t>As</w:t>
      </w:r>
      <w:r w:rsidR="00660624" w:rsidRPr="00660624">
        <w:t xml:space="preserve"> the number of country responses </w:t>
      </w:r>
      <w:r>
        <w:t>is</w:t>
      </w:r>
      <w:r w:rsidR="00660624" w:rsidRPr="00660624">
        <w:t xml:space="preserve"> in excess of 90%</w:t>
      </w:r>
      <w:r>
        <w:t>, t</w:t>
      </w:r>
      <w:r w:rsidR="00660624" w:rsidRPr="00660624">
        <w:t xml:space="preserve">his coverage of data </w:t>
      </w:r>
      <w:r>
        <w:t>is</w:t>
      </w:r>
      <w:r w:rsidR="00660624" w:rsidRPr="00660624">
        <w:t xml:space="preserve"> deemed to be representative of</w:t>
      </w:r>
      <w:r>
        <w:t xml:space="preserve"> regional and</w:t>
      </w:r>
      <w:r w:rsidR="00660624" w:rsidRPr="00660624">
        <w:t xml:space="preserve"> global aggregates. Estimates for countries not responding to the survey </w:t>
      </w:r>
      <w:r>
        <w:t>are</w:t>
      </w:r>
      <w:r w:rsidRPr="00660624">
        <w:t xml:space="preserve"> </w:t>
      </w:r>
      <w:r w:rsidR="00660624" w:rsidRPr="00660624">
        <w:t>therefore not made.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67F85AD3" w14:textId="223F703E" w:rsidR="004D500D" w:rsidRDefault="00660624" w:rsidP="004D500D">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Following the Agenda 2030 principle of “leaving no one behind”, regional and global values </w:t>
      </w:r>
      <w:r w:rsidR="005C110C">
        <w:rPr>
          <w:rFonts w:eastAsia="Times New Roman" w:cs="Times New Roman"/>
          <w:color w:val="4A4A4A"/>
          <w:sz w:val="21"/>
          <w:szCs w:val="21"/>
          <w:lang w:eastAsia="en-GB"/>
        </w:rPr>
        <w:t>are</w:t>
      </w:r>
      <w:r w:rsidRPr="00F07C28">
        <w:rPr>
          <w:rFonts w:eastAsia="Times New Roman" w:cs="Times New Roman"/>
          <w:color w:val="4A4A4A"/>
          <w:sz w:val="21"/>
          <w:szCs w:val="21"/>
          <w:lang w:eastAsia="en-GB"/>
        </w:rPr>
        <w:t xml:space="preserve"> based on simple, un-weighted averages of country scores. The country scores </w:t>
      </w:r>
      <w:r w:rsidR="005C110C">
        <w:rPr>
          <w:rFonts w:eastAsia="Times New Roman" w:cs="Times New Roman"/>
          <w:color w:val="4A4A4A"/>
          <w:sz w:val="21"/>
          <w:szCs w:val="21"/>
          <w:lang w:eastAsia="en-GB"/>
        </w:rPr>
        <w:t>are</w:t>
      </w:r>
      <w:r w:rsidRPr="00F07C28">
        <w:rPr>
          <w:rFonts w:eastAsia="Times New Roman" w:cs="Times New Roman"/>
          <w:color w:val="4A4A4A"/>
          <w:sz w:val="21"/>
          <w:szCs w:val="21"/>
          <w:lang w:eastAsia="en-GB"/>
        </w:rPr>
        <w:t xml:space="preserve"> presented as a whole number, and regional and global averages </w:t>
      </w:r>
      <w:r w:rsidR="005C110C">
        <w:rPr>
          <w:rFonts w:eastAsia="Times New Roman" w:cs="Times New Roman"/>
          <w:color w:val="4A4A4A"/>
          <w:sz w:val="21"/>
          <w:szCs w:val="21"/>
          <w:lang w:eastAsia="en-GB"/>
        </w:rPr>
        <w:t>are also</w:t>
      </w:r>
      <w:r w:rsidRPr="00F07C28">
        <w:rPr>
          <w:rFonts w:eastAsia="Times New Roman" w:cs="Times New Roman"/>
          <w:color w:val="4A4A4A"/>
          <w:sz w:val="21"/>
          <w:szCs w:val="21"/>
          <w:lang w:eastAsia="en-GB"/>
        </w:rPr>
        <w:t xml:space="preserve"> presented as a whole number. Global averages </w:t>
      </w:r>
      <w:r w:rsidR="005C110C">
        <w:rPr>
          <w:rFonts w:eastAsia="Times New Roman" w:cs="Times New Roman"/>
          <w:color w:val="4A4A4A"/>
          <w:sz w:val="21"/>
          <w:szCs w:val="21"/>
          <w:lang w:eastAsia="en-GB"/>
        </w:rPr>
        <w:t>are</w:t>
      </w:r>
      <w:r w:rsidRPr="00F07C28">
        <w:rPr>
          <w:rFonts w:eastAsia="Times New Roman" w:cs="Times New Roman"/>
          <w:color w:val="4A4A4A"/>
          <w:sz w:val="21"/>
          <w:szCs w:val="21"/>
          <w:lang w:eastAsia="en-GB"/>
        </w:rPr>
        <w:t xml:space="preserve"> based on country values, not regional averages.</w:t>
      </w:r>
    </w:p>
    <w:p w14:paraId="08AF71EA" w14:textId="176DBD00" w:rsidR="00660624" w:rsidRPr="00F07C28" w:rsidRDefault="00660624"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w:t>
      </w:r>
    </w:p>
    <w:p w14:paraId="4DB1CB1D" w14:textId="77777777" w:rsidR="00660624" w:rsidRPr="00F07C28" w:rsidRDefault="00660624"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Regional values may be assembled by regional bodies responsible for water resources in the region, such as the African Ministerial Council on Water (AMCOW), the European Environment Agency (EEA), and the United Nations Economic and Social Commission for West Asia (ESCWA).</w:t>
      </w:r>
    </w:p>
    <w:p w14:paraId="2EA010B7" w14:textId="77777777" w:rsidR="00EC2915" w:rsidRPr="00A96255" w:rsidRDefault="00EC2915">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713AEA81" w14:textId="77777777" w:rsidR="00563586" w:rsidRPr="00F07C28" w:rsidRDefault="00563586" w:rsidP="00563586">
      <w:pPr>
        <w:pStyle w:val="MText"/>
        <w:numPr>
          <w:ilvl w:val="0"/>
          <w:numId w:val="10"/>
        </w:numPr>
        <w:shd w:val="clear" w:color="auto" w:fill="auto"/>
        <w:spacing w:line="240" w:lineRule="auto"/>
      </w:pPr>
      <w:r w:rsidRPr="00F07C28">
        <w:t xml:space="preserve">National focal points selected by each country.  </w:t>
      </w:r>
    </w:p>
    <w:p w14:paraId="3EEE733C" w14:textId="77777777" w:rsidR="00563586" w:rsidRPr="00F07C28" w:rsidRDefault="00563586" w:rsidP="00563586">
      <w:pPr>
        <w:pStyle w:val="MText"/>
        <w:numPr>
          <w:ilvl w:val="0"/>
          <w:numId w:val="10"/>
        </w:numPr>
        <w:shd w:val="clear" w:color="auto" w:fill="auto"/>
        <w:spacing w:line="240" w:lineRule="auto"/>
      </w:pPr>
      <w:r w:rsidRPr="00F07C28">
        <w:t xml:space="preserve">National focal points are responsible for coordinating a national process to engage governmental and non-governmental stakeholders, as appropriate in the context of each country, to develop draft responses and finalise responses. This may be via email, workshops, and online notices.   </w:t>
      </w:r>
    </w:p>
    <w:p w14:paraId="5CC7895B" w14:textId="77777777" w:rsidR="00563586" w:rsidRDefault="00563586" w:rsidP="00563586">
      <w:pPr>
        <w:pStyle w:val="MText"/>
        <w:numPr>
          <w:ilvl w:val="0"/>
          <w:numId w:val="10"/>
        </w:numPr>
        <w:shd w:val="clear" w:color="auto" w:fill="auto"/>
        <w:spacing w:line="240" w:lineRule="auto"/>
      </w:pPr>
      <w:r w:rsidRPr="00F07C28">
        <w:t xml:space="preserve">The following materials are available for national focal points in 7 languages (English, Spanish, French, Arabic, Russian, Chinese, Portuguese), at </w:t>
      </w:r>
      <w:hyperlink r:id="rId11" w:history="1">
        <w:r w:rsidRPr="00DF7F63">
          <w:rPr>
            <w:rStyle w:val="Hyperlink"/>
          </w:rPr>
          <w:t>http://iwrmdataportal.unepdhi.org</w:t>
        </w:r>
      </w:hyperlink>
      <w:r w:rsidRPr="00F07C28">
        <w:t xml:space="preserve">: the survey (MS Word); a detailed monitoring guide; and a PowerPoint presentation and video recording. In addition, focal points may access the following materials: the 2017 baseline surveys and 2-page results summaries (for 172 countries); and 2017 workshop reports (for 36 countries). </w:t>
      </w:r>
    </w:p>
    <w:p w14:paraId="66A3EC16" w14:textId="0549FA12" w:rsidR="00DB3C52" w:rsidRDefault="00DB3C52" w:rsidP="00563586">
      <w:pPr>
        <w:pStyle w:val="MText"/>
        <w:numPr>
          <w:ilvl w:val="0"/>
          <w:numId w:val="10"/>
        </w:numPr>
        <w:shd w:val="clear" w:color="auto" w:fill="auto"/>
        <w:spacing w:line="240" w:lineRule="auto"/>
      </w:pPr>
      <w:r>
        <w:t xml:space="preserve">In addition, </w:t>
      </w:r>
      <w:r w:rsidR="00A2248A">
        <w:t xml:space="preserve">an “SDG 6.5.1 Facilitator’s Training Course” is available online via </w:t>
      </w:r>
      <w:hyperlink r:id="rId12" w:history="1">
        <w:r w:rsidR="00A2248A" w:rsidRPr="00CB1B54">
          <w:rPr>
            <w:rStyle w:val="Hyperlink"/>
          </w:rPr>
          <w:t>www.gwp.org/en/sdg6support/consultations/stage-1-activities/training-of-facilitators/</w:t>
        </w:r>
      </w:hyperlink>
      <w:r w:rsidR="00A2248A">
        <w:t xml:space="preserve"> , through the SDG 6 IWRM Support Programme. </w:t>
      </w:r>
    </w:p>
    <w:p w14:paraId="020B3F36" w14:textId="23DD2F49" w:rsidR="00A2248A" w:rsidRPr="00F07C28" w:rsidRDefault="00A2248A" w:rsidP="00563586">
      <w:pPr>
        <w:pStyle w:val="MText"/>
        <w:numPr>
          <w:ilvl w:val="0"/>
          <w:numId w:val="10"/>
        </w:numPr>
        <w:shd w:val="clear" w:color="auto" w:fill="auto"/>
        <w:spacing w:line="240" w:lineRule="auto"/>
      </w:pPr>
      <w:r>
        <w:t>A more comprehensive “</w:t>
      </w:r>
      <w:r w:rsidRPr="00A2248A">
        <w:t>IWRM Stage 1 Support Package</w:t>
      </w:r>
      <w:r>
        <w:t>” is available for a limited number of countries (approximately 60 countries in 2020). The Support Package includes seed funding to engage a Facilitator to support the stakeholder consultation process</w:t>
      </w:r>
      <w:r w:rsidR="00DA789B">
        <w:t xml:space="preserve">. </w:t>
      </w:r>
    </w:p>
    <w:p w14:paraId="6DED499D" w14:textId="77777777" w:rsidR="00563586" w:rsidRPr="00F07C28" w:rsidRDefault="00563586" w:rsidP="00563586">
      <w:pPr>
        <w:pStyle w:val="MText"/>
      </w:pPr>
    </w:p>
    <w:p w14:paraId="432DF8E8" w14:textId="77777777" w:rsidR="00563586" w:rsidRPr="00F07C28" w:rsidRDefault="00563586" w:rsidP="00563586">
      <w:pPr>
        <w:pStyle w:val="MText"/>
      </w:pPr>
      <w:r w:rsidRPr="00F07C28">
        <w:t xml:space="preserve">Extensive explanations are provided in the monitoring guide and in the survey itself. The survey contains: an overall introduction and explanation; a glossary; an introduction and glossary in each of the four sections; threshold descriptions for six thresholds for each question; and a number of footnotes to explain aspects of questions or threshold descriptions. All materials can be downloaded from </w:t>
      </w:r>
      <w:hyperlink r:id="rId13" w:history="1">
        <w:r w:rsidRPr="00DF7F63">
          <w:rPr>
            <w:rStyle w:val="Hyperlink"/>
          </w:rPr>
          <w:t>http://iwrmdataportal.unepdhi.org</w:t>
        </w:r>
      </w:hyperlink>
      <w:r w:rsidRPr="00F07C28">
        <w:t xml:space="preserve">. In addition, a dedicated </w:t>
      </w:r>
      <w:r>
        <w:t>Help Desk</w:t>
      </w:r>
      <w:r w:rsidRPr="00F07C28">
        <w:t xml:space="preserve"> is available to provide assistance at all times. The </w:t>
      </w:r>
      <w:r>
        <w:t xml:space="preserve">Help Desk is accessible via email </w:t>
      </w:r>
      <w:hyperlink r:id="rId14" w:history="1">
        <w:r w:rsidRPr="00DF7F63">
          <w:rPr>
            <w:rStyle w:val="Hyperlink"/>
          </w:rPr>
          <w:t>iwrmsdg651@un.org</w:t>
        </w:r>
      </w:hyperlink>
      <w:r w:rsidRPr="00F07C28">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0167CEB7" w:rsidR="00576CFA" w:rsidRPr="00A96255" w:rsidRDefault="00301E12" w:rsidP="00576CFA">
      <w:pPr>
        <w:pStyle w:val="MText"/>
      </w:pPr>
      <w:r w:rsidRPr="00D72599">
        <w:t xml:space="preserve">UNEP-DHI Centre, which manages the statistical reporting processes for UNEP on indicator 6.5.1, operates through a Business Management System that fulfils the requirements of ISO 9001 (quality </w:t>
      </w:r>
      <w:r w:rsidRPr="00D72599">
        <w:lastRenderedPageBreak/>
        <w:t>management)</w:t>
      </w:r>
      <w:r w:rsidR="005E5A87" w:rsidRPr="00D72599">
        <w:t xml:space="preserve">, which covers relevant areas such as consulting and capacity development and training courses.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68098E3" w14:textId="77777777" w:rsidR="00563586" w:rsidRPr="00F07C28" w:rsidRDefault="00563586">
      <w:pPr>
        <w:pStyle w:val="MText"/>
      </w:pPr>
      <w:r w:rsidRPr="00F07C28">
        <w:t xml:space="preserve">The following quality assurance guidelines are available to all individuals involved in quality assurance for 6.5.1.  </w:t>
      </w:r>
    </w:p>
    <w:p w14:paraId="0E75FD0E" w14:textId="77777777" w:rsidR="00563586" w:rsidRPr="00F07C28" w:rsidRDefault="00563586">
      <w:pPr>
        <w:pStyle w:val="MText"/>
      </w:pPr>
      <w:r w:rsidRPr="00F07C28">
        <w:t xml:space="preserve">Process: </w:t>
      </w:r>
    </w:p>
    <w:p w14:paraId="5F79CB97" w14:textId="77777777" w:rsidR="00563586" w:rsidRPr="00F07C28" w:rsidRDefault="00563586">
      <w:pPr>
        <w:pStyle w:val="MText"/>
        <w:numPr>
          <w:ilvl w:val="0"/>
          <w:numId w:val="6"/>
        </w:numPr>
        <w:shd w:val="clear" w:color="auto" w:fill="auto"/>
        <w:spacing w:line="240" w:lineRule="auto"/>
      </w:pPr>
      <w:r w:rsidRPr="00F07C28">
        <w:t xml:space="preserve">Nominate person responsible for QA for a country response once it is submitted for the first time.  </w:t>
      </w:r>
    </w:p>
    <w:p w14:paraId="5E8440F6" w14:textId="77777777" w:rsidR="00563586" w:rsidRPr="00F07C28" w:rsidRDefault="00563586">
      <w:pPr>
        <w:pStyle w:val="MText"/>
        <w:numPr>
          <w:ilvl w:val="0"/>
          <w:numId w:val="6"/>
        </w:numPr>
        <w:shd w:val="clear" w:color="auto" w:fill="auto"/>
        <w:spacing w:line="240" w:lineRule="auto"/>
      </w:pPr>
      <w:r w:rsidRPr="00F07C28">
        <w:t xml:space="preserve">Acknowledge receipt and inform the country of QA process.  </w:t>
      </w:r>
    </w:p>
    <w:p w14:paraId="12BD06CB" w14:textId="77777777" w:rsidR="00563586" w:rsidRPr="00F07C28" w:rsidRDefault="00563586">
      <w:pPr>
        <w:pStyle w:val="MText"/>
        <w:numPr>
          <w:ilvl w:val="0"/>
          <w:numId w:val="6"/>
        </w:numPr>
        <w:shd w:val="clear" w:color="auto" w:fill="auto"/>
        <w:spacing w:line="240" w:lineRule="auto"/>
      </w:pPr>
      <w:r w:rsidRPr="00F07C28">
        <w:t xml:space="preserve">Update QA spreadsheet, indicating date of receipt and who submitted.  </w:t>
      </w:r>
    </w:p>
    <w:p w14:paraId="78BA6306" w14:textId="77777777" w:rsidR="00563586" w:rsidRPr="00F07C28" w:rsidRDefault="00563586">
      <w:pPr>
        <w:pStyle w:val="MText"/>
        <w:numPr>
          <w:ilvl w:val="0"/>
          <w:numId w:val="6"/>
        </w:numPr>
        <w:shd w:val="clear" w:color="auto" w:fill="auto"/>
        <w:spacing w:line="240" w:lineRule="auto"/>
      </w:pPr>
      <w:r w:rsidRPr="00F07C28">
        <w:t xml:space="preserve">Upload draft survey (MS Word) to the Dropbox folder.  </w:t>
      </w:r>
    </w:p>
    <w:p w14:paraId="2175CFBF" w14:textId="77777777" w:rsidR="00563586" w:rsidRPr="00F07C28" w:rsidRDefault="00563586">
      <w:pPr>
        <w:pStyle w:val="MText"/>
        <w:numPr>
          <w:ilvl w:val="0"/>
          <w:numId w:val="6"/>
        </w:numPr>
        <w:shd w:val="clear" w:color="auto" w:fill="auto"/>
        <w:spacing w:line="240" w:lineRule="auto"/>
      </w:pPr>
      <w:r w:rsidRPr="00F07C28">
        <w:t xml:space="preserve">Undertake ALL checks described below.  </w:t>
      </w:r>
    </w:p>
    <w:p w14:paraId="3FAFA1E3" w14:textId="77777777" w:rsidR="00563586" w:rsidRPr="00F07C28" w:rsidRDefault="00563586">
      <w:pPr>
        <w:pStyle w:val="MText"/>
        <w:numPr>
          <w:ilvl w:val="0"/>
          <w:numId w:val="6"/>
        </w:numPr>
        <w:shd w:val="clear" w:color="auto" w:fill="auto"/>
        <w:spacing w:line="240" w:lineRule="auto"/>
      </w:pPr>
      <w:r w:rsidRPr="00F07C28">
        <w:t xml:space="preserve">If there are any discrepancies, revert to UNEP-DHI colleagues.  </w:t>
      </w:r>
    </w:p>
    <w:p w14:paraId="4FE25097" w14:textId="77777777" w:rsidR="00563586" w:rsidRPr="00F07C28" w:rsidRDefault="00563586">
      <w:pPr>
        <w:pStyle w:val="MText"/>
        <w:numPr>
          <w:ilvl w:val="0"/>
          <w:numId w:val="6"/>
        </w:numPr>
        <w:shd w:val="clear" w:color="auto" w:fill="auto"/>
        <w:spacing w:line="240" w:lineRule="auto"/>
      </w:pPr>
      <w:r w:rsidRPr="00F07C28">
        <w:t xml:space="preserve">Once action is agreed, respond to the countries.  </w:t>
      </w:r>
    </w:p>
    <w:p w14:paraId="383A8381" w14:textId="77777777" w:rsidR="00563586" w:rsidRPr="00F07C28" w:rsidRDefault="00563586">
      <w:pPr>
        <w:pStyle w:val="MText"/>
        <w:numPr>
          <w:ilvl w:val="0"/>
          <w:numId w:val="6"/>
        </w:numPr>
        <w:shd w:val="clear" w:color="auto" w:fill="auto"/>
        <w:spacing w:line="240" w:lineRule="auto"/>
      </w:pPr>
      <w:r w:rsidRPr="00F07C28">
        <w:t xml:space="preserve">Complete all checks on each subsequent version of the questionnaire until all quality issues are resolved and questionnaire is marked ‘final’.     </w:t>
      </w:r>
    </w:p>
    <w:p w14:paraId="37D3ACC1" w14:textId="77777777" w:rsidR="00563586" w:rsidRPr="00F07C28" w:rsidRDefault="00563586">
      <w:pPr>
        <w:pStyle w:val="MText"/>
      </w:pPr>
    </w:p>
    <w:p w14:paraId="4E972721" w14:textId="77777777" w:rsidR="00563586" w:rsidRPr="00F07C28" w:rsidRDefault="00563586">
      <w:pPr>
        <w:pStyle w:val="MText"/>
      </w:pPr>
      <w:r w:rsidRPr="00F07C28">
        <w:t xml:space="preserve">Checks:  </w:t>
      </w:r>
    </w:p>
    <w:p w14:paraId="17C4ED9D" w14:textId="77777777" w:rsidR="00563586" w:rsidRPr="00330891" w:rsidRDefault="00563586">
      <w:pPr>
        <w:pStyle w:val="MText"/>
        <w:numPr>
          <w:ilvl w:val="0"/>
          <w:numId w:val="7"/>
        </w:numPr>
        <w:shd w:val="clear" w:color="auto" w:fill="auto"/>
        <w:spacing w:line="240" w:lineRule="auto"/>
      </w:pPr>
      <w:r w:rsidRPr="00D72599">
        <w:rPr>
          <w:b/>
          <w:bCs/>
        </w:rPr>
        <w:t>Focal point:</w:t>
      </w:r>
      <w:r w:rsidRPr="00330891">
        <w:t xml:space="preserve"> Confirm the person submitting is the formal national focal point. If not, any reply should also add the national focal point in CC.  </w:t>
      </w:r>
    </w:p>
    <w:p w14:paraId="6CFDCE44" w14:textId="77777777" w:rsidR="00330891" w:rsidRPr="00D72599" w:rsidRDefault="00330891">
      <w:pPr>
        <w:pStyle w:val="ListParagraph"/>
        <w:numPr>
          <w:ilvl w:val="0"/>
          <w:numId w:val="7"/>
        </w:numPr>
        <w:spacing w:after="0" w:line="240" w:lineRule="auto"/>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Cover sheet:</w:t>
      </w:r>
      <w:r w:rsidRPr="00D72599">
        <w:rPr>
          <w:rFonts w:eastAsia="Times New Roman" w:cs="Times New Roman"/>
          <w:color w:val="4A4A4A"/>
          <w:sz w:val="21"/>
          <w:szCs w:val="21"/>
          <w:lang w:eastAsia="en-GB"/>
        </w:rPr>
        <w:t xml:space="preserve"> check if cover sheet is correctly filled out. Cross-check if the person submitting is the formal national focal point. If not, any reply should include the national focal point in CC.</w:t>
      </w:r>
    </w:p>
    <w:p w14:paraId="5FDEE9E8" w14:textId="77777777" w:rsidR="00330891" w:rsidRPr="00D72599" w:rsidRDefault="00330891">
      <w:pPr>
        <w:pStyle w:val="ListParagraph"/>
        <w:numPr>
          <w:ilvl w:val="0"/>
          <w:numId w:val="7"/>
        </w:numPr>
        <w:spacing w:after="0" w:line="240" w:lineRule="auto"/>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Question scores and calculations:</w:t>
      </w:r>
      <w:r w:rsidRPr="00D72599">
        <w:rPr>
          <w:rFonts w:eastAsia="Times New Roman" w:cs="Times New Roman"/>
          <w:color w:val="4A4A4A"/>
          <w:sz w:val="21"/>
          <w:szCs w:val="21"/>
          <w:lang w:eastAsia="en-GB"/>
        </w:rPr>
        <w:t xml:space="preserve"> In the spreadsheet ‘Quality_Assurance_651_2020.xlsx’ on Dropbox, fill in the given responses in sheet “QA 2020 scores-status”. Make following checks to scores:</w:t>
      </w:r>
    </w:p>
    <w:p w14:paraId="05C05602"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330891">
        <w:rPr>
          <w:sz w:val="21"/>
          <w:szCs w:val="21"/>
          <w:lang w:val="en-AU"/>
        </w:rPr>
        <w:t xml:space="preserve">All </w:t>
      </w:r>
      <w:r w:rsidRPr="00D72599">
        <w:rPr>
          <w:rFonts w:eastAsia="Times New Roman" w:cs="Times New Roman"/>
          <w:color w:val="4A4A4A"/>
          <w:sz w:val="21"/>
          <w:szCs w:val="21"/>
          <w:lang w:eastAsia="en-GB"/>
        </w:rPr>
        <w:t xml:space="preserve">questions answered. The official guidance is that all questions should be answered (either with a score or n/a). </w:t>
      </w:r>
    </w:p>
    <w:p w14:paraId="3EB02D58" w14:textId="0671FFDA"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If there is confusion about whether to score or use ‘n/a’ for sub-national level questions, this list of administrative divisions by country may help in our understanding of the sub-national level(s) </w:t>
      </w:r>
      <w:hyperlink r:id="rId15" w:history="1">
        <w:r w:rsidR="005100A4" w:rsidRPr="00D72599">
          <w:rPr>
            <w:rStyle w:val="Hyperlink"/>
            <w:rFonts w:eastAsia="Times New Roman" w:cs="Times New Roman"/>
            <w:lang w:eastAsia="en-GB"/>
          </w:rPr>
          <w:t>https://en.wikipedia.org/wiki/List_of_administrative_divisions_by_countr</w:t>
        </w:r>
        <w:r w:rsidR="005100A4" w:rsidRPr="0066333E">
          <w:rPr>
            <w:rStyle w:val="Hyperlink"/>
            <w:rFonts w:eastAsia="Times New Roman" w:cs="Times New Roman"/>
            <w:lang w:eastAsia="en-GB"/>
          </w:rPr>
          <w:t xml:space="preserve">y </w:t>
        </w:r>
      </w:hyperlink>
      <w:r w:rsidR="005100A4">
        <w:rPr>
          <w:rFonts w:eastAsia="Times New Roman" w:cs="Times New Roman"/>
          <w:color w:val="4A4A4A"/>
          <w:lang w:eastAsia="en-GB"/>
        </w:rPr>
        <w:t xml:space="preserve"> </w:t>
      </w:r>
    </w:p>
    <w:p w14:paraId="07C85FAA"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Scores are in range from 0-100, in increments of 10. If they only give ‘even’ scores (e.g. 0, 20, 40 etc), then they may not have understood that they can also give ‘odd’ scores (10, 30, 50 etc), if they feel their situation lies between two threshold descriptions.</w:t>
      </w:r>
    </w:p>
    <w:p w14:paraId="2D0AB64E"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Any differences between ‘given’ and ‘calculated’ section scores and overall score are given in columns C – G. If the difference is greater than +/- 0.5, the cells are automatically highlighted in red using conditional formatting. One also </w:t>
      </w:r>
      <w:proofErr w:type="gramStart"/>
      <w:r w:rsidRPr="00D72599">
        <w:rPr>
          <w:rFonts w:eastAsia="Times New Roman" w:cs="Times New Roman"/>
          <w:color w:val="4A4A4A"/>
          <w:sz w:val="21"/>
          <w:szCs w:val="21"/>
          <w:lang w:eastAsia="en-GB"/>
        </w:rPr>
        <w:t>has to</w:t>
      </w:r>
      <w:proofErr w:type="gramEnd"/>
      <w:r w:rsidRPr="00D72599">
        <w:rPr>
          <w:rFonts w:eastAsia="Times New Roman" w:cs="Times New Roman"/>
          <w:color w:val="4A4A4A"/>
          <w:sz w:val="21"/>
          <w:szCs w:val="21"/>
          <w:lang w:eastAsia="en-GB"/>
        </w:rPr>
        <w:t xml:space="preserve"> fill in the date of last submission in column B, otherwise the differences will not be calculated. </w:t>
      </w:r>
    </w:p>
    <w:p w14:paraId="0F0094FF"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Compare with baseline (2017). The QA ‘2017 Comparison’ spreadsheet automatically calculates differences. Note any negative changes (orange), or increases of more than 20 (yellow). If there are any significant/unexpected differences, the country should have given some explanation in the free text fields. </w:t>
      </w:r>
    </w:p>
    <w:p w14:paraId="2460B921"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In the ‘given’ calculations (section 5 of the survey instrument), check that section averages and overall score are rounded to the nearest whole number. Rounding mistakes might occur.</w:t>
      </w:r>
    </w:p>
    <w:p w14:paraId="2DAAED33"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Note: in the calculations, 0 scores are included, and N/A scores should be omitted. N/A scores should always have explanation (unless obvious – e.g. transboundary questions for island states).</w:t>
      </w:r>
    </w:p>
    <w:p w14:paraId="115A7893"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Check if the final score is calculated as average of rounded section averages.</w:t>
      </w:r>
    </w:p>
    <w:p w14:paraId="56D057F9" w14:textId="77777777" w:rsidR="00330891" w:rsidRPr="00330891" w:rsidRDefault="00330891">
      <w:pPr>
        <w:pStyle w:val="ListParagraph"/>
        <w:numPr>
          <w:ilvl w:val="1"/>
          <w:numId w:val="15"/>
        </w:numPr>
        <w:spacing w:after="0" w:line="240" w:lineRule="auto"/>
        <w:rPr>
          <w:sz w:val="21"/>
          <w:szCs w:val="21"/>
          <w:lang w:val="en-AU"/>
        </w:rPr>
      </w:pPr>
      <w:r w:rsidRPr="00D72599">
        <w:rPr>
          <w:rFonts w:eastAsia="Times New Roman" w:cs="Times New Roman"/>
          <w:color w:val="4A4A4A"/>
          <w:sz w:val="21"/>
          <w:szCs w:val="21"/>
          <w:lang w:eastAsia="en-GB"/>
        </w:rPr>
        <w:t xml:space="preserve">In the free text responses in columns (BE-BF) in the main “QA 2020-score status” tab, for assigning Low/ Medium/ High categories the following criteria should be followed: </w:t>
      </w:r>
      <w:r w:rsidRPr="00D72599">
        <w:rPr>
          <w:rFonts w:eastAsia="Times New Roman" w:cs="Times New Roman"/>
          <w:color w:val="4A4A4A"/>
          <w:sz w:val="21"/>
          <w:szCs w:val="21"/>
          <w:u w:val="single"/>
          <w:lang w:eastAsia="en-GB"/>
        </w:rPr>
        <w:t>Low:</w:t>
      </w:r>
      <w:r w:rsidRPr="00D72599">
        <w:rPr>
          <w:rFonts w:eastAsia="Times New Roman" w:cs="Times New Roman"/>
          <w:color w:val="4A4A4A"/>
          <w:sz w:val="21"/>
          <w:szCs w:val="21"/>
          <w:lang w:eastAsia="en-GB"/>
        </w:rPr>
        <w:t xml:space="preserve"> </w:t>
      </w:r>
      <w:r w:rsidRPr="00D72599">
        <w:rPr>
          <w:rFonts w:eastAsia="Times New Roman" w:cs="Times New Roman"/>
          <w:color w:val="4A4A4A"/>
          <w:sz w:val="21"/>
          <w:szCs w:val="21"/>
          <w:lang w:eastAsia="en-GB"/>
        </w:rPr>
        <w:lastRenderedPageBreak/>
        <w:t xml:space="preserve">Less than three quarters of questions have responses and/or responses are poor quality. </w:t>
      </w:r>
      <w:r w:rsidRPr="00D72599">
        <w:rPr>
          <w:rFonts w:eastAsia="Times New Roman" w:cs="Times New Roman"/>
          <w:color w:val="4A4A4A"/>
          <w:sz w:val="21"/>
          <w:szCs w:val="21"/>
          <w:u w:val="single"/>
          <w:lang w:eastAsia="en-GB"/>
        </w:rPr>
        <w:t>Medium:</w:t>
      </w:r>
      <w:r w:rsidRPr="00D72599">
        <w:rPr>
          <w:rFonts w:eastAsia="Times New Roman" w:cs="Times New Roman"/>
          <w:color w:val="4A4A4A"/>
          <w:sz w:val="21"/>
          <w:szCs w:val="21"/>
          <w:lang w:eastAsia="en-GB"/>
        </w:rPr>
        <w:t xml:space="preserve"> At least three quarters of the questions have responses, and/or responses are varying quality. Each question and the points make sense and are useful. </w:t>
      </w:r>
      <w:r w:rsidRPr="00D72599">
        <w:rPr>
          <w:rFonts w:eastAsia="Times New Roman" w:cs="Times New Roman"/>
          <w:color w:val="4A4A4A"/>
          <w:sz w:val="21"/>
          <w:szCs w:val="21"/>
          <w:u w:val="single"/>
          <w:lang w:eastAsia="en-GB"/>
        </w:rPr>
        <w:t>High:</w:t>
      </w:r>
      <w:r w:rsidRPr="00D72599">
        <w:rPr>
          <w:rFonts w:eastAsia="Times New Roman" w:cs="Times New Roman"/>
          <w:color w:val="4A4A4A"/>
          <w:sz w:val="21"/>
          <w:szCs w:val="21"/>
          <w:lang w:eastAsia="en-GB"/>
        </w:rPr>
        <w:t xml:space="preserve"> All questions have responses and most responses are high quality. NB: Quality responses mean ones that are useful/ informative/ detailed and can contribute to stakeholder understanding/ discussions and </w:t>
      </w:r>
      <w:proofErr w:type="spellStart"/>
      <w:r w:rsidRPr="00D72599">
        <w:rPr>
          <w:rFonts w:eastAsia="Times New Roman" w:cs="Times New Roman"/>
          <w:color w:val="4A4A4A"/>
          <w:sz w:val="21"/>
          <w:szCs w:val="21"/>
          <w:lang w:eastAsia="en-GB"/>
        </w:rPr>
        <w:t>plannings</w:t>
      </w:r>
      <w:proofErr w:type="spellEnd"/>
      <w:r w:rsidRPr="00330891">
        <w:rPr>
          <w:sz w:val="21"/>
          <w:szCs w:val="21"/>
          <w:lang w:val="en-AU"/>
        </w:rPr>
        <w:t>.</w:t>
      </w:r>
    </w:p>
    <w:p w14:paraId="11CBCA9E" w14:textId="77777777" w:rsidR="00330891" w:rsidRPr="00330891" w:rsidRDefault="00330891" w:rsidP="00D72599">
      <w:pPr>
        <w:pStyle w:val="ListParagraph"/>
        <w:spacing w:after="0"/>
        <w:ind w:left="1440"/>
        <w:rPr>
          <w:sz w:val="21"/>
          <w:szCs w:val="21"/>
          <w:lang w:val="en-AU"/>
        </w:rPr>
      </w:pPr>
    </w:p>
    <w:p w14:paraId="5228DD19" w14:textId="77777777" w:rsidR="00330891" w:rsidRPr="00330891" w:rsidRDefault="00330891">
      <w:pPr>
        <w:pStyle w:val="ListParagraph"/>
        <w:numPr>
          <w:ilvl w:val="0"/>
          <w:numId w:val="7"/>
        </w:numPr>
        <w:spacing w:after="0" w:line="240" w:lineRule="auto"/>
        <w:rPr>
          <w:b/>
          <w:sz w:val="21"/>
          <w:szCs w:val="21"/>
          <w:lang w:val="en-AU"/>
        </w:rPr>
      </w:pPr>
      <w:r w:rsidRPr="00D72599">
        <w:rPr>
          <w:rFonts w:eastAsia="Times New Roman" w:cs="Times New Roman"/>
          <w:b/>
          <w:bCs/>
          <w:color w:val="4A4A4A"/>
          <w:sz w:val="21"/>
          <w:szCs w:val="21"/>
          <w:lang w:eastAsia="en-GB"/>
        </w:rPr>
        <w:t>Free text fields:</w:t>
      </w:r>
      <w:r w:rsidRPr="00330891">
        <w:rPr>
          <w:b/>
          <w:sz w:val="21"/>
          <w:szCs w:val="21"/>
          <w:lang w:val="en-AU"/>
        </w:rPr>
        <w:t xml:space="preserve"> </w:t>
      </w:r>
      <w:r w:rsidRPr="00330891">
        <w:rPr>
          <w:sz w:val="21"/>
          <w:szCs w:val="21"/>
          <w:lang w:val="en-AU"/>
        </w:rPr>
        <w:t xml:space="preserve">Using the ‘text’ tabs: </w:t>
      </w:r>
    </w:p>
    <w:p w14:paraId="04B6EFC9"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Check that the free text make sense in the context of the score (and vice versa) (particularly in the case of (n/a or 100 responses).</w:t>
      </w:r>
    </w:p>
    <w:p w14:paraId="7919B47A"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Check that n/a (not applicable) is used appropriately. i.e. only if the question is not applicable to the country. In some cases, a score of zero should be given, and in others, perhaps they need more help to figure out how to answer the question. </w:t>
      </w:r>
    </w:p>
    <w:p w14:paraId="6A2DB0F1" w14:textId="1895C23A"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Guidance for assigning Low/ Medium/ High categories: Low:  Blank or not useful. Medium:  Some text and details. High:  Useful amount of text and detail than can contribute to stakeholder understanding/consensus and planning.</w:t>
      </w:r>
    </w:p>
    <w:p w14:paraId="4448D87A" w14:textId="77777777" w:rsidR="00C46CA2" w:rsidRPr="00D72599" w:rsidRDefault="00C46CA2" w:rsidP="00D72599">
      <w:pPr>
        <w:spacing w:after="0" w:line="240" w:lineRule="auto"/>
        <w:ind w:left="1080"/>
        <w:rPr>
          <w:sz w:val="21"/>
          <w:szCs w:val="21"/>
          <w:lang w:val="en-AU"/>
        </w:rPr>
      </w:pPr>
    </w:p>
    <w:p w14:paraId="21781504" w14:textId="77777777" w:rsidR="00330891" w:rsidRPr="00330891" w:rsidRDefault="00330891" w:rsidP="00D72599">
      <w:pPr>
        <w:spacing w:after="0"/>
        <w:ind w:left="360"/>
        <w:rPr>
          <w:sz w:val="21"/>
          <w:szCs w:val="21"/>
          <w:lang w:val="en-AU"/>
        </w:rPr>
      </w:pPr>
      <w:r w:rsidRPr="00330891">
        <w:rPr>
          <w:b/>
          <w:sz w:val="21"/>
          <w:szCs w:val="21"/>
          <w:lang w:val="en-AU"/>
        </w:rPr>
        <w:t>ANNEXES</w:t>
      </w:r>
      <w:r w:rsidRPr="00330891">
        <w:rPr>
          <w:sz w:val="21"/>
          <w:szCs w:val="21"/>
          <w:lang w:val="en-AU"/>
        </w:rPr>
        <w:t>. </w:t>
      </w:r>
    </w:p>
    <w:p w14:paraId="16CB0310" w14:textId="77777777" w:rsidR="00330891" w:rsidRPr="00D72599" w:rsidRDefault="00330891">
      <w:pPr>
        <w:pStyle w:val="ListParagraph"/>
        <w:numPr>
          <w:ilvl w:val="0"/>
          <w:numId w:val="7"/>
        </w:numPr>
        <w:spacing w:after="0" w:line="240" w:lineRule="auto"/>
        <w:rPr>
          <w:rFonts w:eastAsia="Times New Roman" w:cs="Times New Roman"/>
          <w:b/>
          <w:bCs/>
          <w:color w:val="4A4A4A"/>
          <w:sz w:val="21"/>
          <w:szCs w:val="21"/>
          <w:lang w:eastAsia="en-GB"/>
        </w:rPr>
      </w:pPr>
      <w:r w:rsidRPr="00D72599">
        <w:rPr>
          <w:rFonts w:eastAsia="Times New Roman" w:cs="Times New Roman"/>
          <w:b/>
          <w:bCs/>
          <w:color w:val="4A4A4A"/>
          <w:sz w:val="21"/>
          <w:szCs w:val="21"/>
          <w:lang w:eastAsia="en-GB"/>
        </w:rPr>
        <w:t>Annex B: Transboundary level:</w:t>
      </w:r>
    </w:p>
    <w:p w14:paraId="054130AB" w14:textId="2EFE304E"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Check the ‘transboundary basins’ table. A full list of transboundary basins can be found here: </w:t>
      </w:r>
      <w:hyperlink r:id="rId16" w:history="1">
        <w:r w:rsidRPr="00D72599">
          <w:rPr>
            <w:rStyle w:val="Hyperlink"/>
          </w:rPr>
          <w:t>http://twap-rivers.org/indicators/Report.ashx?type=IndicatorResultsSummary</w:t>
        </w:r>
      </w:hyperlink>
      <w:r w:rsidRPr="00D72599">
        <w:rPr>
          <w:rFonts w:eastAsia="Times New Roman" w:cs="Times New Roman"/>
          <w:color w:val="4A4A4A"/>
          <w:sz w:val="21"/>
          <w:szCs w:val="21"/>
          <w:lang w:eastAsia="en-GB"/>
        </w:rPr>
        <w:t xml:space="preserve">. Go to the final worksheet/tab to see the countries in each basin. You can also check the maps here: </w:t>
      </w:r>
      <w:hyperlink r:id="rId17" w:history="1">
        <w:r w:rsidR="005100A4" w:rsidRPr="00D72599">
          <w:rPr>
            <w:rStyle w:val="Hyperlink"/>
            <w:rFonts w:eastAsia="Times New Roman" w:cs="Times New Roman"/>
            <w:lang w:eastAsia="en-GB"/>
          </w:rPr>
          <w:t>http://twap-rivers.org/indicators</w:t>
        </w:r>
        <w:r w:rsidR="005100A4" w:rsidRPr="0066333E">
          <w:rPr>
            <w:rStyle w:val="Hyperlink"/>
            <w:rFonts w:eastAsia="Times New Roman" w:cs="Times New Roman"/>
            <w:lang w:eastAsia="en-GB"/>
          </w:rPr>
          <w:t xml:space="preserve">/ </w:t>
        </w:r>
      </w:hyperlink>
      <w:r w:rsidRPr="00D72599">
        <w:rPr>
          <w:rFonts w:eastAsia="Times New Roman" w:cs="Times New Roman"/>
          <w:color w:val="4A4A4A"/>
          <w:sz w:val="21"/>
          <w:szCs w:val="21"/>
          <w:lang w:eastAsia="en-GB"/>
        </w:rPr>
        <w:t>to see if the basin is likely to be important for that country, or if there is only a small portion of the basin in their country (in which case they may not list it).</w:t>
      </w:r>
    </w:p>
    <w:p w14:paraId="30F4B7E9" w14:textId="688FDA54"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For transboundary aquifers, check: </w:t>
      </w:r>
      <w:hyperlink r:id="rId18" w:history="1">
        <w:r w:rsidR="005100A4" w:rsidRPr="00D72599">
          <w:rPr>
            <w:rStyle w:val="Hyperlink"/>
            <w:rFonts w:eastAsia="Times New Roman" w:cs="Times New Roman"/>
            <w:lang w:eastAsia="en-GB"/>
          </w:rPr>
          <w:t>https://apps.geodan.nl/igrac/ggis-viewer/viewer/twap/public/defaul</w:t>
        </w:r>
        <w:r w:rsidR="005100A4" w:rsidRPr="0066333E">
          <w:rPr>
            <w:rStyle w:val="Hyperlink"/>
            <w:rFonts w:eastAsia="Times New Roman" w:cs="Times New Roman"/>
            <w:lang w:eastAsia="en-GB"/>
          </w:rPr>
          <w:t>t</w:t>
        </w:r>
      </w:hyperlink>
      <w:r w:rsidR="005100A4">
        <w:rPr>
          <w:rFonts w:eastAsia="Times New Roman" w:cs="Times New Roman"/>
          <w:color w:val="4A4A4A"/>
          <w:lang w:eastAsia="en-GB"/>
        </w:rPr>
        <w:t xml:space="preserve"> </w:t>
      </w:r>
    </w:p>
    <w:p w14:paraId="37402A6E"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In case any sub-basins are listed, check that the main basin name is included in brackets. </w:t>
      </w:r>
    </w:p>
    <w:p w14:paraId="33A88E0F"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Check the transboundary questions: 1.2c; 2.2e; 3.2d; and 4.2c, and see if these make sense in the context of the country. </w:t>
      </w:r>
    </w:p>
    <w:p w14:paraId="645EB5F4" w14:textId="77777777" w:rsidR="00330891" w:rsidRPr="00330891" w:rsidRDefault="00330891">
      <w:pPr>
        <w:pStyle w:val="ListParagraph"/>
        <w:numPr>
          <w:ilvl w:val="1"/>
          <w:numId w:val="15"/>
        </w:numPr>
        <w:spacing w:after="0" w:line="240" w:lineRule="auto"/>
        <w:rPr>
          <w:sz w:val="21"/>
          <w:szCs w:val="21"/>
          <w:lang w:val="en-AU"/>
        </w:rPr>
      </w:pPr>
      <w:r w:rsidRPr="00D72599">
        <w:rPr>
          <w:rFonts w:eastAsia="Times New Roman" w:cs="Times New Roman"/>
          <w:color w:val="4A4A4A"/>
          <w:sz w:val="21"/>
          <w:szCs w:val="21"/>
          <w:lang w:eastAsia="en-GB"/>
        </w:rPr>
        <w:t xml:space="preserve">Island countries should give ‘n/a’ for </w:t>
      </w:r>
      <w:proofErr w:type="gramStart"/>
      <w:r w:rsidRPr="00D72599">
        <w:rPr>
          <w:rFonts w:eastAsia="Times New Roman" w:cs="Times New Roman"/>
          <w:color w:val="4A4A4A"/>
          <w:sz w:val="21"/>
          <w:szCs w:val="21"/>
          <w:lang w:eastAsia="en-GB"/>
        </w:rPr>
        <w:t>all of</w:t>
      </w:r>
      <w:proofErr w:type="gramEnd"/>
      <w:r w:rsidRPr="00D72599">
        <w:rPr>
          <w:rFonts w:eastAsia="Times New Roman" w:cs="Times New Roman"/>
          <w:color w:val="4A4A4A"/>
          <w:sz w:val="21"/>
          <w:szCs w:val="21"/>
          <w:lang w:eastAsia="en-GB"/>
        </w:rPr>
        <w:t xml:space="preserve"> these questions that relate to transboundary waters</w:t>
      </w:r>
      <w:r w:rsidRPr="00330891">
        <w:rPr>
          <w:sz w:val="21"/>
          <w:szCs w:val="21"/>
          <w:lang w:val="en-AU"/>
        </w:rPr>
        <w:t xml:space="preserve">. </w:t>
      </w:r>
    </w:p>
    <w:p w14:paraId="2077500C" w14:textId="77777777" w:rsidR="00330891" w:rsidRPr="00D72599" w:rsidRDefault="00330891">
      <w:pPr>
        <w:pStyle w:val="ListParagraph"/>
        <w:numPr>
          <w:ilvl w:val="0"/>
          <w:numId w:val="7"/>
        </w:numPr>
        <w:spacing w:after="0" w:line="240" w:lineRule="auto"/>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Annex C: Barriers / enablers:</w:t>
      </w:r>
      <w:r w:rsidRPr="00D72599">
        <w:rPr>
          <w:rFonts w:eastAsia="Times New Roman" w:cs="Times New Roman"/>
          <w:color w:val="4A4A4A"/>
          <w:sz w:val="21"/>
          <w:szCs w:val="21"/>
          <w:lang w:eastAsia="en-GB"/>
        </w:rPr>
        <w:t xml:space="preserve"> is this filled out? Low, moderate, or high level of information? </w:t>
      </w:r>
    </w:p>
    <w:p w14:paraId="1C46A03F"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 Guidance for assigning Low/ Medium/ High categories: </w:t>
      </w:r>
      <w:r w:rsidRPr="00D72599">
        <w:rPr>
          <w:rFonts w:eastAsia="Times New Roman" w:cs="Times New Roman"/>
          <w:color w:val="4A4A4A"/>
          <w:sz w:val="21"/>
          <w:szCs w:val="21"/>
          <w:u w:val="single"/>
          <w:lang w:eastAsia="en-GB"/>
        </w:rPr>
        <w:t>Low:</w:t>
      </w:r>
      <w:r w:rsidRPr="00D72599">
        <w:rPr>
          <w:rFonts w:eastAsia="Times New Roman" w:cs="Times New Roman"/>
          <w:color w:val="4A4A4A"/>
          <w:sz w:val="21"/>
          <w:szCs w:val="21"/>
          <w:lang w:eastAsia="en-GB"/>
        </w:rPr>
        <w:t xml:space="preserve"> Less than 1 point for each question. </w:t>
      </w:r>
      <w:r w:rsidRPr="00D72599">
        <w:rPr>
          <w:rFonts w:eastAsia="Times New Roman" w:cs="Times New Roman"/>
          <w:color w:val="4A4A4A"/>
          <w:sz w:val="21"/>
          <w:szCs w:val="21"/>
          <w:u w:val="single"/>
          <w:lang w:eastAsia="en-GB"/>
        </w:rPr>
        <w:t>Medium:</w:t>
      </w:r>
      <w:r w:rsidRPr="00D72599">
        <w:rPr>
          <w:rFonts w:eastAsia="Times New Roman" w:cs="Times New Roman"/>
          <w:color w:val="4A4A4A"/>
          <w:sz w:val="21"/>
          <w:szCs w:val="21"/>
          <w:lang w:eastAsia="en-GB"/>
        </w:rPr>
        <w:t xml:space="preserve"> At least one point for each question and the points make sense and are useful. </w:t>
      </w:r>
      <w:r w:rsidRPr="00D72599">
        <w:rPr>
          <w:rFonts w:eastAsia="Times New Roman" w:cs="Times New Roman"/>
          <w:color w:val="4A4A4A"/>
          <w:sz w:val="21"/>
          <w:szCs w:val="21"/>
          <w:u w:val="single"/>
          <w:lang w:eastAsia="en-GB"/>
        </w:rPr>
        <w:t>High:</w:t>
      </w:r>
      <w:r w:rsidRPr="00D72599">
        <w:rPr>
          <w:rFonts w:eastAsia="Times New Roman" w:cs="Times New Roman"/>
          <w:color w:val="4A4A4A"/>
          <w:sz w:val="21"/>
          <w:szCs w:val="21"/>
          <w:lang w:eastAsia="en-GB"/>
        </w:rPr>
        <w:t xml:space="preserve"> Useful analysis that would contribute to future planning.</w:t>
      </w:r>
    </w:p>
    <w:p w14:paraId="5C7E5A17" w14:textId="77777777" w:rsidR="00330891" w:rsidRPr="00D72599" w:rsidRDefault="00330891">
      <w:pPr>
        <w:pStyle w:val="ListParagraph"/>
        <w:numPr>
          <w:ilvl w:val="0"/>
          <w:numId w:val="7"/>
        </w:numPr>
        <w:spacing w:after="0" w:line="240" w:lineRule="auto"/>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Annex D:</w:t>
      </w:r>
      <w:r w:rsidRPr="00D72599">
        <w:rPr>
          <w:rFonts w:eastAsia="Times New Roman" w:cs="Times New Roman"/>
          <w:color w:val="4A4A4A"/>
          <w:sz w:val="21"/>
          <w:szCs w:val="21"/>
          <w:lang w:eastAsia="en-GB"/>
        </w:rPr>
        <w:t xml:space="preserve"> Priorities: completed (Yes/No/Partially)? Any info in the ‘comments’ field (low, moderate, high level of info there?)</w:t>
      </w:r>
    </w:p>
    <w:p w14:paraId="76530FF3" w14:textId="77777777" w:rsidR="00330891" w:rsidRPr="00D72599" w:rsidRDefault="00330891">
      <w:pPr>
        <w:pStyle w:val="ListParagraph"/>
        <w:numPr>
          <w:ilvl w:val="1"/>
          <w:numId w:val="15"/>
        </w:numPr>
        <w:spacing w:after="0" w:line="240" w:lineRule="auto"/>
        <w:rPr>
          <w:rFonts w:eastAsia="Times New Roman" w:cs="Times New Roman"/>
          <w:color w:val="4A4A4A"/>
          <w:sz w:val="21"/>
          <w:szCs w:val="21"/>
          <w:lang w:eastAsia="en-GB"/>
        </w:rPr>
      </w:pPr>
      <w:r w:rsidRPr="00D72599">
        <w:rPr>
          <w:rFonts w:eastAsia="Times New Roman" w:cs="Times New Roman"/>
          <w:color w:val="4A4A4A"/>
          <w:sz w:val="21"/>
          <w:szCs w:val="21"/>
          <w:lang w:eastAsia="en-GB"/>
        </w:rPr>
        <w:t>Guidance for assigning Low/ Medium/ High categories: Low:  Blank to few words. Medium: A few useful points. High: A longer analysis/ commentary.</w:t>
      </w:r>
    </w:p>
    <w:p w14:paraId="6B97D72F" w14:textId="77777777" w:rsidR="00330891" w:rsidRPr="00D72599" w:rsidRDefault="00330891">
      <w:pPr>
        <w:pStyle w:val="ListParagraph"/>
        <w:numPr>
          <w:ilvl w:val="0"/>
          <w:numId w:val="7"/>
        </w:numPr>
        <w:spacing w:after="0" w:line="240" w:lineRule="auto"/>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Annex E: Country process:</w:t>
      </w:r>
      <w:r w:rsidRPr="00D72599">
        <w:rPr>
          <w:rFonts w:eastAsia="Times New Roman" w:cs="Times New Roman"/>
          <w:color w:val="4A4A4A"/>
          <w:sz w:val="21"/>
          <w:szCs w:val="21"/>
          <w:lang w:eastAsia="en-GB"/>
        </w:rPr>
        <w:t xml:space="preserve"> level of info in the free text field, the table, and in the ‘additional info’ field completed. </w:t>
      </w:r>
    </w:p>
    <w:p w14:paraId="3DBF3FC2" w14:textId="304067AD" w:rsidR="00330891" w:rsidRPr="00F07C28" w:rsidRDefault="00330891" w:rsidP="00D72599">
      <w:pPr>
        <w:pStyle w:val="ListParagraph"/>
        <w:numPr>
          <w:ilvl w:val="1"/>
          <w:numId w:val="15"/>
        </w:numPr>
        <w:spacing w:after="0" w:line="240" w:lineRule="auto"/>
      </w:pPr>
      <w:r w:rsidRPr="00D72599">
        <w:rPr>
          <w:rFonts w:eastAsia="Times New Roman" w:cs="Times New Roman"/>
          <w:color w:val="4A4A4A"/>
          <w:sz w:val="21"/>
          <w:szCs w:val="21"/>
          <w:lang w:eastAsia="en-GB"/>
        </w:rPr>
        <w:t xml:space="preserve">Guidance for assigning Low/ Medium/ High categories: </w:t>
      </w:r>
      <w:r w:rsidRPr="00D72599">
        <w:rPr>
          <w:rFonts w:eastAsia="Times New Roman" w:cs="Times New Roman"/>
          <w:color w:val="4A4A4A"/>
          <w:sz w:val="21"/>
          <w:szCs w:val="21"/>
          <w:u w:val="single"/>
          <w:lang w:eastAsia="en-GB"/>
        </w:rPr>
        <w:t>Low</w:t>
      </w:r>
      <w:r w:rsidRPr="00D72599">
        <w:rPr>
          <w:rFonts w:eastAsia="Times New Roman" w:cs="Times New Roman"/>
          <w:color w:val="4A4A4A"/>
          <w:sz w:val="21"/>
          <w:szCs w:val="21"/>
          <w:lang w:eastAsia="en-GB"/>
        </w:rPr>
        <w:t xml:space="preserve">:  Blank to few words. </w:t>
      </w:r>
      <w:r w:rsidRPr="00D72599">
        <w:rPr>
          <w:rFonts w:eastAsia="Times New Roman" w:cs="Times New Roman"/>
          <w:color w:val="4A4A4A"/>
          <w:sz w:val="21"/>
          <w:szCs w:val="21"/>
          <w:u w:val="single"/>
          <w:lang w:eastAsia="en-GB"/>
        </w:rPr>
        <w:t>Medium</w:t>
      </w:r>
      <w:r w:rsidRPr="00D72599">
        <w:rPr>
          <w:rFonts w:eastAsia="Times New Roman" w:cs="Times New Roman"/>
          <w:color w:val="4A4A4A"/>
          <w:sz w:val="21"/>
          <w:szCs w:val="21"/>
          <w:lang w:eastAsia="en-GB"/>
        </w:rPr>
        <w:t xml:space="preserve">:  Minimum info to be useful to understand transparency.  </w:t>
      </w:r>
      <w:r w:rsidRPr="00D72599">
        <w:rPr>
          <w:rFonts w:eastAsia="Times New Roman" w:cs="Times New Roman"/>
          <w:color w:val="4A4A4A"/>
          <w:sz w:val="21"/>
          <w:szCs w:val="21"/>
          <w:u w:val="single"/>
          <w:lang w:eastAsia="en-GB"/>
        </w:rPr>
        <w:t>High</w:t>
      </w:r>
      <w:r w:rsidRPr="00D72599">
        <w:rPr>
          <w:rFonts w:eastAsia="Times New Roman" w:cs="Times New Roman"/>
          <w:color w:val="4A4A4A"/>
          <w:sz w:val="21"/>
          <w:szCs w:val="21"/>
          <w:lang w:eastAsia="en-GB"/>
        </w:rPr>
        <w:t>: More detailed description that gives good idea of robustness and transparency of the process.</w:t>
      </w:r>
      <w:r w:rsidRPr="00330891">
        <w:rPr>
          <w:sz w:val="21"/>
          <w:szCs w:val="21"/>
          <w:lang w:val="en-AU"/>
        </w:rPr>
        <w:t xml:space="preserve"> </w:t>
      </w:r>
    </w:p>
    <w:p w14:paraId="5DB055D1" w14:textId="77777777" w:rsidR="00563586" w:rsidRPr="00F07C28" w:rsidRDefault="00563586">
      <w:pPr>
        <w:pStyle w:val="MText"/>
      </w:pPr>
    </w:p>
    <w:p w14:paraId="50D91741" w14:textId="77777777" w:rsidR="00563586" w:rsidRPr="00F07C28" w:rsidRDefault="00563586">
      <w:pPr>
        <w:pStyle w:val="MText"/>
      </w:pPr>
      <w:r w:rsidRPr="00F07C28">
        <w:t xml:space="preserve">All data is provided by each country and is therefore fully owned by the countries. Each country undertakes stakeholder consultation, to a level that is appropriate given resources and capacity available to them, to ensure that the data has adequate acceptance and ownership within the country. Guidance on consultation processes are provided in the monitoring guide and through the introductory </w:t>
      </w:r>
      <w:proofErr w:type="spellStart"/>
      <w:r w:rsidRPr="00F07C28">
        <w:t>powerp</w:t>
      </w:r>
      <w:r>
        <w:t>oint</w:t>
      </w:r>
      <w:proofErr w:type="spellEnd"/>
      <w:r>
        <w:t xml:space="preserve"> and video for focal points</w:t>
      </w:r>
      <w:r w:rsidRPr="00F07C28">
        <w:t xml:space="preserve"> (all materials available at </w:t>
      </w:r>
      <w:hyperlink r:id="rId19" w:history="1">
        <w:r w:rsidRPr="00DF7F63">
          <w:rPr>
            <w:rStyle w:val="Hyperlink"/>
          </w:rPr>
          <w:t>http://iwrmdataportal.unepdhi.org</w:t>
        </w:r>
      </w:hyperlink>
      <w:r w:rsidRPr="00F07C28">
        <w:t>).</w:t>
      </w:r>
    </w:p>
    <w:p w14:paraId="03EF3244" w14:textId="77777777" w:rsidR="00EC2915" w:rsidRPr="00A96255" w:rsidRDefault="00EC2915">
      <w:pPr>
        <w:pStyle w:val="MText"/>
      </w:pPr>
    </w:p>
    <w:p w14:paraId="34ADD322" w14:textId="1A21C057" w:rsidR="00E1050F" w:rsidRPr="00A96255" w:rsidRDefault="00576CFA" w:rsidP="00F719A8">
      <w:pPr>
        <w:pStyle w:val="MHeader2"/>
      </w:pPr>
      <w:r w:rsidRPr="00A96255">
        <w:lastRenderedPageBreak/>
        <w:t>4.k Qua</w:t>
      </w:r>
      <w:r w:rsidR="00E1050F" w:rsidRPr="00A96255">
        <w:t>lity assessment</w:t>
      </w:r>
    </w:p>
    <w:p w14:paraId="6AA76230" w14:textId="1E06C6A7" w:rsidR="00576CFA" w:rsidRPr="00A96255" w:rsidRDefault="000E5AB1" w:rsidP="00576CFA">
      <w:pPr>
        <w:pStyle w:val="MText"/>
      </w:pPr>
      <w:r w:rsidRPr="00D72599">
        <w:t xml:space="preserve">The quality </w:t>
      </w:r>
      <w:r w:rsidR="004404AC" w:rsidRPr="00D72599">
        <w:t xml:space="preserve">management procedures in place are deemed </w:t>
      </w:r>
      <w:proofErr w:type="gramStart"/>
      <w:r w:rsidR="004404AC" w:rsidRPr="00D72599">
        <w:t>sufficient</w:t>
      </w:r>
      <w:proofErr w:type="gramEnd"/>
      <w:r w:rsidR="004404AC" w:rsidRPr="00D72599">
        <w:t xml:space="preserve"> to ensure the data submitted to the SDGs Indicator Database is of acceptable quality. </w:t>
      </w:r>
    </w:p>
    <w:p w14:paraId="5B7C52CE" w14:textId="77777777" w:rsidR="00576CFA" w:rsidRPr="00A96255" w:rsidRDefault="00576CFA" w:rsidP="00576CFA">
      <w:pPr>
        <w:pStyle w:val="MText"/>
      </w:pPr>
    </w:p>
    <w:p w14:paraId="4CD8F3EF" w14:textId="3644E5B5" w:rsidR="00F719A8" w:rsidRPr="00E7335B" w:rsidRDefault="00576CFA" w:rsidP="00E7335B">
      <w:pPr>
        <w:pStyle w:val="MHeader"/>
        <w:spacing w:after="100"/>
      </w:pPr>
      <w:r w:rsidRPr="00A96255">
        <w:t>5. Data availability and disaggregation</w:t>
      </w:r>
    </w:p>
    <w:p w14:paraId="464A8CCF" w14:textId="15D8EA7C" w:rsidR="00576CFA" w:rsidRPr="00E7335B" w:rsidRDefault="00D51E7C">
      <w:pPr>
        <w:pStyle w:val="MText"/>
      </w:pPr>
      <w:r w:rsidRPr="00E7335B">
        <w:t>Data availability:</w:t>
      </w:r>
    </w:p>
    <w:p w14:paraId="7FF73D8B" w14:textId="1E1DD990" w:rsidR="00E7335B" w:rsidRPr="00F07C28" w:rsidRDefault="00E7335B"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Total number of countries: 1</w:t>
      </w:r>
      <w:r w:rsidR="009D5C08">
        <w:rPr>
          <w:rFonts w:eastAsia="Times New Roman" w:cs="Times New Roman"/>
          <w:color w:val="4A4A4A"/>
          <w:sz w:val="21"/>
          <w:szCs w:val="21"/>
          <w:lang w:eastAsia="en-GB"/>
        </w:rPr>
        <w:t>8</w:t>
      </w:r>
      <w:r w:rsidR="00F20024">
        <w:rPr>
          <w:rFonts w:eastAsia="Times New Roman" w:cs="Times New Roman"/>
          <w:color w:val="4A4A4A"/>
          <w:sz w:val="21"/>
          <w:szCs w:val="21"/>
          <w:lang w:eastAsia="en-GB"/>
        </w:rPr>
        <w:t>5</w:t>
      </w:r>
      <w:r w:rsidRPr="00F07C28">
        <w:rPr>
          <w:rFonts w:eastAsia="Times New Roman" w:cs="Times New Roman"/>
          <w:color w:val="4A4A4A"/>
          <w:sz w:val="21"/>
          <w:szCs w:val="21"/>
          <w:lang w:eastAsia="en-GB"/>
        </w:rPr>
        <w:t xml:space="preserve"> (</w:t>
      </w:r>
      <w:r w:rsidR="00377F72">
        <w:rPr>
          <w:rFonts w:eastAsia="Times New Roman" w:cs="Times New Roman"/>
          <w:color w:val="4A4A4A"/>
          <w:sz w:val="21"/>
          <w:szCs w:val="21"/>
          <w:lang w:eastAsia="en-GB"/>
        </w:rPr>
        <w:t>96</w:t>
      </w:r>
      <w:r w:rsidRPr="00F07C28">
        <w:rPr>
          <w:rFonts w:eastAsia="Times New Roman" w:cs="Times New Roman"/>
          <w:color w:val="4A4A4A"/>
          <w:sz w:val="21"/>
          <w:szCs w:val="21"/>
          <w:lang w:eastAsia="en-GB"/>
        </w:rPr>
        <w:t>% of UN Member States) (UNEP 20</w:t>
      </w:r>
      <w:r w:rsidR="002C05EF">
        <w:rPr>
          <w:rFonts w:eastAsia="Times New Roman" w:cs="Times New Roman"/>
          <w:color w:val="4A4A4A"/>
          <w:sz w:val="21"/>
          <w:szCs w:val="21"/>
          <w:lang w:eastAsia="en-GB"/>
        </w:rPr>
        <w:t>20</w:t>
      </w:r>
      <w:r w:rsidRPr="00F07C28">
        <w:rPr>
          <w:rFonts w:eastAsia="Times New Roman" w:cs="Times New Roman"/>
          <w:color w:val="4A4A4A"/>
          <w:sz w:val="21"/>
          <w:szCs w:val="21"/>
          <w:lang w:eastAsia="en-GB"/>
        </w:rPr>
        <w:t xml:space="preserve">) </w:t>
      </w:r>
    </w:p>
    <w:p w14:paraId="4B00E7E5" w14:textId="7A301B5D" w:rsidR="00E7335B" w:rsidRPr="00F07C28" w:rsidRDefault="00E7335B"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following covers the region (UNSD regional groupings): followed by the number of countries with data / total countries in region (as of 20</w:t>
      </w:r>
      <w:r w:rsidR="00E32F92">
        <w:rPr>
          <w:rFonts w:eastAsia="Times New Roman" w:cs="Times New Roman"/>
          <w:color w:val="4A4A4A"/>
          <w:sz w:val="21"/>
          <w:szCs w:val="21"/>
          <w:lang w:eastAsia="en-GB"/>
        </w:rPr>
        <w:t>20</w:t>
      </w:r>
      <w:r w:rsidRPr="00F07C28">
        <w:rPr>
          <w:rFonts w:eastAsia="Times New Roman" w:cs="Times New Roman"/>
          <w:color w:val="4A4A4A"/>
          <w:sz w:val="21"/>
          <w:szCs w:val="21"/>
          <w:lang w:eastAsia="en-GB"/>
        </w:rPr>
        <w:t>); followed by the percentage of countries with data.</w:t>
      </w:r>
    </w:p>
    <w:p w14:paraId="7CCD1354" w14:textId="77777777" w:rsidR="00E7335B" w:rsidRPr="00F07C28" w:rsidRDefault="00E7335B" w:rsidP="00D72599">
      <w:pPr>
        <w:shd w:val="clear" w:color="auto" w:fill="FFFFFF"/>
        <w:spacing w:after="0" w:line="23" w:lineRule="atLeast"/>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Australia and New Zealand: 2/2; 100%</w:t>
      </w:r>
    </w:p>
    <w:p w14:paraId="626B873B" w14:textId="08586DA2" w:rsidR="00E7335B" w:rsidRPr="00F07C28" w:rsidRDefault="00E7335B" w:rsidP="00D72599">
      <w:pPr>
        <w:shd w:val="clear" w:color="auto" w:fill="FFFFFF"/>
        <w:spacing w:after="0" w:line="23" w:lineRule="atLeast"/>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Central and Southern Asia: 1</w:t>
      </w:r>
      <w:r w:rsidR="00741508">
        <w:rPr>
          <w:rFonts w:eastAsia="Times New Roman" w:cs="Times New Roman"/>
          <w:color w:val="4A4A4A"/>
          <w:sz w:val="21"/>
          <w:szCs w:val="21"/>
          <w:lang w:eastAsia="en-GB"/>
        </w:rPr>
        <w:t>4</w:t>
      </w:r>
      <w:r w:rsidRPr="00F07C28">
        <w:rPr>
          <w:rFonts w:eastAsia="Times New Roman" w:cs="Times New Roman"/>
          <w:color w:val="4A4A4A"/>
          <w:sz w:val="21"/>
          <w:szCs w:val="21"/>
          <w:lang w:eastAsia="en-GB"/>
        </w:rPr>
        <w:t xml:space="preserve">/14; </w:t>
      </w:r>
      <w:r w:rsidR="00741508">
        <w:rPr>
          <w:rFonts w:eastAsia="Times New Roman" w:cs="Times New Roman"/>
          <w:color w:val="4A4A4A"/>
          <w:sz w:val="21"/>
          <w:szCs w:val="21"/>
          <w:lang w:eastAsia="en-GB"/>
        </w:rPr>
        <w:t>100</w:t>
      </w:r>
      <w:r w:rsidRPr="00F07C28">
        <w:rPr>
          <w:rFonts w:eastAsia="Times New Roman" w:cs="Times New Roman"/>
          <w:color w:val="4A4A4A"/>
          <w:sz w:val="21"/>
          <w:szCs w:val="21"/>
          <w:lang w:eastAsia="en-GB"/>
        </w:rPr>
        <w:t>%</w:t>
      </w:r>
    </w:p>
    <w:p w14:paraId="522FDD3E" w14:textId="1BC7837F" w:rsidR="00E7335B" w:rsidRPr="00F07C28" w:rsidRDefault="00E7335B" w:rsidP="00D72599">
      <w:pPr>
        <w:shd w:val="clear" w:color="auto" w:fill="FFFFFF"/>
        <w:spacing w:after="0" w:line="23" w:lineRule="atLeast"/>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Eastern and South-Eastern Asia: 1</w:t>
      </w:r>
      <w:r w:rsidR="00741508">
        <w:rPr>
          <w:rFonts w:eastAsia="Times New Roman" w:cs="Times New Roman"/>
          <w:color w:val="4A4A4A"/>
          <w:sz w:val="21"/>
          <w:szCs w:val="21"/>
          <w:lang w:eastAsia="en-GB"/>
        </w:rPr>
        <w:t>6</w:t>
      </w:r>
      <w:r w:rsidRPr="00F07C28">
        <w:rPr>
          <w:rFonts w:eastAsia="Times New Roman" w:cs="Times New Roman"/>
          <w:color w:val="4A4A4A"/>
          <w:sz w:val="21"/>
          <w:szCs w:val="21"/>
          <w:lang w:eastAsia="en-GB"/>
        </w:rPr>
        <w:t xml:space="preserve">/16; </w:t>
      </w:r>
      <w:r w:rsidR="00741508">
        <w:rPr>
          <w:rFonts w:eastAsia="Times New Roman" w:cs="Times New Roman"/>
          <w:color w:val="4A4A4A"/>
          <w:sz w:val="21"/>
          <w:szCs w:val="21"/>
          <w:lang w:eastAsia="en-GB"/>
        </w:rPr>
        <w:t>100</w:t>
      </w:r>
      <w:r w:rsidRPr="00F07C28">
        <w:rPr>
          <w:rFonts w:eastAsia="Times New Roman" w:cs="Times New Roman"/>
          <w:color w:val="4A4A4A"/>
          <w:sz w:val="21"/>
          <w:szCs w:val="21"/>
          <w:lang w:eastAsia="en-GB"/>
        </w:rPr>
        <w:t>%</w:t>
      </w:r>
    </w:p>
    <w:p w14:paraId="11476234" w14:textId="02F28C69" w:rsidR="00E7335B" w:rsidRPr="00F07C28" w:rsidRDefault="00E7335B" w:rsidP="00D72599">
      <w:pPr>
        <w:shd w:val="clear" w:color="auto" w:fill="FFFFFF"/>
        <w:spacing w:after="0" w:line="23" w:lineRule="atLeast"/>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Europe and Northern America: 4</w:t>
      </w:r>
      <w:r w:rsidR="00741508">
        <w:rPr>
          <w:rFonts w:eastAsia="Times New Roman" w:cs="Times New Roman"/>
          <w:color w:val="4A4A4A"/>
          <w:sz w:val="21"/>
          <w:szCs w:val="21"/>
          <w:lang w:eastAsia="en-GB"/>
        </w:rPr>
        <w:t>4</w:t>
      </w:r>
      <w:r w:rsidRPr="00F07C28">
        <w:rPr>
          <w:rFonts w:eastAsia="Times New Roman" w:cs="Times New Roman"/>
          <w:color w:val="4A4A4A"/>
          <w:sz w:val="21"/>
          <w:szCs w:val="21"/>
          <w:lang w:eastAsia="en-GB"/>
        </w:rPr>
        <w:t>/45; 9</w:t>
      </w:r>
      <w:r w:rsidR="00741508">
        <w:rPr>
          <w:rFonts w:eastAsia="Times New Roman" w:cs="Times New Roman"/>
          <w:color w:val="4A4A4A"/>
          <w:sz w:val="21"/>
          <w:szCs w:val="21"/>
          <w:lang w:eastAsia="en-GB"/>
        </w:rPr>
        <w:t>8</w:t>
      </w:r>
      <w:r w:rsidRPr="00F07C28">
        <w:rPr>
          <w:rFonts w:eastAsia="Times New Roman" w:cs="Times New Roman"/>
          <w:color w:val="4A4A4A"/>
          <w:sz w:val="21"/>
          <w:szCs w:val="21"/>
          <w:lang w:eastAsia="en-GB"/>
        </w:rPr>
        <w:t>%</w:t>
      </w:r>
    </w:p>
    <w:p w14:paraId="7A8F0DB9" w14:textId="03010177" w:rsidR="00E7335B" w:rsidRPr="00F07C28" w:rsidRDefault="00E7335B" w:rsidP="00D72599">
      <w:pPr>
        <w:shd w:val="clear" w:color="auto" w:fill="FFFFFF"/>
        <w:spacing w:after="0" w:line="23" w:lineRule="atLeast"/>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Latin America and the Caribbean: </w:t>
      </w:r>
      <w:r w:rsidR="00E32F92">
        <w:rPr>
          <w:rFonts w:eastAsia="Times New Roman" w:cs="Times New Roman"/>
          <w:color w:val="4A4A4A"/>
          <w:sz w:val="21"/>
          <w:szCs w:val="21"/>
          <w:lang w:eastAsia="en-GB"/>
        </w:rPr>
        <w:t>32</w:t>
      </w:r>
      <w:r w:rsidRPr="00F07C28">
        <w:rPr>
          <w:rFonts w:eastAsia="Times New Roman" w:cs="Times New Roman"/>
          <w:color w:val="4A4A4A"/>
          <w:sz w:val="21"/>
          <w:szCs w:val="21"/>
          <w:lang w:eastAsia="en-GB"/>
        </w:rPr>
        <w:t xml:space="preserve">/33; </w:t>
      </w:r>
      <w:r w:rsidR="00E32F92">
        <w:rPr>
          <w:rFonts w:eastAsia="Times New Roman" w:cs="Times New Roman"/>
          <w:color w:val="4A4A4A"/>
          <w:sz w:val="21"/>
          <w:szCs w:val="21"/>
          <w:lang w:eastAsia="en-GB"/>
        </w:rPr>
        <w:t>97</w:t>
      </w:r>
      <w:r w:rsidRPr="00F07C28">
        <w:rPr>
          <w:rFonts w:eastAsia="Times New Roman" w:cs="Times New Roman"/>
          <w:color w:val="4A4A4A"/>
          <w:sz w:val="21"/>
          <w:szCs w:val="21"/>
          <w:lang w:eastAsia="en-GB"/>
        </w:rPr>
        <w:t>%</w:t>
      </w:r>
    </w:p>
    <w:p w14:paraId="5D0E722F" w14:textId="56A29AAB" w:rsidR="00E7335B" w:rsidRPr="00F07C28" w:rsidRDefault="00E7335B" w:rsidP="00D72599">
      <w:pPr>
        <w:shd w:val="clear" w:color="auto" w:fill="FFFFFF"/>
        <w:spacing w:after="0" w:line="23" w:lineRule="atLeast"/>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Northern Africa and Western Asia: 2</w:t>
      </w:r>
      <w:r w:rsidR="00E32F92">
        <w:rPr>
          <w:rFonts w:eastAsia="Times New Roman" w:cs="Times New Roman"/>
          <w:color w:val="4A4A4A"/>
          <w:sz w:val="21"/>
          <w:szCs w:val="21"/>
          <w:lang w:eastAsia="en-GB"/>
        </w:rPr>
        <w:t>3</w:t>
      </w:r>
      <w:r w:rsidRPr="00F07C28">
        <w:rPr>
          <w:rFonts w:eastAsia="Times New Roman" w:cs="Times New Roman"/>
          <w:color w:val="4A4A4A"/>
          <w:sz w:val="21"/>
          <w:szCs w:val="21"/>
          <w:lang w:eastAsia="en-GB"/>
        </w:rPr>
        <w:t xml:space="preserve">/23; </w:t>
      </w:r>
      <w:r w:rsidR="00E32F92">
        <w:rPr>
          <w:rFonts w:eastAsia="Times New Roman" w:cs="Times New Roman"/>
          <w:color w:val="4A4A4A"/>
          <w:sz w:val="21"/>
          <w:szCs w:val="21"/>
          <w:lang w:eastAsia="en-GB"/>
        </w:rPr>
        <w:t>100</w:t>
      </w:r>
      <w:r w:rsidRPr="00F07C28">
        <w:rPr>
          <w:rFonts w:eastAsia="Times New Roman" w:cs="Times New Roman"/>
          <w:color w:val="4A4A4A"/>
          <w:sz w:val="21"/>
          <w:szCs w:val="21"/>
          <w:lang w:eastAsia="en-GB"/>
        </w:rPr>
        <w:t>%</w:t>
      </w:r>
    </w:p>
    <w:p w14:paraId="0E3F5835" w14:textId="2650649A" w:rsidR="00E7335B" w:rsidRPr="00F07C28" w:rsidRDefault="00E7335B" w:rsidP="00D72599">
      <w:pPr>
        <w:shd w:val="clear" w:color="auto" w:fill="FFFFFF"/>
        <w:spacing w:after="0" w:line="23" w:lineRule="atLeast"/>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Oceania (excluding Australia and New Zealand): </w:t>
      </w:r>
      <w:r w:rsidR="00E32F92">
        <w:rPr>
          <w:rFonts w:eastAsia="Times New Roman" w:cs="Times New Roman"/>
          <w:color w:val="4A4A4A"/>
          <w:sz w:val="21"/>
          <w:szCs w:val="21"/>
          <w:lang w:eastAsia="en-GB"/>
        </w:rPr>
        <w:t>9</w:t>
      </w:r>
      <w:r w:rsidRPr="00F07C28">
        <w:rPr>
          <w:rFonts w:eastAsia="Times New Roman" w:cs="Times New Roman"/>
          <w:color w:val="4A4A4A"/>
          <w:sz w:val="21"/>
          <w:szCs w:val="21"/>
          <w:lang w:eastAsia="en-GB"/>
        </w:rPr>
        <w:t xml:space="preserve">/12; </w:t>
      </w:r>
      <w:r w:rsidR="00E32F92">
        <w:rPr>
          <w:rFonts w:eastAsia="Times New Roman" w:cs="Times New Roman"/>
          <w:color w:val="4A4A4A"/>
          <w:sz w:val="21"/>
          <w:szCs w:val="21"/>
          <w:lang w:eastAsia="en-GB"/>
        </w:rPr>
        <w:t>75</w:t>
      </w:r>
      <w:r w:rsidRPr="00F07C28">
        <w:rPr>
          <w:rFonts w:eastAsia="Times New Roman" w:cs="Times New Roman"/>
          <w:color w:val="4A4A4A"/>
          <w:sz w:val="21"/>
          <w:szCs w:val="21"/>
          <w:lang w:eastAsia="en-GB"/>
        </w:rPr>
        <w:t>%</w:t>
      </w:r>
    </w:p>
    <w:p w14:paraId="2F27A8A5" w14:textId="52706635" w:rsidR="00E7335B" w:rsidRPr="00F07C28" w:rsidRDefault="00E7335B" w:rsidP="00D72599">
      <w:pPr>
        <w:shd w:val="clear" w:color="auto" w:fill="FFFFFF"/>
        <w:spacing w:after="0" w:line="23" w:lineRule="atLeast"/>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Sub-Saharan Africa: 4</w:t>
      </w:r>
      <w:r w:rsidR="00F20024">
        <w:rPr>
          <w:rFonts w:eastAsia="Times New Roman" w:cs="Times New Roman"/>
          <w:color w:val="4A4A4A"/>
          <w:sz w:val="21"/>
          <w:szCs w:val="21"/>
          <w:lang w:eastAsia="en-GB"/>
        </w:rPr>
        <w:t>6</w:t>
      </w:r>
      <w:r w:rsidRPr="00F07C28">
        <w:rPr>
          <w:rFonts w:eastAsia="Times New Roman" w:cs="Times New Roman"/>
          <w:color w:val="4A4A4A"/>
          <w:sz w:val="21"/>
          <w:szCs w:val="21"/>
          <w:lang w:eastAsia="en-GB"/>
        </w:rPr>
        <w:t>/48; 9</w:t>
      </w:r>
      <w:r w:rsidR="00F20024">
        <w:rPr>
          <w:rFonts w:eastAsia="Times New Roman" w:cs="Times New Roman"/>
          <w:color w:val="4A4A4A"/>
          <w:sz w:val="21"/>
          <w:szCs w:val="21"/>
          <w:lang w:eastAsia="en-GB"/>
        </w:rPr>
        <w:t>6</w:t>
      </w:r>
      <w:r w:rsidRPr="00F07C28">
        <w:rPr>
          <w:rFonts w:eastAsia="Times New Roman" w:cs="Times New Roman"/>
          <w:color w:val="4A4A4A"/>
          <w:sz w:val="21"/>
          <w:szCs w:val="21"/>
          <w:lang w:eastAsia="en-GB"/>
        </w:rPr>
        <w:t>%</w:t>
      </w:r>
    </w:p>
    <w:p w14:paraId="3DA86353" w14:textId="56EC83C9" w:rsidR="00E7335B" w:rsidRPr="00E7335B" w:rsidRDefault="00E7335B" w:rsidP="00D72599">
      <w:pPr>
        <w:shd w:val="clear" w:color="auto" w:fill="FFFFFF"/>
        <w:spacing w:after="0" w:line="23" w:lineRule="atLeast"/>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World: 1</w:t>
      </w:r>
      <w:r w:rsidR="00F20024">
        <w:rPr>
          <w:rFonts w:eastAsia="Times New Roman" w:cs="Times New Roman"/>
          <w:color w:val="4A4A4A"/>
          <w:sz w:val="21"/>
          <w:szCs w:val="21"/>
          <w:lang w:eastAsia="en-GB"/>
        </w:rPr>
        <w:t>85</w:t>
      </w:r>
      <w:r w:rsidRPr="00F07C28">
        <w:rPr>
          <w:rFonts w:eastAsia="Times New Roman" w:cs="Times New Roman"/>
          <w:color w:val="4A4A4A"/>
          <w:sz w:val="21"/>
          <w:szCs w:val="21"/>
          <w:lang w:eastAsia="en-GB"/>
        </w:rPr>
        <w:t xml:space="preserve">/193: </w:t>
      </w:r>
      <w:r w:rsidR="00F20024">
        <w:rPr>
          <w:rFonts w:eastAsia="Times New Roman" w:cs="Times New Roman"/>
          <w:color w:val="4A4A4A"/>
          <w:sz w:val="21"/>
          <w:szCs w:val="21"/>
          <w:lang w:eastAsia="en-GB"/>
        </w:rPr>
        <w:t>96</w:t>
      </w:r>
      <w:r w:rsidRPr="00F07C28">
        <w:rPr>
          <w:rFonts w:eastAsia="Times New Roman" w:cs="Times New Roman"/>
          <w:color w:val="4A4A4A"/>
          <w:sz w:val="21"/>
          <w:szCs w:val="21"/>
          <w:lang w:eastAsia="en-GB"/>
        </w:rPr>
        <w:t>%</w:t>
      </w:r>
    </w:p>
    <w:p w14:paraId="2D0542F7" w14:textId="3DE6BFAB" w:rsidR="00D51E7C" w:rsidRPr="00C019E5" w:rsidRDefault="00D51E7C">
      <w:pPr>
        <w:pStyle w:val="MText"/>
        <w:rPr>
          <w:highlight w:val="cyan"/>
        </w:rPr>
      </w:pPr>
    </w:p>
    <w:p w14:paraId="5853D6F7" w14:textId="05EA85CE" w:rsidR="00D51E7C" w:rsidRPr="00E7335B" w:rsidRDefault="00D51E7C">
      <w:pPr>
        <w:pStyle w:val="MText"/>
      </w:pPr>
      <w:r w:rsidRPr="00E7335B">
        <w:t>Time series:</w:t>
      </w:r>
    </w:p>
    <w:p w14:paraId="74CCD2AA" w14:textId="77777777" w:rsidR="00E7335B" w:rsidRPr="00F07C28" w:rsidRDefault="00E7335B"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Pre-SDGs: 2008, 2012 (UN-Water 2008, 2012). </w:t>
      </w:r>
    </w:p>
    <w:p w14:paraId="70BAB99E" w14:textId="4A88A86F" w:rsidR="00E7335B" w:rsidRPr="00F07C28" w:rsidRDefault="00E7335B"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SDG period: </w:t>
      </w:r>
      <w:proofErr w:type="gramStart"/>
      <w:r w:rsidRPr="00F07C28">
        <w:rPr>
          <w:rFonts w:eastAsia="Times New Roman" w:cs="Times New Roman"/>
          <w:color w:val="4A4A4A"/>
          <w:sz w:val="21"/>
          <w:szCs w:val="21"/>
          <w:lang w:eastAsia="en-GB"/>
        </w:rPr>
        <w:t xml:space="preserve">2017 </w:t>
      </w:r>
      <w:r w:rsidR="009D5C08">
        <w:rPr>
          <w:rFonts w:eastAsia="Times New Roman" w:cs="Times New Roman"/>
          <w:color w:val="4A4A4A"/>
          <w:sz w:val="21"/>
          <w:szCs w:val="21"/>
          <w:lang w:eastAsia="en-GB"/>
        </w:rPr>
        <w:t>,</w:t>
      </w:r>
      <w:proofErr w:type="gramEnd"/>
      <w:r w:rsidR="009D5C08">
        <w:rPr>
          <w:rFonts w:eastAsia="Times New Roman" w:cs="Times New Roman"/>
          <w:color w:val="4A4A4A"/>
          <w:sz w:val="21"/>
          <w:szCs w:val="21"/>
          <w:lang w:eastAsia="en-GB"/>
        </w:rPr>
        <w:t xml:space="preserve"> 2020</w:t>
      </w:r>
      <w:r w:rsidRPr="00F07C28">
        <w:rPr>
          <w:rFonts w:eastAsia="Times New Roman" w:cs="Times New Roman"/>
          <w:color w:val="4A4A4A"/>
          <w:sz w:val="21"/>
          <w:szCs w:val="21"/>
          <w:lang w:eastAsia="en-GB"/>
        </w:rPr>
        <w:t xml:space="preserve">. </w:t>
      </w:r>
    </w:p>
    <w:p w14:paraId="111BDBD2" w14:textId="4E0C4AF5" w:rsidR="00E7335B" w:rsidRPr="001D70A5" w:rsidRDefault="00E7335B"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All on IWRM Portal (</w:t>
      </w:r>
      <w:hyperlink r:id="rId20" w:history="1">
        <w:r w:rsidRPr="00F07C28">
          <w:rPr>
            <w:rStyle w:val="Hyperlink"/>
            <w:rFonts w:eastAsia="Times New Roman" w:cs="Times New Roman"/>
            <w:sz w:val="21"/>
            <w:szCs w:val="21"/>
            <w:lang w:eastAsia="en-GB"/>
          </w:rPr>
          <w:t>http://iwrmdataportal.unepdhi.org</w:t>
        </w:r>
      </w:hyperlink>
      <w:r w:rsidRPr="00F07C28">
        <w:rPr>
          <w:rFonts w:eastAsia="Times New Roman" w:cs="Times New Roman"/>
          <w:color w:val="4A4A4A"/>
          <w:sz w:val="21"/>
          <w:szCs w:val="21"/>
          <w:lang w:eastAsia="en-GB"/>
        </w:rPr>
        <w:t>)</w:t>
      </w:r>
    </w:p>
    <w:p w14:paraId="760C013A" w14:textId="4597FCBD" w:rsidR="00D51E7C" w:rsidRPr="00C019E5" w:rsidRDefault="00D51E7C">
      <w:pPr>
        <w:pStyle w:val="MText"/>
        <w:rPr>
          <w:highlight w:val="cyan"/>
        </w:rPr>
      </w:pPr>
    </w:p>
    <w:p w14:paraId="72C7C370" w14:textId="69438B53" w:rsidR="00D51E7C" w:rsidRDefault="00D51E7C">
      <w:pPr>
        <w:pStyle w:val="MText"/>
      </w:pPr>
      <w:r w:rsidRPr="001D70A5">
        <w:t>Disaggregation:</w:t>
      </w:r>
    </w:p>
    <w:p w14:paraId="6F29EF8F" w14:textId="77777777" w:rsidR="001D70A5" w:rsidRPr="00F07C28" w:rsidRDefault="001D70A5"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strength of the indicator lies in the potential for disaggregating the country score into the four main dimensions of IWRM, and further to the questions in the survey. This provides countries with a quick assessment of which aspects of IWRM are progressing well, and which aspects require increased efforts to </w:t>
      </w:r>
      <w:r>
        <w:rPr>
          <w:rFonts w:eastAsia="Times New Roman" w:cs="Times New Roman"/>
          <w:color w:val="4A4A4A"/>
          <w:sz w:val="21"/>
          <w:szCs w:val="21"/>
          <w:lang w:eastAsia="en-GB"/>
        </w:rPr>
        <w:t>reach</w:t>
      </w:r>
      <w:r w:rsidRPr="00F07C28">
        <w:rPr>
          <w:rFonts w:eastAsia="Times New Roman" w:cs="Times New Roman"/>
          <w:color w:val="4A4A4A"/>
          <w:sz w:val="21"/>
          <w:szCs w:val="21"/>
          <w:lang w:eastAsia="en-GB"/>
        </w:rPr>
        <w:t xml:space="preserve"> the target. </w:t>
      </w:r>
    </w:p>
    <w:p w14:paraId="36D84400" w14:textId="77777777" w:rsidR="001D70A5" w:rsidRPr="00F07C28" w:rsidRDefault="001D70A5"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nature of the target, indicator and survey does not lend itself to disaggregation by sex, age group, income etc. However, social equality is an integral part of IWRM, and there are questions which directly address issues such as gender, vulnerable groups, geographic coverage and broad stakeholder participation in water resources development and management. These questions provide an indication of the national and sub-national situation regarding social equality.</w:t>
      </w:r>
    </w:p>
    <w:p w14:paraId="42E8CA56" w14:textId="77777777" w:rsidR="00D51E7C" w:rsidRPr="00A96255" w:rsidRDefault="00D51E7C">
      <w:pPr>
        <w:pStyle w:val="MText"/>
      </w:pPr>
    </w:p>
    <w:p w14:paraId="33CAB7BE" w14:textId="4BF1196D" w:rsidR="00EC2915" w:rsidRDefault="00B31E2C" w:rsidP="00660624">
      <w:pPr>
        <w:pStyle w:val="MHeader"/>
        <w:spacing w:after="100"/>
      </w:pPr>
      <w:r w:rsidRPr="00A96255">
        <w:t>6. Comparability / d</w:t>
      </w:r>
      <w:r w:rsidR="00576CFA" w:rsidRPr="00A96255">
        <w:t>eviatio</w:t>
      </w:r>
      <w:r w:rsidR="00382CF3" w:rsidRPr="00A96255">
        <w:t>n from international standards</w:t>
      </w:r>
    </w:p>
    <w:p w14:paraId="3595E072" w14:textId="2BE2FF0F" w:rsidR="00D51E7C" w:rsidRDefault="00D51E7C">
      <w:pPr>
        <w:pStyle w:val="MText"/>
      </w:pPr>
      <w:r w:rsidRPr="00660624">
        <w:t>Sources of discrepancies:</w:t>
      </w:r>
    </w:p>
    <w:p w14:paraId="3C2D4870" w14:textId="189E98C0" w:rsidR="00D51E7C" w:rsidRPr="001E17BE" w:rsidRDefault="00660624"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As described in the “Data Sources” section </w:t>
      </w:r>
      <w:r w:rsidR="002A3591">
        <w:rPr>
          <w:rFonts w:eastAsia="Times New Roman" w:cs="Times New Roman"/>
          <w:color w:val="4A4A4A"/>
          <w:sz w:val="21"/>
          <w:szCs w:val="21"/>
          <w:lang w:eastAsia="en-GB"/>
        </w:rPr>
        <w:t>above</w:t>
      </w:r>
      <w:r w:rsidRPr="00F07C28">
        <w:rPr>
          <w:rFonts w:eastAsia="Times New Roman" w:cs="Times New Roman"/>
          <w:color w:val="4A4A4A"/>
          <w:sz w:val="21"/>
          <w:szCs w:val="21"/>
          <w:lang w:eastAsia="en-GB"/>
        </w:rPr>
        <w:t xml:space="preserve">, there </w:t>
      </w:r>
      <w:r w:rsidR="00FB1650">
        <w:rPr>
          <w:rFonts w:eastAsia="Times New Roman" w:cs="Times New Roman"/>
          <w:color w:val="4A4A4A"/>
          <w:sz w:val="21"/>
          <w:szCs w:val="21"/>
          <w:lang w:eastAsia="en-GB"/>
        </w:rPr>
        <w:t>are</w:t>
      </w:r>
      <w:r w:rsidRPr="00F07C28">
        <w:rPr>
          <w:rFonts w:eastAsia="Times New Roman" w:cs="Times New Roman"/>
          <w:color w:val="4A4A4A"/>
          <w:sz w:val="21"/>
          <w:szCs w:val="21"/>
          <w:lang w:eastAsia="en-GB"/>
        </w:rPr>
        <w:t xml:space="preserve"> no internationally estimated data, with all data to be produced by countries.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200F1DB" w14:textId="293ABC28" w:rsidR="00E7335B" w:rsidRDefault="00E7335B">
      <w:pPr>
        <w:shd w:val="clear" w:color="auto" w:fill="FFFFFF"/>
        <w:spacing w:after="0"/>
        <w:contextualSpacing/>
        <w:rPr>
          <w:rFonts w:eastAsia="Times New Roman" w:cs="Times New Roman"/>
          <w:color w:val="4A4A4A"/>
          <w:sz w:val="21"/>
          <w:szCs w:val="21"/>
          <w:lang w:eastAsia="en-GB"/>
        </w:rPr>
      </w:pPr>
      <w:r w:rsidRPr="00D72599">
        <w:rPr>
          <w:rFonts w:eastAsia="Times New Roman" w:cs="Times New Roman"/>
          <w:b/>
          <w:bCs/>
          <w:color w:val="4A4A4A"/>
          <w:sz w:val="21"/>
          <w:szCs w:val="21"/>
          <w:lang w:val="da-DK" w:eastAsia="en-GB"/>
        </w:rPr>
        <w:t>URL</w:t>
      </w:r>
      <w:r w:rsidR="002C05EF" w:rsidRPr="00D72599">
        <w:rPr>
          <w:rFonts w:eastAsia="Times New Roman" w:cs="Times New Roman"/>
          <w:b/>
          <w:bCs/>
          <w:color w:val="4A4A4A"/>
          <w:sz w:val="21"/>
          <w:szCs w:val="21"/>
          <w:lang w:val="da-DK" w:eastAsia="en-GB"/>
        </w:rPr>
        <w:t>s</w:t>
      </w:r>
      <w:r w:rsidRPr="00D72599">
        <w:rPr>
          <w:rFonts w:eastAsia="Times New Roman" w:cs="Times New Roman"/>
          <w:b/>
          <w:bCs/>
          <w:color w:val="4A4A4A"/>
          <w:sz w:val="21"/>
          <w:szCs w:val="21"/>
          <w:lang w:val="da-DK" w:eastAsia="en-GB"/>
        </w:rPr>
        <w:t xml:space="preserve">: </w:t>
      </w:r>
      <w:hyperlink r:id="rId21" w:history="1">
        <w:r w:rsidRPr="00D72599">
          <w:rPr>
            <w:rStyle w:val="Hyperlink"/>
            <w:rFonts w:eastAsia="Times New Roman" w:cs="Times New Roman"/>
            <w:sz w:val="21"/>
            <w:szCs w:val="21"/>
            <w:lang w:val="da-DK" w:eastAsia="en-GB"/>
          </w:rPr>
          <w:t>http://iwrmdataportal.unepdhi.org</w:t>
        </w:r>
      </w:hyperlink>
      <w:r w:rsidRPr="00D72599">
        <w:rPr>
          <w:rFonts w:eastAsia="Times New Roman" w:cs="Times New Roman"/>
          <w:color w:val="4A4A4A"/>
          <w:sz w:val="21"/>
          <w:szCs w:val="21"/>
          <w:lang w:val="da-DK" w:eastAsia="en-GB"/>
        </w:rPr>
        <w:t xml:space="preserve"> . </w:t>
      </w:r>
      <w:r w:rsidRPr="00F07C28">
        <w:rPr>
          <w:rFonts w:eastAsia="Times New Roman" w:cs="Times New Roman"/>
          <w:color w:val="4A4A4A"/>
          <w:sz w:val="21"/>
          <w:szCs w:val="21"/>
          <w:lang w:eastAsia="en-GB"/>
        </w:rPr>
        <w:t xml:space="preserve">This contains the </w:t>
      </w:r>
      <w:r>
        <w:rPr>
          <w:rFonts w:eastAsia="Times New Roman" w:cs="Times New Roman"/>
          <w:color w:val="4A4A4A"/>
          <w:sz w:val="21"/>
          <w:szCs w:val="21"/>
          <w:lang w:eastAsia="en-GB"/>
        </w:rPr>
        <w:t xml:space="preserve">latest survey instrument, monitoring guide, and all supporting documentation. </w:t>
      </w:r>
    </w:p>
    <w:p w14:paraId="4D510C51" w14:textId="1034F873" w:rsidR="002C05EF" w:rsidRPr="00F07C28" w:rsidRDefault="002C05EF">
      <w:pPr>
        <w:shd w:val="clear" w:color="auto" w:fill="FFFFFF"/>
        <w:spacing w:after="0"/>
        <w:contextualSpacing/>
        <w:rPr>
          <w:rFonts w:eastAsia="Times New Roman" w:cs="Times New Roman"/>
          <w:color w:val="4A4A4A"/>
          <w:sz w:val="21"/>
          <w:szCs w:val="21"/>
          <w:lang w:eastAsia="en-GB"/>
        </w:rPr>
      </w:pPr>
      <w:hyperlink r:id="rId22" w:history="1">
        <w:r w:rsidRPr="00A103A9">
          <w:rPr>
            <w:rStyle w:val="Hyperlink"/>
            <w:rFonts w:eastAsia="Times New Roman" w:cs="Times New Roman"/>
            <w:sz w:val="21"/>
            <w:szCs w:val="21"/>
            <w:lang w:eastAsia="en-GB"/>
          </w:rPr>
          <w:t>https://www.gwp.org/en/sdg6support/</w:t>
        </w:r>
      </w:hyperlink>
      <w:r>
        <w:rPr>
          <w:rFonts w:eastAsia="Times New Roman" w:cs="Times New Roman"/>
          <w:color w:val="4A4A4A"/>
          <w:sz w:val="21"/>
          <w:szCs w:val="21"/>
          <w:lang w:eastAsia="en-GB"/>
        </w:rPr>
        <w:t xml:space="preserve"> : SDG 6 IWRM Support Programme. </w:t>
      </w:r>
    </w:p>
    <w:p w14:paraId="194B3062" w14:textId="77777777" w:rsidR="00E7335B" w:rsidRPr="00F07C28" w:rsidRDefault="00E7335B">
      <w:pPr>
        <w:shd w:val="clear" w:color="auto" w:fill="FFFFFF"/>
        <w:spacing w:after="0"/>
        <w:contextualSpacing/>
        <w:rPr>
          <w:rFonts w:eastAsia="Times New Roman" w:cs="Times New Roman"/>
          <w:b/>
          <w:bCs/>
          <w:color w:val="4A4A4A"/>
          <w:sz w:val="21"/>
          <w:szCs w:val="21"/>
          <w:lang w:eastAsia="en-GB"/>
        </w:rPr>
      </w:pPr>
    </w:p>
    <w:p w14:paraId="748BE090" w14:textId="77777777" w:rsidR="00E7335B" w:rsidRPr="00F07C28" w:rsidRDefault="00E7335B">
      <w:pPr>
        <w:shd w:val="clear" w:color="auto" w:fill="FFFFFF"/>
        <w:spacing w:after="0"/>
        <w:contextualSpacing/>
        <w:rPr>
          <w:rFonts w:eastAsia="Times New Roman" w:cs="Times New Roman"/>
          <w:color w:val="4A4A4A"/>
          <w:sz w:val="21"/>
          <w:szCs w:val="21"/>
          <w:lang w:eastAsia="en-GB"/>
        </w:rPr>
      </w:pPr>
      <w:r w:rsidRPr="00F07C28">
        <w:rPr>
          <w:rFonts w:eastAsia="Times New Roman" w:cs="Times New Roman"/>
          <w:b/>
          <w:bCs/>
          <w:color w:val="4A4A4A"/>
          <w:sz w:val="21"/>
          <w:szCs w:val="21"/>
          <w:lang w:eastAsia="en-GB"/>
        </w:rPr>
        <w:t>References:</w:t>
      </w:r>
    </w:p>
    <w:p w14:paraId="3532E0A9" w14:textId="77777777" w:rsidR="00E7335B" w:rsidRPr="00F07C28" w:rsidRDefault="00E7335B">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lastRenderedPageBreak/>
        <w:t xml:space="preserve">- AMCOW 2018: Status Report on the Implementation of Water Resources Management in Africa: a regional report for SDG indicator 6.5.1 on IWRM implementation. </w:t>
      </w:r>
    </w:p>
    <w:p w14:paraId="7BE1800B" w14:textId="77777777" w:rsidR="00E7335B" w:rsidRPr="00F07C28" w:rsidRDefault="00E7335B">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UNEP 2018: Progress on integrated water resources management. Global baseline for SDG 6 Indicator 6.5.1: degree of IWRM implementation. </w:t>
      </w:r>
    </w:p>
    <w:p w14:paraId="14FA1F3C" w14:textId="44B15E20" w:rsidR="00E7335B" w:rsidRPr="00F07C28" w:rsidRDefault="00E7335B">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United Nations Economic and </w:t>
      </w:r>
      <w:proofErr w:type="gramStart"/>
      <w:r w:rsidRPr="00F07C28">
        <w:rPr>
          <w:rFonts w:eastAsia="Times New Roman" w:cs="Times New Roman"/>
          <w:color w:val="4A4A4A"/>
          <w:sz w:val="21"/>
          <w:szCs w:val="21"/>
          <w:lang w:eastAsia="en-GB"/>
        </w:rPr>
        <w:t>Social</w:t>
      </w:r>
      <w:r w:rsidR="000C7A04">
        <w:rPr>
          <w:rFonts w:eastAsia="Times New Roman" w:cs="Times New Roman"/>
          <w:color w:val="4A4A4A"/>
          <w:sz w:val="21"/>
          <w:szCs w:val="21"/>
          <w:lang w:eastAsia="en-GB"/>
        </w:rPr>
        <w:t xml:space="preserve"> </w:t>
      </w:r>
      <w:r w:rsidRPr="00F07C28">
        <w:rPr>
          <w:rFonts w:eastAsia="Times New Roman" w:cs="Times New Roman"/>
          <w:color w:val="4A4A4A"/>
          <w:sz w:val="21"/>
          <w:szCs w:val="21"/>
          <w:lang w:eastAsia="en-GB"/>
        </w:rPr>
        <w:t xml:space="preserve"> Commission</w:t>
      </w:r>
      <w:proofErr w:type="gramEnd"/>
      <w:r w:rsidRPr="00F07C28">
        <w:rPr>
          <w:rFonts w:eastAsia="Times New Roman" w:cs="Times New Roman"/>
          <w:color w:val="4A4A4A"/>
          <w:sz w:val="21"/>
          <w:szCs w:val="21"/>
          <w:lang w:eastAsia="en-GB"/>
        </w:rPr>
        <w:t xml:space="preserve"> for West Asia (2019). Status Report on the Implementation of Integrated Water Resources Management in the Arab Region: Progress on SDG indicator 6.5.1. </w:t>
      </w:r>
    </w:p>
    <w:p w14:paraId="5A8CF060" w14:textId="77777777" w:rsidR="00E7335B" w:rsidRPr="00F07C28" w:rsidRDefault="00E7335B">
      <w:pPr>
        <w:shd w:val="clear" w:color="auto" w:fill="FFFFFF"/>
        <w:spacing w:after="0" w:line="23" w:lineRule="atLeast"/>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w:t>
      </w:r>
      <w:r w:rsidRPr="00F07C28">
        <w:rPr>
          <w:color w:val="4A4A4A"/>
          <w:sz w:val="21"/>
          <w:szCs w:val="21"/>
        </w:rPr>
        <w:t xml:space="preserve">UN-Water initiative on integrated monitoring of SDG 6. </w:t>
      </w:r>
      <w:hyperlink r:id="rId23" w:history="1">
        <w:r w:rsidRPr="00F07C28">
          <w:rPr>
            <w:rStyle w:val="Hyperlink"/>
            <w:rFonts w:eastAsia="Times New Roman" w:cs="Times New Roman"/>
            <w:sz w:val="21"/>
            <w:szCs w:val="21"/>
            <w:lang w:eastAsia="en-GB"/>
          </w:rPr>
          <w:t>http://sdg6data.org</w:t>
        </w:r>
      </w:hyperlink>
    </w:p>
    <w:p w14:paraId="6BEE79D3" w14:textId="77777777" w:rsidR="00E7335B" w:rsidRPr="00F07C28" w:rsidRDefault="00E7335B">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UN-Water, 2016: Water and Sanitation Interlinkages across the 2030 Agenda for Sustainable Development. Geneva.</w:t>
      </w:r>
    </w:p>
    <w:p w14:paraId="384B0992" w14:textId="36889691" w:rsidR="00186795" w:rsidRDefault="00186795" w:rsidP="00D72599">
      <w:pPr>
        <w:spacing w:after="0"/>
      </w:pPr>
    </w:p>
    <w:sectPr w:rsidR="00186795">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067D8" w14:textId="77777777" w:rsidR="00A04DB1" w:rsidRDefault="00A04DB1" w:rsidP="00573C0B">
      <w:pPr>
        <w:spacing w:after="0" w:line="240" w:lineRule="auto"/>
      </w:pPr>
      <w:r>
        <w:separator/>
      </w:r>
    </w:p>
  </w:endnote>
  <w:endnote w:type="continuationSeparator" w:id="0">
    <w:p w14:paraId="0305D749" w14:textId="77777777" w:rsidR="00A04DB1" w:rsidRDefault="00A04DB1" w:rsidP="00573C0B">
      <w:pPr>
        <w:spacing w:after="0" w:line="240" w:lineRule="auto"/>
      </w:pPr>
      <w:r>
        <w:continuationSeparator/>
      </w:r>
    </w:p>
  </w:endnote>
  <w:endnote w:type="continuationNotice" w:id="1">
    <w:p w14:paraId="0E9C5F2F" w14:textId="77777777" w:rsidR="00A04DB1" w:rsidRDefault="00A0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101B1" w14:textId="77777777" w:rsidR="00A04DB1" w:rsidRDefault="00A04DB1" w:rsidP="00573C0B">
      <w:pPr>
        <w:spacing w:after="0" w:line="240" w:lineRule="auto"/>
      </w:pPr>
      <w:r>
        <w:separator/>
      </w:r>
    </w:p>
  </w:footnote>
  <w:footnote w:type="continuationSeparator" w:id="0">
    <w:p w14:paraId="0A5CD568" w14:textId="77777777" w:rsidR="00A04DB1" w:rsidRDefault="00A04DB1" w:rsidP="00573C0B">
      <w:pPr>
        <w:spacing w:after="0" w:line="240" w:lineRule="auto"/>
      </w:pPr>
      <w:r>
        <w:continuationSeparator/>
      </w:r>
    </w:p>
  </w:footnote>
  <w:footnote w:type="continuationNotice" w:id="1">
    <w:p w14:paraId="409C1D86" w14:textId="77777777" w:rsidR="00A04DB1" w:rsidRDefault="00A0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C42D6E0"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4D5207">
      <w:rPr>
        <w:color w:val="404040" w:themeColor="text1" w:themeTint="BF"/>
        <w:sz w:val="18"/>
        <w:szCs w:val="18"/>
      </w:rPr>
      <w:t>2</w:t>
    </w:r>
    <w:r w:rsidR="00E92576" w:rsidRPr="00E92576">
      <w:rPr>
        <w:color w:val="404040" w:themeColor="text1" w:themeTint="BF"/>
        <w:sz w:val="18"/>
        <w:szCs w:val="18"/>
      </w:rPr>
      <w:t xml:space="preserve"> </w:t>
    </w:r>
    <w:r w:rsidR="004D5207">
      <w:rPr>
        <w:color w:val="404040" w:themeColor="text1" w:themeTint="BF"/>
        <w:sz w:val="18"/>
        <w:szCs w:val="18"/>
      </w:rPr>
      <w:t>February</w:t>
    </w:r>
    <w:r w:rsidR="004D5207" w:rsidRPr="00E92576">
      <w:rPr>
        <w:color w:val="404040" w:themeColor="text1" w:themeTint="BF"/>
        <w:sz w:val="18"/>
        <w:szCs w:val="18"/>
      </w:rPr>
      <w:t xml:space="preserve"> </w:t>
    </w:r>
    <w:r w:rsidR="00E92576" w:rsidRPr="00E92576">
      <w:rPr>
        <w:color w:val="404040" w:themeColor="text1" w:themeTint="BF"/>
        <w:sz w:val="18"/>
        <w:szCs w:val="18"/>
      </w:rPr>
      <w:t>20</w:t>
    </w:r>
    <w:r w:rsidR="004D5207">
      <w:rPr>
        <w:color w:val="404040" w:themeColor="text1" w:themeTint="BF"/>
        <w:sz w:val="18"/>
        <w:szCs w:val="18"/>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34F"/>
    <w:multiLevelType w:val="hybridMultilevel"/>
    <w:tmpl w:val="7B0C0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D23A8"/>
    <w:multiLevelType w:val="hybridMultilevel"/>
    <w:tmpl w:val="4380E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E52D7"/>
    <w:multiLevelType w:val="hybridMultilevel"/>
    <w:tmpl w:val="A12A3A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3F7656"/>
    <w:multiLevelType w:val="hybridMultilevel"/>
    <w:tmpl w:val="7D989630"/>
    <w:lvl w:ilvl="0" w:tplc="0409000F">
      <w:start w:val="1"/>
      <w:numFmt w:val="decimal"/>
      <w:lvlText w:val="%1."/>
      <w:lvlJc w:val="left"/>
      <w:pPr>
        <w:ind w:left="720" w:hanging="360"/>
      </w:pPr>
      <w:rPr>
        <w:rFonts w:hint="default"/>
      </w:rPr>
    </w:lvl>
    <w:lvl w:ilvl="1" w:tplc="9C7E38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74D69"/>
    <w:multiLevelType w:val="hybridMultilevel"/>
    <w:tmpl w:val="15628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3D63DC"/>
    <w:multiLevelType w:val="hybridMultilevel"/>
    <w:tmpl w:val="1C48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00135"/>
    <w:multiLevelType w:val="hybridMultilevel"/>
    <w:tmpl w:val="C54A4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16EEC"/>
    <w:multiLevelType w:val="hybridMultilevel"/>
    <w:tmpl w:val="3D1E0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E57E1"/>
    <w:multiLevelType w:val="hybridMultilevel"/>
    <w:tmpl w:val="FDDE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71033"/>
    <w:multiLevelType w:val="hybridMultilevel"/>
    <w:tmpl w:val="4E86E85A"/>
    <w:lvl w:ilvl="0" w:tplc="04090001">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4E4CE9"/>
    <w:multiLevelType w:val="hybridMultilevel"/>
    <w:tmpl w:val="B15E02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4"/>
  </w:num>
  <w:num w:numId="4">
    <w:abstractNumId w:val="4"/>
  </w:num>
  <w:num w:numId="5">
    <w:abstractNumId w:val="0"/>
  </w:num>
  <w:num w:numId="6">
    <w:abstractNumId w:val="7"/>
  </w:num>
  <w:num w:numId="7">
    <w:abstractNumId w:val="5"/>
  </w:num>
  <w:num w:numId="8">
    <w:abstractNumId w:val="2"/>
  </w:num>
  <w:num w:numId="9">
    <w:abstractNumId w:val="13"/>
  </w:num>
  <w:num w:numId="10">
    <w:abstractNumId w:val="1"/>
  </w:num>
  <w:num w:numId="11">
    <w:abstractNumId w:val="11"/>
  </w:num>
  <w:num w:numId="12">
    <w:abstractNumId w:val="12"/>
  </w:num>
  <w:num w:numId="13">
    <w:abstractNumId w:val="6"/>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1F45"/>
    <w:rsid w:val="000173F9"/>
    <w:rsid w:val="000412A0"/>
    <w:rsid w:val="00047DDA"/>
    <w:rsid w:val="0005455A"/>
    <w:rsid w:val="00071F07"/>
    <w:rsid w:val="0007759D"/>
    <w:rsid w:val="000777AB"/>
    <w:rsid w:val="00077F46"/>
    <w:rsid w:val="0008669A"/>
    <w:rsid w:val="00090FB1"/>
    <w:rsid w:val="00096186"/>
    <w:rsid w:val="000A72E4"/>
    <w:rsid w:val="000B0E2F"/>
    <w:rsid w:val="000B2430"/>
    <w:rsid w:val="000C2890"/>
    <w:rsid w:val="000C7A04"/>
    <w:rsid w:val="000D0B30"/>
    <w:rsid w:val="000E21F1"/>
    <w:rsid w:val="000E5AB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D70A5"/>
    <w:rsid w:val="001E17BE"/>
    <w:rsid w:val="001E5F02"/>
    <w:rsid w:val="001E7AEB"/>
    <w:rsid w:val="00261A8D"/>
    <w:rsid w:val="00283C1C"/>
    <w:rsid w:val="00291A00"/>
    <w:rsid w:val="00291A11"/>
    <w:rsid w:val="002A315C"/>
    <w:rsid w:val="002A3342"/>
    <w:rsid w:val="002A3591"/>
    <w:rsid w:val="002A64BA"/>
    <w:rsid w:val="002B4989"/>
    <w:rsid w:val="002C05EF"/>
    <w:rsid w:val="002C2510"/>
    <w:rsid w:val="002D290D"/>
    <w:rsid w:val="002D714E"/>
    <w:rsid w:val="002E53C3"/>
    <w:rsid w:val="002F0098"/>
    <w:rsid w:val="002F1468"/>
    <w:rsid w:val="002F5F0C"/>
    <w:rsid w:val="00301E12"/>
    <w:rsid w:val="00316C5C"/>
    <w:rsid w:val="003265EB"/>
    <w:rsid w:val="00330891"/>
    <w:rsid w:val="0034329E"/>
    <w:rsid w:val="00343FAA"/>
    <w:rsid w:val="00347D42"/>
    <w:rsid w:val="00347F5E"/>
    <w:rsid w:val="00353C98"/>
    <w:rsid w:val="003625AB"/>
    <w:rsid w:val="00363A76"/>
    <w:rsid w:val="00371A20"/>
    <w:rsid w:val="00377F72"/>
    <w:rsid w:val="003821B4"/>
    <w:rsid w:val="00382CF3"/>
    <w:rsid w:val="00387D52"/>
    <w:rsid w:val="003A7CEA"/>
    <w:rsid w:val="003C0C2C"/>
    <w:rsid w:val="003F0BD3"/>
    <w:rsid w:val="003F278A"/>
    <w:rsid w:val="003F7A02"/>
    <w:rsid w:val="00422EA5"/>
    <w:rsid w:val="00422EFA"/>
    <w:rsid w:val="0042791F"/>
    <w:rsid w:val="004404AC"/>
    <w:rsid w:val="004456ED"/>
    <w:rsid w:val="0048045A"/>
    <w:rsid w:val="004841B8"/>
    <w:rsid w:val="004916A6"/>
    <w:rsid w:val="004930F2"/>
    <w:rsid w:val="004B0F1C"/>
    <w:rsid w:val="004D500D"/>
    <w:rsid w:val="004D5207"/>
    <w:rsid w:val="004F2EE6"/>
    <w:rsid w:val="00502DBA"/>
    <w:rsid w:val="005040C4"/>
    <w:rsid w:val="00507637"/>
    <w:rsid w:val="00507852"/>
    <w:rsid w:val="005100A4"/>
    <w:rsid w:val="00514DBF"/>
    <w:rsid w:val="005349AA"/>
    <w:rsid w:val="00550921"/>
    <w:rsid w:val="00563586"/>
    <w:rsid w:val="00563712"/>
    <w:rsid w:val="00573631"/>
    <w:rsid w:val="00573C0B"/>
    <w:rsid w:val="00576CFA"/>
    <w:rsid w:val="0058556D"/>
    <w:rsid w:val="00592AF2"/>
    <w:rsid w:val="005947AD"/>
    <w:rsid w:val="00597748"/>
    <w:rsid w:val="005979E8"/>
    <w:rsid w:val="005C110C"/>
    <w:rsid w:val="005D0AF4"/>
    <w:rsid w:val="005E54BD"/>
    <w:rsid w:val="005E5A87"/>
    <w:rsid w:val="005F6CCA"/>
    <w:rsid w:val="006104AF"/>
    <w:rsid w:val="00621893"/>
    <w:rsid w:val="006351E1"/>
    <w:rsid w:val="006447B1"/>
    <w:rsid w:val="00660624"/>
    <w:rsid w:val="00662775"/>
    <w:rsid w:val="006852FC"/>
    <w:rsid w:val="006B40AB"/>
    <w:rsid w:val="006B5DC5"/>
    <w:rsid w:val="006C4BFD"/>
    <w:rsid w:val="006C7D30"/>
    <w:rsid w:val="006E3C08"/>
    <w:rsid w:val="00700ACF"/>
    <w:rsid w:val="00703AA4"/>
    <w:rsid w:val="00712487"/>
    <w:rsid w:val="00714D1C"/>
    <w:rsid w:val="00741508"/>
    <w:rsid w:val="007530CA"/>
    <w:rsid w:val="00756D68"/>
    <w:rsid w:val="007578D9"/>
    <w:rsid w:val="00757E8A"/>
    <w:rsid w:val="00763E43"/>
    <w:rsid w:val="00764EB5"/>
    <w:rsid w:val="00777A95"/>
    <w:rsid w:val="00782416"/>
    <w:rsid w:val="007B0364"/>
    <w:rsid w:val="007D0981"/>
    <w:rsid w:val="007D1929"/>
    <w:rsid w:val="00803CF1"/>
    <w:rsid w:val="008104BB"/>
    <w:rsid w:val="008168A9"/>
    <w:rsid w:val="008249C5"/>
    <w:rsid w:val="008526F9"/>
    <w:rsid w:val="0085285E"/>
    <w:rsid w:val="00853023"/>
    <w:rsid w:val="008534D4"/>
    <w:rsid w:val="0086198E"/>
    <w:rsid w:val="00881E28"/>
    <w:rsid w:val="00894C4B"/>
    <w:rsid w:val="008A12E3"/>
    <w:rsid w:val="008A42FA"/>
    <w:rsid w:val="008B0AC7"/>
    <w:rsid w:val="008C2335"/>
    <w:rsid w:val="008C67C1"/>
    <w:rsid w:val="008D1D39"/>
    <w:rsid w:val="008F07D2"/>
    <w:rsid w:val="00917851"/>
    <w:rsid w:val="00917F65"/>
    <w:rsid w:val="009311E7"/>
    <w:rsid w:val="00942694"/>
    <w:rsid w:val="009615F0"/>
    <w:rsid w:val="00971C75"/>
    <w:rsid w:val="009A499A"/>
    <w:rsid w:val="009A7E3A"/>
    <w:rsid w:val="009B1265"/>
    <w:rsid w:val="009B4A15"/>
    <w:rsid w:val="009B5693"/>
    <w:rsid w:val="009C61A2"/>
    <w:rsid w:val="009C78E4"/>
    <w:rsid w:val="009D5C08"/>
    <w:rsid w:val="009D687E"/>
    <w:rsid w:val="009E12FC"/>
    <w:rsid w:val="009F6DE7"/>
    <w:rsid w:val="00A04DB1"/>
    <w:rsid w:val="00A10583"/>
    <w:rsid w:val="00A20436"/>
    <w:rsid w:val="00A2248A"/>
    <w:rsid w:val="00A37FCB"/>
    <w:rsid w:val="00A54863"/>
    <w:rsid w:val="00A61D74"/>
    <w:rsid w:val="00A8688B"/>
    <w:rsid w:val="00A91163"/>
    <w:rsid w:val="00A9286F"/>
    <w:rsid w:val="00A96255"/>
    <w:rsid w:val="00AB285B"/>
    <w:rsid w:val="00AF2769"/>
    <w:rsid w:val="00AF5552"/>
    <w:rsid w:val="00AF5CB4"/>
    <w:rsid w:val="00AF5ED1"/>
    <w:rsid w:val="00AF71D6"/>
    <w:rsid w:val="00B216EE"/>
    <w:rsid w:val="00B3175F"/>
    <w:rsid w:val="00B31E2C"/>
    <w:rsid w:val="00B329B0"/>
    <w:rsid w:val="00B402D8"/>
    <w:rsid w:val="00B4237C"/>
    <w:rsid w:val="00B42FE8"/>
    <w:rsid w:val="00B52446"/>
    <w:rsid w:val="00B52AFD"/>
    <w:rsid w:val="00B54077"/>
    <w:rsid w:val="00B549C5"/>
    <w:rsid w:val="00B8087E"/>
    <w:rsid w:val="00BA4112"/>
    <w:rsid w:val="00BA4E3D"/>
    <w:rsid w:val="00BB646E"/>
    <w:rsid w:val="00BD1BA1"/>
    <w:rsid w:val="00C019E5"/>
    <w:rsid w:val="00C216DA"/>
    <w:rsid w:val="00C35BC4"/>
    <w:rsid w:val="00C4083C"/>
    <w:rsid w:val="00C43F5B"/>
    <w:rsid w:val="00C46CA2"/>
    <w:rsid w:val="00CB4371"/>
    <w:rsid w:val="00CC516D"/>
    <w:rsid w:val="00D24330"/>
    <w:rsid w:val="00D32701"/>
    <w:rsid w:val="00D40056"/>
    <w:rsid w:val="00D51E7C"/>
    <w:rsid w:val="00D54F29"/>
    <w:rsid w:val="00D56E44"/>
    <w:rsid w:val="00D7020C"/>
    <w:rsid w:val="00D70AD9"/>
    <w:rsid w:val="00D72152"/>
    <w:rsid w:val="00D72599"/>
    <w:rsid w:val="00D94BA5"/>
    <w:rsid w:val="00D9510F"/>
    <w:rsid w:val="00DA615C"/>
    <w:rsid w:val="00DA789B"/>
    <w:rsid w:val="00DB3C52"/>
    <w:rsid w:val="00DD1BC6"/>
    <w:rsid w:val="00DE5DC3"/>
    <w:rsid w:val="00E00D8A"/>
    <w:rsid w:val="00E1050F"/>
    <w:rsid w:val="00E11604"/>
    <w:rsid w:val="00E11D92"/>
    <w:rsid w:val="00E130A0"/>
    <w:rsid w:val="00E210C4"/>
    <w:rsid w:val="00E23DB7"/>
    <w:rsid w:val="00E32F92"/>
    <w:rsid w:val="00E46D96"/>
    <w:rsid w:val="00E50CAE"/>
    <w:rsid w:val="00E52CCA"/>
    <w:rsid w:val="00E66409"/>
    <w:rsid w:val="00E7335B"/>
    <w:rsid w:val="00E81D5B"/>
    <w:rsid w:val="00E92576"/>
    <w:rsid w:val="00E976B9"/>
    <w:rsid w:val="00EA05D3"/>
    <w:rsid w:val="00EB19AD"/>
    <w:rsid w:val="00EB2F31"/>
    <w:rsid w:val="00EB6493"/>
    <w:rsid w:val="00EC0180"/>
    <w:rsid w:val="00EC2915"/>
    <w:rsid w:val="00ED05A9"/>
    <w:rsid w:val="00ED1BA0"/>
    <w:rsid w:val="00F06EB1"/>
    <w:rsid w:val="00F17257"/>
    <w:rsid w:val="00F20024"/>
    <w:rsid w:val="00F34D24"/>
    <w:rsid w:val="00F3663A"/>
    <w:rsid w:val="00F4130B"/>
    <w:rsid w:val="00F556A2"/>
    <w:rsid w:val="00F60696"/>
    <w:rsid w:val="00F719A8"/>
    <w:rsid w:val="00F80B23"/>
    <w:rsid w:val="00F878B9"/>
    <w:rsid w:val="00F95950"/>
    <w:rsid w:val="00FA59D7"/>
    <w:rsid w:val="00FA7158"/>
    <w:rsid w:val="00FB1650"/>
    <w:rsid w:val="00FB24E8"/>
    <w:rsid w:val="00FB3B2B"/>
    <w:rsid w:val="00FC18DA"/>
    <w:rsid w:val="00FC3917"/>
    <w:rsid w:val="00FD01BB"/>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DocumentMap">
    <w:name w:val="Document Map"/>
    <w:basedOn w:val="Normal"/>
    <w:link w:val="DocumentMapChar"/>
    <w:uiPriority w:val="99"/>
    <w:semiHidden/>
    <w:unhideWhenUsed/>
    <w:rsid w:val="00D3270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270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A2248A"/>
    <w:rPr>
      <w:color w:val="800080" w:themeColor="followedHyperlink"/>
      <w:u w:val="single"/>
    </w:rPr>
  </w:style>
  <w:style w:type="character" w:styleId="UnresolvedMention">
    <w:name w:val="Unresolved Mention"/>
    <w:basedOn w:val="DefaultParagraphFont"/>
    <w:uiPriority w:val="99"/>
    <w:rsid w:val="00510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6417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wrmdataportal.unepdhi.org" TargetMode="External"/><Relationship Id="rId18" Type="http://schemas.openxmlformats.org/officeDocument/2006/relationships/hyperlink" Target="https://apps.geodan.nl/igrac/ggis-viewer/viewer/twap/public/defaul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iwrmdataportal.unepdhi.org" TargetMode="External"/><Relationship Id="rId7" Type="http://schemas.openxmlformats.org/officeDocument/2006/relationships/settings" Target="settings.xml"/><Relationship Id="rId12" Type="http://schemas.openxmlformats.org/officeDocument/2006/relationships/hyperlink" Target="http://www.gwp.org/en/sdg6support/consultations/stage-1-activities/training-of-facilitators/" TargetMode="External"/><Relationship Id="rId17" Type="http://schemas.openxmlformats.org/officeDocument/2006/relationships/hyperlink" Target="http://twap-rivers.org/indicators/%2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wap-rivers.org/indicators/Report.ashx?type=IndicatorResultsSummary" TargetMode="External"/><Relationship Id="rId20" Type="http://schemas.openxmlformats.org/officeDocument/2006/relationships/hyperlink" Target="http://iwrmdataportal.unepdhi.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n.wikipedia.org/wiki/List_of_administrative_divisions_by_country%20" TargetMode="External"/><Relationship Id="rId23" Type="http://schemas.openxmlformats.org/officeDocument/2006/relationships/hyperlink" Target="http://sdg6data.org" TargetMode="External"/><Relationship Id="rId10" Type="http://schemas.openxmlformats.org/officeDocument/2006/relationships/endnotes" Target="endnotes.xml"/><Relationship Id="rId19" Type="http://schemas.openxmlformats.org/officeDocument/2006/relationships/hyperlink" Target="http://iwrmdataportal.unepdhi.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wrmsdg651@un.org" TargetMode="External"/><Relationship Id="rId22" Type="http://schemas.openxmlformats.org/officeDocument/2006/relationships/hyperlink" Target="https://www.gwp.org/en/sdg6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B9DA92-4E20-4FDA-A1DF-790FC245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4220</Words>
  <Characters>24057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2021-03-29T13:46:00Z</dcterms:created>
  <dcterms:modified xsi:type="dcterms:W3CDTF">2021-03-29T13:46:00Z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