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1.0)</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0. Indicator information</w:t>
      </w:r>
    </w:p>
    <w:p w14:paraId="043ED752" w14:textId="28D7692E" w:rsidR="00D24330" w:rsidRPr="00A96255" w:rsidRDefault="00D24330" w:rsidP="00EA05D3">
      <w:pPr>
        <w:pStyle w:val="MIndHeader"/>
      </w:pPr>
      <w:r w:rsidRPr="00A96255">
        <w:t xml:space="preserve">0.a. </w:t>
      </w:r>
      <w:r w:rsidRPr="00EA05D3">
        <w:t>Goal</w:t>
      </w:r>
    </w:p>
    <w:p w14:paraId="4CEBBB36" w14:textId="77777777" w:rsidR="002E10FD" w:rsidRDefault="002E10FD" w:rsidP="00D24330">
      <w:pPr>
        <w:pStyle w:val="MIndHeader"/>
        <w:rPr>
          <w:rStyle w:val="eop"/>
          <w:rFonts w:ascii="Calibri" w:hAnsi="Calibri" w:cs="Calibri"/>
          <w:color w:val="333333"/>
          <w:sz w:val="21"/>
          <w:szCs w:val="21"/>
        </w:rPr>
      </w:pPr>
      <w:r>
        <w:rPr>
          <w:rStyle w:val="normaltextrun"/>
          <w:rFonts w:ascii="Calibri" w:hAnsi="Calibri" w:cs="Calibri"/>
          <w:color w:val="333333"/>
          <w:sz w:val="21"/>
          <w:szCs w:val="21"/>
          <w:shd w:val="clear" w:color="auto" w:fill="F5F5F5"/>
        </w:rPr>
        <w:t>Goal: Promote sustained, inclusive and sustainable economic growth, full and productive employment and decent work for all</w:t>
      </w:r>
      <w:r>
        <w:rPr>
          <w:rStyle w:val="eop"/>
          <w:rFonts w:ascii="Calibri" w:hAnsi="Calibri" w:cs="Calibri"/>
          <w:color w:val="333333"/>
          <w:sz w:val="21"/>
          <w:szCs w:val="21"/>
        </w:rPr>
        <w:t> </w:t>
      </w:r>
    </w:p>
    <w:p w14:paraId="084142D2" w14:textId="43451963" w:rsidR="00D24330" w:rsidRPr="00A96255" w:rsidRDefault="00D24330" w:rsidP="00D24330">
      <w:pPr>
        <w:pStyle w:val="MIndHeader"/>
      </w:pPr>
      <w:r w:rsidRPr="00A96255">
        <w:t>0.b. Target</w:t>
      </w:r>
    </w:p>
    <w:p w14:paraId="1535A5C6" w14:textId="77777777" w:rsidR="002E10FD" w:rsidRDefault="002E10FD" w:rsidP="00D24330">
      <w:pPr>
        <w:pStyle w:val="MIndHeader"/>
        <w:rPr>
          <w:rStyle w:val="eop"/>
          <w:rFonts w:ascii="Calibri" w:hAnsi="Calibri" w:cs="Calibri"/>
          <w:color w:val="333333"/>
          <w:sz w:val="21"/>
          <w:szCs w:val="21"/>
        </w:rPr>
      </w:pPr>
      <w:r>
        <w:rPr>
          <w:rStyle w:val="normaltextrun"/>
          <w:rFonts w:ascii="Calibri" w:hAnsi="Calibri" w:cs="Calibri"/>
          <w:color w:val="333333"/>
          <w:sz w:val="21"/>
          <w:szCs w:val="21"/>
          <w:shd w:val="clear" w:color="auto" w:fill="F5F5F5"/>
        </w:rPr>
        <w:t>Target: Promote development-oriented policies that support productive activities, decent job creation, entrepreneurship, creativity and innovation, and encourage the formalization and growth of micro-, small- and medium-sized enterprises, including through access to financial services</w:t>
      </w:r>
      <w:r>
        <w:rPr>
          <w:rStyle w:val="eop"/>
          <w:rFonts w:ascii="Calibri" w:hAnsi="Calibri" w:cs="Calibri"/>
          <w:color w:val="333333"/>
          <w:sz w:val="21"/>
          <w:szCs w:val="21"/>
        </w:rPr>
        <w:t> </w:t>
      </w:r>
    </w:p>
    <w:p w14:paraId="3E67E7E0" w14:textId="624BE8FA" w:rsidR="00D24330" w:rsidRPr="00A96255" w:rsidRDefault="00D24330" w:rsidP="00D24330">
      <w:pPr>
        <w:pStyle w:val="MIndHeader"/>
      </w:pPr>
      <w:r w:rsidRPr="00A96255">
        <w:t>0.c. Indicator</w:t>
      </w:r>
    </w:p>
    <w:p w14:paraId="3DCFC175" w14:textId="77777777" w:rsidR="001620AA" w:rsidRDefault="001620AA" w:rsidP="00D24330">
      <w:pPr>
        <w:pStyle w:val="MIndHeader"/>
        <w:rPr>
          <w:color w:val="333333"/>
          <w:sz w:val="21"/>
          <w:szCs w:val="21"/>
        </w:rPr>
      </w:pPr>
      <w:r w:rsidRPr="001620AA">
        <w:rPr>
          <w:color w:val="333333"/>
          <w:sz w:val="21"/>
          <w:szCs w:val="21"/>
        </w:rPr>
        <w:t>Indicator: 8.3.1: Proportion of informal employment in total employment, by sector and sex</w:t>
      </w:r>
    </w:p>
    <w:p w14:paraId="37E5E4F6" w14:textId="2C1BB3DC" w:rsidR="00D24330" w:rsidRPr="00A96255" w:rsidRDefault="00D24330" w:rsidP="00D24330">
      <w:pPr>
        <w:pStyle w:val="MIndHeader"/>
      </w:pPr>
      <w:r w:rsidRPr="00A96255">
        <w:t>0.d. Series</w:t>
      </w:r>
    </w:p>
    <w:p w14:paraId="157DACE7" w14:textId="77777777" w:rsidR="00D24330" w:rsidRPr="00A96255" w:rsidRDefault="00D24330" w:rsidP="00D24330">
      <w:pPr>
        <w:pStyle w:val="MIndHeader"/>
      </w:pPr>
      <w:r w:rsidRPr="00A96255">
        <w:t>0.e. Metadata update</w:t>
      </w:r>
    </w:p>
    <w:p w14:paraId="03424B60" w14:textId="4C49B4C3" w:rsidR="00D24330" w:rsidRPr="00A96255" w:rsidRDefault="006E1358" w:rsidP="00D24330">
      <w:pPr>
        <w:pStyle w:val="MGTHeader"/>
      </w:pPr>
      <w:r>
        <w:t>January 2021</w:t>
      </w:r>
    </w:p>
    <w:p w14:paraId="415C9FF1" w14:textId="77777777" w:rsidR="00D24330" w:rsidRPr="00A96255" w:rsidRDefault="00D24330" w:rsidP="00D24330">
      <w:pPr>
        <w:pStyle w:val="MIndHeader"/>
      </w:pPr>
      <w:r w:rsidRPr="00A96255">
        <w:t>0.f. Related indicators</w:t>
      </w:r>
    </w:p>
    <w:p w14:paraId="098495EC" w14:textId="77777777" w:rsidR="007E23AB" w:rsidRPr="007E23AB" w:rsidRDefault="007E23AB" w:rsidP="000C0059">
      <w:pPr>
        <w:pStyle w:val="MGTHeader"/>
      </w:pPr>
      <w:r w:rsidRPr="007E23AB">
        <w:t>1.1.1, 1.3.1, 8.5.2</w:t>
      </w:r>
    </w:p>
    <w:p w14:paraId="077BC49E" w14:textId="77777777" w:rsidR="00D24330" w:rsidRPr="00A96255" w:rsidRDefault="00D24330" w:rsidP="00D24330">
      <w:pPr>
        <w:pStyle w:val="MIndHeader"/>
      </w:pPr>
      <w:r w:rsidRPr="00A96255">
        <w:t>0.g. International organisations(s) responsible for global monitoring</w:t>
      </w:r>
    </w:p>
    <w:p w14:paraId="19F29921" w14:textId="379678D9" w:rsidR="008D1D39" w:rsidRDefault="001620AA" w:rsidP="000C0059">
      <w:pPr>
        <w:pStyle w:val="MGTHeader"/>
      </w:pPr>
      <w:r w:rsidRPr="001620AA">
        <w:t>ILO</w:t>
      </w:r>
    </w:p>
    <w:p w14:paraId="22A6DC00" w14:textId="77777777" w:rsidR="000C0059" w:rsidRPr="00A96255" w:rsidRDefault="000C005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1. Data reporter</w:t>
      </w:r>
      <w:bookmarkEnd w:id="0"/>
      <w:bookmarkEnd w:id="1"/>
      <w:bookmarkEnd w:id="2"/>
      <w:bookmarkEnd w:id="3"/>
      <w:bookmarkEnd w:id="4"/>
    </w:p>
    <w:p w14:paraId="0BD77982" w14:textId="72DFE854" w:rsidR="00576CFA" w:rsidRPr="00A96255" w:rsidRDefault="00576CFA" w:rsidP="00F719A8">
      <w:pPr>
        <w:pStyle w:val="MHeader2"/>
      </w:pPr>
      <w:r w:rsidRPr="00A96255">
        <w:t>1.a. Organisation</w:t>
      </w:r>
    </w:p>
    <w:p w14:paraId="6E829FD0" w14:textId="2D440864" w:rsidR="00F719A8" w:rsidRDefault="001620AA" w:rsidP="00576CFA">
      <w:pPr>
        <w:pStyle w:val="MText"/>
      </w:pPr>
      <w:r w:rsidRPr="001620AA">
        <w:t>ILO</w:t>
      </w:r>
    </w:p>
    <w:p w14:paraId="2602A405" w14:textId="77777777" w:rsidR="00642598" w:rsidRDefault="00642598" w:rsidP="00576CFA">
      <w:pPr>
        <w:pStyle w:val="MText"/>
      </w:pPr>
    </w:p>
    <w:p w14:paraId="14915AC8" w14:textId="7D506133" w:rsidR="00B31E2C" w:rsidRPr="00A96255" w:rsidRDefault="00B31E2C" w:rsidP="008B0AC7">
      <w:pPr>
        <w:pStyle w:val="MHeader"/>
      </w:pPr>
      <w:r w:rsidRPr="00A96255">
        <w:t>2. Definition, concepts, and classifications</w:t>
      </w:r>
    </w:p>
    <w:p w14:paraId="2AC373EA" w14:textId="44236363" w:rsidR="008B0AC7" w:rsidRPr="00A96255" w:rsidRDefault="008B0AC7" w:rsidP="00F719A8">
      <w:pPr>
        <w:pStyle w:val="MHeader2"/>
      </w:pPr>
      <w:r w:rsidRPr="00A96255">
        <w:t>2.a. Definition and concepts</w:t>
      </w:r>
    </w:p>
    <w:p w14:paraId="4BE822B1" w14:textId="77777777" w:rsidR="001620AA" w:rsidRPr="001620AA" w:rsidRDefault="001620AA" w:rsidP="001620AA">
      <w:pPr>
        <w:shd w:val="clear" w:color="auto" w:fill="FFFFFF"/>
        <w:spacing w:after="0"/>
        <w:rPr>
          <w:rFonts w:ascii="Calibri" w:eastAsia="Times New Roman" w:hAnsi="Calibri" w:cs="Times New Roman"/>
          <w:color w:val="4A4A4A"/>
          <w:sz w:val="21"/>
          <w:szCs w:val="21"/>
          <w:lang w:eastAsia="en-GB"/>
        </w:rPr>
      </w:pPr>
      <w:r w:rsidRPr="001620AA">
        <w:rPr>
          <w:rFonts w:ascii="Calibri" w:eastAsia="Times New Roman" w:hAnsi="Calibri" w:cs="Times New Roman"/>
          <w:b/>
          <w:bCs/>
          <w:color w:val="4A4A4A"/>
          <w:sz w:val="21"/>
          <w:szCs w:val="21"/>
          <w:lang w:eastAsia="en-GB"/>
        </w:rPr>
        <w:t>Definition:</w:t>
      </w:r>
    </w:p>
    <w:p w14:paraId="2387B50C" w14:textId="77777777" w:rsidR="001620AA" w:rsidRPr="001620AA" w:rsidRDefault="001620AA" w:rsidP="001620AA">
      <w:pPr>
        <w:shd w:val="clear" w:color="auto" w:fill="FFFFFF"/>
        <w:spacing w:after="0"/>
        <w:rPr>
          <w:rFonts w:ascii="Calibri" w:eastAsia="Times New Roman" w:hAnsi="Calibri" w:cs="Times New Roman"/>
          <w:color w:val="4A4A4A"/>
          <w:sz w:val="21"/>
          <w:szCs w:val="21"/>
          <w:lang w:eastAsia="en-GB"/>
        </w:rPr>
      </w:pPr>
      <w:r w:rsidRPr="001620AA">
        <w:rPr>
          <w:rFonts w:ascii="Calibri" w:eastAsia="Times New Roman" w:hAnsi="Calibri" w:cs="Times New Roman"/>
          <w:color w:val="4A4A4A"/>
          <w:sz w:val="21"/>
          <w:szCs w:val="21"/>
          <w:lang w:eastAsia="en-GB"/>
        </w:rPr>
        <w:t>This indicator presents the share of employment which is classified as informal employment in the total economy, and separately in agriculture and in non-agriculture.</w:t>
      </w:r>
    </w:p>
    <w:p w14:paraId="2839518C" w14:textId="77777777" w:rsidR="001620AA" w:rsidRPr="001620AA" w:rsidRDefault="001620AA" w:rsidP="001620AA">
      <w:pPr>
        <w:shd w:val="clear" w:color="auto" w:fill="FFFFFF"/>
        <w:spacing w:after="0"/>
        <w:rPr>
          <w:rFonts w:ascii="Calibri" w:eastAsia="Times New Roman" w:hAnsi="Calibri" w:cs="Times New Roman"/>
          <w:color w:val="4A4A4A"/>
          <w:sz w:val="21"/>
          <w:szCs w:val="21"/>
          <w:lang w:eastAsia="en-GB"/>
        </w:rPr>
      </w:pPr>
    </w:p>
    <w:p w14:paraId="5C03F2B2" w14:textId="77777777" w:rsidR="001620AA" w:rsidRPr="001620AA" w:rsidRDefault="001620AA" w:rsidP="001620AA">
      <w:pPr>
        <w:shd w:val="clear" w:color="auto" w:fill="FFFFFF"/>
        <w:spacing w:after="0"/>
        <w:rPr>
          <w:rFonts w:ascii="Calibri" w:eastAsia="Times New Roman" w:hAnsi="Calibri" w:cs="Times New Roman"/>
          <w:color w:val="4A4A4A"/>
          <w:sz w:val="21"/>
          <w:szCs w:val="21"/>
          <w:lang w:eastAsia="en-GB"/>
        </w:rPr>
      </w:pPr>
      <w:r w:rsidRPr="001620AA">
        <w:rPr>
          <w:rFonts w:ascii="Calibri" w:eastAsia="Times New Roman" w:hAnsi="Calibri" w:cs="Times New Roman"/>
          <w:b/>
          <w:bCs/>
          <w:color w:val="4A4A4A"/>
          <w:sz w:val="21"/>
          <w:szCs w:val="21"/>
          <w:lang w:eastAsia="en-GB"/>
        </w:rPr>
        <w:t>Concepts:</w:t>
      </w:r>
    </w:p>
    <w:p w14:paraId="1E826B43" w14:textId="77777777" w:rsidR="001620AA" w:rsidRPr="001620AA" w:rsidRDefault="001620AA" w:rsidP="001620AA">
      <w:pPr>
        <w:shd w:val="clear" w:color="auto" w:fill="FFFFFF"/>
        <w:spacing w:after="0"/>
        <w:rPr>
          <w:rFonts w:ascii="Calibri" w:eastAsia="Times New Roman" w:hAnsi="Calibri" w:cs="Times New Roman"/>
          <w:color w:val="4A4A4A"/>
          <w:sz w:val="21"/>
          <w:szCs w:val="21"/>
          <w:lang w:eastAsia="en-GB"/>
        </w:rPr>
      </w:pPr>
      <w:r w:rsidRPr="001620AA">
        <w:rPr>
          <w:rFonts w:ascii="Calibri" w:eastAsia="Times New Roman" w:hAnsi="Calibri" w:cs="Times New Roman"/>
          <w:color w:val="4A4A4A"/>
          <w:sz w:val="21"/>
          <w:szCs w:val="21"/>
          <w:lang w:eastAsia="en-GB"/>
        </w:rPr>
        <w:t>Employment comprises all persons of working age who, during a short reference period (one week), were engaged in any activity to produce goods or provide services for pay or profit.</w:t>
      </w:r>
    </w:p>
    <w:p w14:paraId="0C599F97" w14:textId="77777777" w:rsidR="001620AA" w:rsidRPr="001620AA" w:rsidRDefault="001620AA" w:rsidP="001620AA">
      <w:pPr>
        <w:shd w:val="clear" w:color="auto" w:fill="FFFFFF"/>
        <w:spacing w:after="0"/>
        <w:rPr>
          <w:rFonts w:ascii="Calibri" w:eastAsia="Times New Roman" w:hAnsi="Calibri" w:cs="Times New Roman"/>
          <w:color w:val="4A4A4A"/>
          <w:sz w:val="21"/>
          <w:szCs w:val="21"/>
          <w:lang w:eastAsia="en-GB"/>
        </w:rPr>
      </w:pPr>
    </w:p>
    <w:p w14:paraId="654C2AD0" w14:textId="77777777" w:rsidR="001620AA" w:rsidRPr="001620AA" w:rsidRDefault="001620AA" w:rsidP="001620AA">
      <w:pPr>
        <w:shd w:val="clear" w:color="auto" w:fill="FFFFFF"/>
        <w:spacing w:after="0"/>
        <w:rPr>
          <w:rFonts w:ascii="Calibri" w:eastAsia="Times New Roman" w:hAnsi="Calibri" w:cs="Times New Roman"/>
          <w:color w:val="4A4A4A"/>
          <w:sz w:val="21"/>
          <w:szCs w:val="21"/>
          <w:lang w:eastAsia="en-GB"/>
        </w:rPr>
      </w:pPr>
      <w:r w:rsidRPr="001620AA">
        <w:rPr>
          <w:rFonts w:ascii="Calibri" w:eastAsia="Times New Roman" w:hAnsi="Calibri" w:cs="Times New Roman"/>
          <w:color w:val="4A4A4A"/>
          <w:sz w:val="21"/>
          <w:szCs w:val="21"/>
          <w:lang w:eastAsia="en-GB"/>
        </w:rPr>
        <w:t>Informal employment comprises persons who in their main or secondary jobs were in one of the following categories:</w:t>
      </w:r>
    </w:p>
    <w:p w14:paraId="361347ED" w14:textId="77777777" w:rsidR="001620AA" w:rsidRPr="001620AA" w:rsidRDefault="001620AA" w:rsidP="001620AA">
      <w:pPr>
        <w:shd w:val="clear" w:color="auto" w:fill="FFFFFF"/>
        <w:spacing w:after="0"/>
        <w:rPr>
          <w:rFonts w:ascii="Calibri" w:eastAsia="Times New Roman" w:hAnsi="Calibri" w:cs="Times New Roman"/>
          <w:color w:val="4A4A4A"/>
          <w:sz w:val="21"/>
          <w:szCs w:val="21"/>
          <w:lang w:eastAsia="en-GB"/>
        </w:rPr>
      </w:pPr>
      <w:r w:rsidRPr="001620AA">
        <w:rPr>
          <w:rFonts w:ascii="Calibri" w:eastAsia="Times New Roman" w:hAnsi="Calibri" w:cs="Times New Roman"/>
          <w:color w:val="4A4A4A"/>
          <w:sz w:val="21"/>
          <w:szCs w:val="21"/>
          <w:lang w:eastAsia="en-GB"/>
        </w:rPr>
        <w:lastRenderedPageBreak/>
        <w:t>- Own-account workers, employers and members of producers’ cooperatives employed in their own informal sector enterprises (the characteristics of the enterprise determine the informal nature of their jobs);</w:t>
      </w:r>
    </w:p>
    <w:p w14:paraId="1CBB2B30" w14:textId="77777777" w:rsidR="001620AA" w:rsidRPr="001620AA" w:rsidRDefault="001620AA" w:rsidP="001620AA">
      <w:pPr>
        <w:shd w:val="clear" w:color="auto" w:fill="FFFFFF"/>
        <w:spacing w:after="0"/>
        <w:rPr>
          <w:rFonts w:ascii="Calibri" w:eastAsia="Times New Roman" w:hAnsi="Calibri" w:cs="Times New Roman"/>
          <w:color w:val="4A4A4A"/>
          <w:sz w:val="21"/>
          <w:szCs w:val="21"/>
          <w:lang w:eastAsia="en-GB"/>
        </w:rPr>
      </w:pPr>
      <w:r w:rsidRPr="001620AA">
        <w:rPr>
          <w:rFonts w:ascii="Calibri" w:eastAsia="Times New Roman" w:hAnsi="Calibri" w:cs="Times New Roman"/>
          <w:color w:val="4A4A4A"/>
          <w:sz w:val="21"/>
          <w:szCs w:val="21"/>
          <w:lang w:eastAsia="en-GB"/>
        </w:rPr>
        <w:t>- Own-account workers engaged in the production of goods exclusively for own final use by their household (e.g. subsistence farming);</w:t>
      </w:r>
    </w:p>
    <w:p w14:paraId="53748CFB" w14:textId="77777777" w:rsidR="001620AA" w:rsidRPr="001620AA" w:rsidRDefault="001620AA" w:rsidP="001620AA">
      <w:pPr>
        <w:shd w:val="clear" w:color="auto" w:fill="FFFFFF"/>
        <w:spacing w:after="0"/>
        <w:rPr>
          <w:rFonts w:ascii="Calibri" w:eastAsia="Times New Roman" w:hAnsi="Calibri" w:cs="Times New Roman"/>
          <w:color w:val="4A4A4A"/>
          <w:sz w:val="21"/>
          <w:szCs w:val="21"/>
          <w:lang w:eastAsia="en-GB"/>
        </w:rPr>
      </w:pPr>
      <w:r w:rsidRPr="001620AA">
        <w:rPr>
          <w:rFonts w:ascii="Calibri" w:eastAsia="Times New Roman" w:hAnsi="Calibri" w:cs="Times New Roman"/>
          <w:color w:val="4A4A4A"/>
          <w:sz w:val="21"/>
          <w:szCs w:val="21"/>
          <w:lang w:eastAsia="en-GB"/>
        </w:rPr>
        <w:t>- Contributing family workers, regardless of whether they work in formal or informal sector enterprises (they usually do not have explicit, written contracts of employment, and are not subject to labour legislation, social security regulations, collective agreements, etc., which determines the informal nature of their jobs);</w:t>
      </w:r>
    </w:p>
    <w:p w14:paraId="39514A08" w14:textId="0393FEB6" w:rsidR="001620AA" w:rsidRDefault="001620AA" w:rsidP="001620AA">
      <w:pPr>
        <w:shd w:val="clear" w:color="auto" w:fill="FFFFFF"/>
        <w:spacing w:after="0"/>
        <w:rPr>
          <w:rFonts w:ascii="Calibri" w:eastAsia="Times New Roman" w:hAnsi="Calibri" w:cs="Times New Roman"/>
          <w:color w:val="4A4A4A"/>
          <w:sz w:val="21"/>
          <w:szCs w:val="21"/>
          <w:lang w:eastAsia="en-GB"/>
        </w:rPr>
      </w:pPr>
      <w:r w:rsidRPr="001620AA">
        <w:rPr>
          <w:rFonts w:ascii="Calibri" w:eastAsia="Times New Roman" w:hAnsi="Calibri" w:cs="Times New Roman"/>
          <w:color w:val="4A4A4A"/>
          <w:sz w:val="21"/>
          <w:szCs w:val="21"/>
          <w:lang w:eastAsia="en-GB"/>
        </w:rPr>
        <w:t>- Employees holding informal jobs, whether employed by formal sector enterprises, informal sector enterprises, or as paid domestic workers by households (employees are considered to have informal jobs if their employment relationship is, in law or in practice, not subject to national labour legislation, income taxation, social protection or entitlement to certain employment benefits).</w:t>
      </w:r>
    </w:p>
    <w:p w14:paraId="5F9F4848" w14:textId="7CA4ECE3" w:rsidR="005571D7" w:rsidRDefault="005571D7" w:rsidP="001620AA">
      <w:pPr>
        <w:shd w:val="clear" w:color="auto" w:fill="FFFFFF"/>
        <w:spacing w:after="0"/>
        <w:rPr>
          <w:rFonts w:ascii="Calibri" w:eastAsia="Times New Roman" w:hAnsi="Calibri" w:cs="Times New Roman"/>
          <w:color w:val="4A4A4A"/>
          <w:sz w:val="21"/>
          <w:szCs w:val="21"/>
          <w:lang w:eastAsia="en-GB"/>
        </w:rPr>
      </w:pPr>
    </w:p>
    <w:p w14:paraId="5E20AE88" w14:textId="61B55AC3" w:rsidR="005571D7" w:rsidRPr="001620AA" w:rsidRDefault="005571D7" w:rsidP="001620AA">
      <w:pPr>
        <w:shd w:val="clear" w:color="auto" w:fill="FFFFFF"/>
        <w:spacing w:after="0"/>
        <w:rPr>
          <w:rFonts w:ascii="Calibri" w:eastAsia="Times New Roman" w:hAnsi="Calibri" w:cs="Times New Roman"/>
          <w:color w:val="4A4A4A"/>
          <w:sz w:val="21"/>
          <w:szCs w:val="21"/>
          <w:lang w:eastAsia="en-GB"/>
        </w:rPr>
      </w:pPr>
      <w:r>
        <w:rPr>
          <w:rFonts w:ascii="Calibri" w:eastAsia="Times New Roman" w:hAnsi="Calibri" w:cs="Times New Roman"/>
          <w:color w:val="4A4A4A"/>
          <w:sz w:val="21"/>
          <w:szCs w:val="21"/>
          <w:lang w:eastAsia="en-GB"/>
        </w:rPr>
        <w:t>For the purpose of</w:t>
      </w:r>
      <w:r w:rsidR="003149E5">
        <w:rPr>
          <w:rFonts w:ascii="Calibri" w:eastAsia="Times New Roman" w:hAnsi="Calibri" w:cs="Times New Roman"/>
          <w:color w:val="4A4A4A"/>
          <w:sz w:val="21"/>
          <w:szCs w:val="21"/>
          <w:lang w:eastAsia="en-GB"/>
        </w:rPr>
        <w:t xml:space="preserve"> classifying persons into formal or informal employment for this indicator, only the characteristics of the main job are considered. </w:t>
      </w:r>
    </w:p>
    <w:p w14:paraId="7E91EE5E" w14:textId="77777777" w:rsidR="001620AA" w:rsidRPr="001620AA" w:rsidRDefault="001620AA" w:rsidP="001620AA">
      <w:pPr>
        <w:shd w:val="clear" w:color="auto" w:fill="FFFFFF"/>
        <w:spacing w:after="0"/>
        <w:rPr>
          <w:rFonts w:ascii="Calibri" w:eastAsia="Times New Roman" w:hAnsi="Calibri" w:cs="Times New Roman"/>
          <w:color w:val="4A4A4A"/>
          <w:sz w:val="21"/>
          <w:szCs w:val="21"/>
          <w:lang w:eastAsia="en-GB"/>
        </w:rPr>
      </w:pPr>
    </w:p>
    <w:p w14:paraId="3F7287B5" w14:textId="77777777" w:rsidR="001620AA" w:rsidRPr="001620AA" w:rsidRDefault="001620AA" w:rsidP="001620AA">
      <w:pPr>
        <w:shd w:val="clear" w:color="auto" w:fill="FFFFFF"/>
        <w:spacing w:after="0"/>
        <w:rPr>
          <w:rFonts w:ascii="Calibri" w:eastAsia="Times New Roman" w:hAnsi="Calibri" w:cs="Times New Roman"/>
          <w:color w:val="4A4A4A"/>
          <w:sz w:val="21"/>
          <w:szCs w:val="21"/>
          <w:lang w:eastAsia="en-GB"/>
        </w:rPr>
      </w:pPr>
      <w:r w:rsidRPr="001620AA">
        <w:rPr>
          <w:rFonts w:ascii="Calibri" w:eastAsia="Times New Roman" w:hAnsi="Calibri" w:cs="Times New Roman"/>
          <w:color w:val="4A4A4A"/>
          <w:sz w:val="21"/>
          <w:szCs w:val="21"/>
          <w:lang w:eastAsia="en-GB"/>
        </w:rPr>
        <w:t>An enterprise belongs to the informal sector if it fulfils the three following conditions:</w:t>
      </w:r>
    </w:p>
    <w:p w14:paraId="27CCF276" w14:textId="77777777" w:rsidR="001620AA" w:rsidRPr="001620AA" w:rsidRDefault="001620AA" w:rsidP="001620AA">
      <w:pPr>
        <w:shd w:val="clear" w:color="auto" w:fill="FFFFFF"/>
        <w:spacing w:after="0"/>
        <w:rPr>
          <w:rFonts w:ascii="Calibri" w:eastAsia="Times New Roman" w:hAnsi="Calibri" w:cs="Times New Roman"/>
          <w:color w:val="4A4A4A"/>
          <w:sz w:val="21"/>
          <w:szCs w:val="21"/>
          <w:lang w:eastAsia="en-GB"/>
        </w:rPr>
      </w:pPr>
      <w:r w:rsidRPr="001620AA">
        <w:rPr>
          <w:rFonts w:ascii="Calibri" w:eastAsia="Times New Roman" w:hAnsi="Calibri" w:cs="Times New Roman"/>
          <w:color w:val="4A4A4A"/>
          <w:sz w:val="21"/>
          <w:szCs w:val="21"/>
          <w:lang w:eastAsia="en-GB"/>
        </w:rPr>
        <w:t>- It is an unincorporated enterprise (it is not constituted as a legal entity separate from its owners, and it is owned and controlled by one or more members of one or more households, and it is not a quasi-corporation: it does not have a complete set of accounts, including balance sheets);</w:t>
      </w:r>
    </w:p>
    <w:p w14:paraId="7C7E6C2F" w14:textId="77777777" w:rsidR="001620AA" w:rsidRPr="001620AA" w:rsidRDefault="001620AA" w:rsidP="001620AA">
      <w:pPr>
        <w:shd w:val="clear" w:color="auto" w:fill="FFFFFF"/>
        <w:spacing w:after="0"/>
        <w:rPr>
          <w:rFonts w:ascii="Calibri" w:eastAsia="Times New Roman" w:hAnsi="Calibri" w:cs="Times New Roman"/>
          <w:color w:val="4A4A4A"/>
          <w:sz w:val="21"/>
          <w:szCs w:val="21"/>
          <w:lang w:eastAsia="en-GB"/>
        </w:rPr>
      </w:pPr>
      <w:r w:rsidRPr="001620AA">
        <w:rPr>
          <w:rFonts w:ascii="Calibri" w:eastAsia="Times New Roman" w:hAnsi="Calibri" w:cs="Times New Roman"/>
          <w:color w:val="4A4A4A"/>
          <w:sz w:val="21"/>
          <w:szCs w:val="21"/>
          <w:lang w:eastAsia="en-GB"/>
        </w:rPr>
        <w:t>- It is a market enterprise (it sells at least some of the goods or services it produces);</w:t>
      </w:r>
    </w:p>
    <w:p w14:paraId="153B09C3" w14:textId="190946AE" w:rsidR="00D51E7C" w:rsidRPr="00A96255" w:rsidRDefault="001620AA" w:rsidP="001620AA">
      <w:pPr>
        <w:pStyle w:val="MText"/>
      </w:pPr>
      <w:r w:rsidRPr="001620AA">
        <w:rPr>
          <w:rFonts w:ascii="Calibri" w:hAnsi="Calibri"/>
        </w:rPr>
        <w:t>- The enterprise is not registered or the employees of the enterprise are not registered or the number of persons engaged on a continuous basis is below a threshold determined by the country.</w:t>
      </w:r>
    </w:p>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2.b.</w:t>
      </w:r>
      <w:r w:rsidR="008B0AC7" w:rsidRPr="00A96255">
        <w:t xml:space="preserve"> Unit of measure</w:t>
      </w:r>
    </w:p>
    <w:p w14:paraId="1CAE3771" w14:textId="42A888F6" w:rsidR="00576CFA" w:rsidRPr="00A96255" w:rsidRDefault="00BD26F8" w:rsidP="00576CFA">
      <w:pPr>
        <w:pStyle w:val="MText"/>
      </w:pPr>
      <w:r>
        <w:t>Percentage</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2.c. Classifications</w:t>
      </w:r>
    </w:p>
    <w:p w14:paraId="6291A7DD" w14:textId="18A71ED1" w:rsidR="00576CFA" w:rsidRPr="00FC3216" w:rsidRDefault="00FC3216" w:rsidP="00FC3216">
      <w:pPr>
        <w:pStyle w:val="MText"/>
      </w:pPr>
      <w:r>
        <w:t xml:space="preserve">The breakdown by sector is based on the </w:t>
      </w:r>
      <w:r w:rsidRPr="00FC3216">
        <w:t>International Standard Industrial Classification of All Economic Activities (ISIC).</w:t>
      </w:r>
    </w:p>
    <w:p w14:paraId="6813A47D" w14:textId="77777777" w:rsidR="00642598" w:rsidRPr="00A96255" w:rsidRDefault="00642598" w:rsidP="00576CFA">
      <w:pPr>
        <w:pStyle w:val="MText"/>
      </w:pPr>
    </w:p>
    <w:p w14:paraId="1D3AEECA" w14:textId="4C5EC949" w:rsidR="00B31E2C" w:rsidRPr="00F719A8" w:rsidRDefault="00B31E2C" w:rsidP="00F719A8">
      <w:pPr>
        <w:pStyle w:val="MHeader"/>
      </w:pPr>
      <w:r w:rsidRPr="00F719A8">
        <w:t>3. Data source type and data collection method</w:t>
      </w:r>
    </w:p>
    <w:p w14:paraId="340B050E" w14:textId="31C09E5F" w:rsidR="008B0AC7" w:rsidRPr="00A96255" w:rsidRDefault="008B0AC7" w:rsidP="00F719A8">
      <w:pPr>
        <w:pStyle w:val="MHeader2"/>
      </w:pPr>
      <w:r w:rsidRPr="00A96255">
        <w:t>3.a. Data sources</w:t>
      </w:r>
    </w:p>
    <w:p w14:paraId="323BF9A3" w14:textId="77777777" w:rsidR="001620AA" w:rsidRPr="001620AA" w:rsidRDefault="001620AA" w:rsidP="001620AA">
      <w:pPr>
        <w:shd w:val="clear" w:color="auto" w:fill="FFFFFF"/>
        <w:spacing w:after="0"/>
        <w:rPr>
          <w:rFonts w:ascii="Calibri" w:eastAsia="Times New Roman" w:hAnsi="Calibri" w:cs="Times New Roman"/>
          <w:color w:val="4A4A4A"/>
          <w:sz w:val="21"/>
          <w:szCs w:val="21"/>
          <w:lang w:eastAsia="en-GB"/>
        </w:rPr>
      </w:pPr>
      <w:r w:rsidRPr="001620AA">
        <w:rPr>
          <w:rFonts w:ascii="Calibri" w:eastAsia="Times New Roman" w:hAnsi="Calibri" w:cs="Times New Roman"/>
          <w:color w:val="4A4A4A"/>
          <w:sz w:val="21"/>
          <w:szCs w:val="21"/>
          <w:lang w:eastAsia="en-GB"/>
        </w:rPr>
        <w:t>The preferred source of data for this indicator is a labour force survey, with sufficient questions to determine the informal nature of jobs and whether the establishment where the person works in belongs to the formal or the informal sector.</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3.b</w:t>
      </w:r>
      <w:r w:rsidR="008B0AC7" w:rsidRPr="00A96255">
        <w:t>. Data collection method</w:t>
      </w:r>
    </w:p>
    <w:p w14:paraId="7BA223FF" w14:textId="24356144" w:rsidR="00642598" w:rsidRPr="001620AA" w:rsidRDefault="00FC3216" w:rsidP="001620AA">
      <w:pPr>
        <w:shd w:val="clear" w:color="auto" w:fill="FFFFFF"/>
        <w:spacing w:after="0"/>
        <w:rPr>
          <w:rFonts w:ascii="Calibri" w:eastAsia="Times New Roman" w:hAnsi="Calibri" w:cs="Times New Roman"/>
          <w:color w:val="4A4A4A"/>
          <w:sz w:val="21"/>
          <w:szCs w:val="21"/>
          <w:lang w:eastAsia="en-GB"/>
        </w:rPr>
      </w:pPr>
      <w:r>
        <w:t xml:space="preserve">The ILO Department of Statistics processes national household survey </w:t>
      </w:r>
      <w:proofErr w:type="spellStart"/>
      <w:r>
        <w:t>microdatasets</w:t>
      </w:r>
      <w:proofErr w:type="spellEnd"/>
      <w:r>
        <w:t xml:space="preserve"> in line with internationally-agreed indicator concepts and definitions set forth by the International Conference of Labour Statisticians.</w:t>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lastRenderedPageBreak/>
        <w:t>3.c. Data collection calendar</w:t>
      </w:r>
    </w:p>
    <w:p w14:paraId="74676C9F" w14:textId="776285E9" w:rsidR="007E23AB" w:rsidRPr="007E23AB" w:rsidRDefault="00FC3216" w:rsidP="007E23AB">
      <w:pPr>
        <w:shd w:val="clear" w:color="auto" w:fill="FFFFFF"/>
        <w:tabs>
          <w:tab w:val="left" w:pos="1320"/>
        </w:tabs>
        <w:spacing w:after="0"/>
        <w:rPr>
          <w:rFonts w:ascii="Calibri" w:eastAsia="Times New Roman" w:hAnsi="Calibri" w:cs="Times New Roman"/>
          <w:color w:val="4A4A4A"/>
          <w:sz w:val="21"/>
          <w:szCs w:val="21"/>
          <w:lang w:eastAsia="en-GB"/>
        </w:rPr>
      </w:pPr>
      <w:r>
        <w:rPr>
          <w:rFonts w:ascii="Calibri" w:eastAsia="Times New Roman" w:hAnsi="Calibri" w:cs="Times New Roman"/>
          <w:color w:val="4A4A4A"/>
          <w:sz w:val="21"/>
          <w:szCs w:val="21"/>
          <w:lang w:eastAsia="en-GB"/>
        </w:rPr>
        <w:t>Continuous</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3.d. Data release calendar</w:t>
      </w:r>
    </w:p>
    <w:p w14:paraId="18B91C3D" w14:textId="49B4DE69" w:rsidR="007E23AB" w:rsidRPr="007E23AB" w:rsidRDefault="00FC3216" w:rsidP="007E23AB">
      <w:pPr>
        <w:shd w:val="clear" w:color="auto" w:fill="FFFFFF"/>
        <w:spacing w:after="0"/>
        <w:rPr>
          <w:rFonts w:ascii="Calibri" w:eastAsia="Times New Roman" w:hAnsi="Calibri" w:cs="Times New Roman"/>
          <w:color w:val="4A4A4A"/>
          <w:sz w:val="21"/>
          <w:szCs w:val="21"/>
          <w:lang w:eastAsia="en-GB"/>
        </w:rPr>
      </w:pPr>
      <w:r>
        <w:rPr>
          <w:rFonts w:ascii="Calibri" w:eastAsia="Times New Roman" w:hAnsi="Calibri" w:cs="Times New Roman"/>
          <w:color w:val="4A4A4A"/>
          <w:sz w:val="21"/>
          <w:szCs w:val="21"/>
          <w:lang w:eastAsia="en-GB"/>
        </w:rPr>
        <w:t>Continuous</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3.e. Data providers</w:t>
      </w:r>
    </w:p>
    <w:p w14:paraId="1986A461" w14:textId="3A6D31CC" w:rsidR="007E23AB" w:rsidRPr="007E23AB" w:rsidRDefault="007E23AB" w:rsidP="007E23AB">
      <w:pPr>
        <w:shd w:val="clear" w:color="auto" w:fill="FFFFFF"/>
        <w:spacing w:after="0"/>
        <w:rPr>
          <w:rFonts w:ascii="Calibri" w:eastAsia="Times New Roman" w:hAnsi="Calibri" w:cs="Times New Roman"/>
          <w:color w:val="4A4A4A"/>
          <w:sz w:val="21"/>
          <w:szCs w:val="21"/>
          <w:lang w:eastAsia="en-GB"/>
        </w:rPr>
      </w:pPr>
      <w:r w:rsidRPr="007E23AB">
        <w:rPr>
          <w:rFonts w:ascii="Calibri" w:eastAsia="Times New Roman" w:hAnsi="Calibri" w:cs="Times New Roman"/>
          <w:color w:val="4A4A4A"/>
          <w:sz w:val="21"/>
          <w:szCs w:val="21"/>
          <w:lang w:eastAsia="en-GB"/>
        </w:rPr>
        <w:t>National Statistical Offices</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3.f. Data compilers</w:t>
      </w:r>
    </w:p>
    <w:p w14:paraId="34BBAEB4" w14:textId="77777777" w:rsidR="007E23AB" w:rsidRPr="007E23AB" w:rsidRDefault="007E23AB" w:rsidP="007E23AB">
      <w:pPr>
        <w:shd w:val="clear" w:color="auto" w:fill="FFFFFF"/>
        <w:spacing w:after="0"/>
        <w:rPr>
          <w:rFonts w:ascii="Calibri" w:eastAsia="Times New Roman" w:hAnsi="Calibri" w:cs="Times New Roman"/>
          <w:color w:val="4A4A4A"/>
          <w:sz w:val="21"/>
          <w:szCs w:val="21"/>
          <w:lang w:eastAsia="en-GB"/>
        </w:rPr>
      </w:pPr>
      <w:r w:rsidRPr="007E23AB">
        <w:rPr>
          <w:rFonts w:ascii="Calibri" w:eastAsia="Times New Roman" w:hAnsi="Calibri" w:cs="Times New Roman"/>
          <w:color w:val="4A4A4A"/>
          <w:sz w:val="21"/>
          <w:szCs w:val="21"/>
          <w:lang w:eastAsia="en-GB"/>
        </w:rPr>
        <w:t>ILO</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3.g. Institutional mandate</w:t>
      </w:r>
    </w:p>
    <w:p w14:paraId="12CC0F72" w14:textId="2D581C47" w:rsidR="00642598" w:rsidRPr="00A96255" w:rsidRDefault="00FC3216" w:rsidP="00576CFA">
      <w:pPr>
        <w:pStyle w:val="MText"/>
      </w:pPr>
      <w:r>
        <w:t xml:space="preserve">The ILO is the UN focal point for labour statistics. It sets </w:t>
      </w:r>
      <w:r w:rsidRPr="001F5661">
        <w:t>international standards for labour statistics through the International Conference of Labour Statisticians</w:t>
      </w:r>
      <w:r>
        <w:t xml:space="preserve">. It also </w:t>
      </w:r>
      <w:r w:rsidRPr="001F5661">
        <w:t>compile</w:t>
      </w:r>
      <w:r>
        <w:t>s</w:t>
      </w:r>
      <w:r w:rsidRPr="001F5661">
        <w:t xml:space="preserve"> and produce</w:t>
      </w:r>
      <w:r>
        <w:t xml:space="preserve">s labour statistics </w:t>
      </w:r>
      <w:r w:rsidRPr="001F5661">
        <w:t>with the goal of disseminating internationally-comparable datasets</w:t>
      </w:r>
      <w:r>
        <w:t>, and p</w:t>
      </w:r>
      <w:r w:rsidRPr="001F5661">
        <w:t>rovide</w:t>
      </w:r>
      <w:r>
        <w:t>s</w:t>
      </w:r>
      <w:r w:rsidRPr="001F5661">
        <w:t xml:space="preserve"> technical assistance and training </w:t>
      </w:r>
      <w:r>
        <w:t>to ILO member States to support their efforts to produce high quality labour market data.</w:t>
      </w: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4. Other methodological considerations</w:t>
      </w:r>
    </w:p>
    <w:p w14:paraId="1AFA5517" w14:textId="54FD9B10" w:rsidR="00AF5ED1" w:rsidRPr="00A96255" w:rsidRDefault="00576CFA" w:rsidP="00F719A8">
      <w:pPr>
        <w:pStyle w:val="MHeader2"/>
      </w:pPr>
      <w:r w:rsidRPr="00A96255">
        <w:t>4.a. Rationale</w:t>
      </w:r>
    </w:p>
    <w:p w14:paraId="18EA7892" w14:textId="2F003860" w:rsidR="00576CFA" w:rsidRDefault="001620AA" w:rsidP="001620AA">
      <w:pPr>
        <w:pStyle w:val="MText"/>
        <w:rPr>
          <w:rFonts w:ascii="Calibri" w:hAnsi="Calibri"/>
        </w:rPr>
      </w:pPr>
      <w:r w:rsidRPr="001620AA">
        <w:rPr>
          <w:rFonts w:ascii="Calibri" w:hAnsi="Calibri"/>
        </w:rPr>
        <w:t xml:space="preserve">In contexts where social protection coverage is limited, social security benefits (such as unemployment insurance) are insufficient or even inexistent, and/or where wages and pensions are low, individuals may have to take up informal employment to ensure their livelihood. In these situations, indicators such as the unemployment rate would provide a very incomplete picture of the labour market situation, overlooking major deficits in the quality of employment. Statistics on informality are key to assessing the quality of employment in an economy, and are relevant to developing and developed countries alike (ILOSTAT indicator description for informality, available at </w:t>
      </w:r>
      <w:hyperlink r:id="rId11" w:history="1">
        <w:r w:rsidRPr="001620AA">
          <w:rPr>
            <w:rFonts w:ascii="Calibri" w:eastAsia="SimSun" w:hAnsi="Calibri" w:cs="Arial"/>
            <w:color w:val="0000FF" w:themeColor="hyperlink"/>
            <w:u w:val="single"/>
          </w:rPr>
          <w:t>https://ilostat.ilo.org/resources/methods/description-informality/</w:t>
        </w:r>
      </w:hyperlink>
      <w:r w:rsidRPr="001620AA">
        <w:rPr>
          <w:rFonts w:ascii="Calibri" w:hAnsi="Calibri"/>
        </w:rPr>
        <w:t>).</w:t>
      </w:r>
    </w:p>
    <w:p w14:paraId="367F8AC0" w14:textId="77777777" w:rsidR="001620AA" w:rsidRPr="00A96255" w:rsidRDefault="001620AA" w:rsidP="001620AA">
      <w:pPr>
        <w:pStyle w:val="MText"/>
      </w:pPr>
    </w:p>
    <w:p w14:paraId="2529B069" w14:textId="618DCD10" w:rsidR="00E1050F" w:rsidRPr="00A96255" w:rsidRDefault="00E1050F" w:rsidP="00F719A8">
      <w:pPr>
        <w:pStyle w:val="MHeader2"/>
      </w:pPr>
      <w:r w:rsidRPr="00A96255">
        <w:t>4.b. Comment and limitations</w:t>
      </w:r>
    </w:p>
    <w:p w14:paraId="11AF981D" w14:textId="77777777" w:rsidR="001620AA" w:rsidRPr="001620AA" w:rsidRDefault="001620AA" w:rsidP="001620AA">
      <w:pPr>
        <w:shd w:val="clear" w:color="auto" w:fill="FFFFFF"/>
        <w:spacing w:after="0"/>
        <w:rPr>
          <w:rFonts w:ascii="Calibri" w:eastAsia="Times New Roman" w:hAnsi="Calibri" w:cs="Times New Roman"/>
          <w:color w:val="4A4A4A"/>
          <w:sz w:val="21"/>
          <w:szCs w:val="21"/>
          <w:lang w:eastAsia="en-GB"/>
        </w:rPr>
      </w:pPr>
      <w:r w:rsidRPr="001620AA">
        <w:rPr>
          <w:rFonts w:ascii="Calibri" w:eastAsia="Times New Roman" w:hAnsi="Calibri" w:cs="Times New Roman"/>
          <w:color w:val="4A4A4A"/>
          <w:sz w:val="21"/>
          <w:szCs w:val="21"/>
          <w:lang w:eastAsia="en-GB"/>
        </w:rPr>
        <w:t xml:space="preserve">The considerable heterogeneity of definitions and operational criteria used by countries to measure informal employment greatly hinders the international comparability of statistics on informality. </w:t>
      </w:r>
    </w:p>
    <w:p w14:paraId="186B48CF" w14:textId="35CC7D8B" w:rsidR="001620AA" w:rsidRPr="001620AA" w:rsidRDefault="001620AA" w:rsidP="001620AA">
      <w:pPr>
        <w:shd w:val="clear" w:color="auto" w:fill="FFFFFF"/>
        <w:spacing w:after="0"/>
        <w:rPr>
          <w:rFonts w:ascii="Calibri" w:eastAsia="Times New Roman" w:hAnsi="Calibri" w:cs="Times New Roman"/>
          <w:color w:val="4A4A4A"/>
          <w:sz w:val="21"/>
          <w:szCs w:val="21"/>
          <w:lang w:eastAsia="en-GB"/>
        </w:rPr>
      </w:pPr>
      <w:r w:rsidRPr="001620AA">
        <w:rPr>
          <w:rFonts w:ascii="Calibri" w:eastAsia="Times New Roman" w:hAnsi="Calibri" w:cs="Times New Roman"/>
          <w:color w:val="4A4A4A"/>
          <w:sz w:val="21"/>
          <w:szCs w:val="21"/>
          <w:lang w:eastAsia="en-GB"/>
        </w:rPr>
        <w:t xml:space="preserve">In order to counter this challenge, for the purpose of SDG global reporting and monitoring, </w:t>
      </w:r>
      <w:r w:rsidR="001127C7">
        <w:rPr>
          <w:rFonts w:ascii="Calibri" w:eastAsia="Times New Roman" w:hAnsi="Calibri" w:cs="Times New Roman"/>
          <w:color w:val="4A4A4A"/>
          <w:sz w:val="21"/>
          <w:szCs w:val="21"/>
          <w:lang w:eastAsia="en-GB"/>
        </w:rPr>
        <w:t>the series is solely based</w:t>
      </w:r>
      <w:r w:rsidRPr="001620AA">
        <w:rPr>
          <w:rFonts w:ascii="Calibri" w:eastAsia="Times New Roman" w:hAnsi="Calibri" w:cs="Times New Roman"/>
          <w:color w:val="4A4A4A"/>
          <w:sz w:val="21"/>
          <w:szCs w:val="21"/>
          <w:lang w:eastAsia="en-GB"/>
        </w:rPr>
        <w:t xml:space="preserve"> on harmonized data produced by the ILO using the same </w:t>
      </w:r>
      <w:r w:rsidR="00B64D86">
        <w:rPr>
          <w:rFonts w:ascii="Calibri" w:eastAsia="Times New Roman" w:hAnsi="Calibri" w:cs="Times New Roman"/>
          <w:color w:val="4A4A4A"/>
          <w:sz w:val="21"/>
          <w:szCs w:val="21"/>
          <w:lang w:eastAsia="en-GB"/>
        </w:rPr>
        <w:t xml:space="preserve">operational </w:t>
      </w:r>
      <w:r w:rsidR="00313F04">
        <w:rPr>
          <w:rFonts w:ascii="Calibri" w:eastAsia="Times New Roman" w:hAnsi="Calibri" w:cs="Times New Roman"/>
          <w:color w:val="4A4A4A"/>
          <w:sz w:val="21"/>
          <w:szCs w:val="21"/>
          <w:lang w:eastAsia="en-GB"/>
        </w:rPr>
        <w:t xml:space="preserve">process </w:t>
      </w:r>
      <w:r w:rsidRPr="001620AA">
        <w:rPr>
          <w:rFonts w:ascii="Calibri" w:eastAsia="Times New Roman" w:hAnsi="Calibri" w:cs="Times New Roman"/>
          <w:color w:val="4A4A4A"/>
          <w:sz w:val="21"/>
          <w:szCs w:val="21"/>
          <w:lang w:eastAsia="en-GB"/>
        </w:rPr>
        <w:t>for all countries.</w:t>
      </w:r>
      <w:r w:rsidR="00313F04">
        <w:rPr>
          <w:rFonts w:ascii="Calibri" w:eastAsia="Times New Roman" w:hAnsi="Calibri" w:cs="Times New Roman"/>
          <w:color w:val="4A4A4A"/>
          <w:sz w:val="21"/>
          <w:szCs w:val="21"/>
          <w:lang w:eastAsia="en-GB"/>
        </w:rPr>
        <w:t xml:space="preserve"> Although some differences in criteria and definitions remain across countries, the process is designed to produce data that are as internationally comparable as possible given the underlying data sources. </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4.c. Method of computation</w:t>
      </w:r>
    </w:p>
    <w:p w14:paraId="5BA5BE87" w14:textId="77777777" w:rsidR="001620AA" w:rsidRDefault="001620AA" w:rsidP="001620AA">
      <w:pPr>
        <w:shd w:val="clear" w:color="auto" w:fill="FFFFFF"/>
        <w:spacing w:after="0"/>
        <w:rPr>
          <w:rFonts w:eastAsia="Times New Roman" w:cs="Times New Roman"/>
          <w:color w:val="4A4A4A"/>
          <w:sz w:val="21"/>
          <w:szCs w:val="21"/>
          <w:lang w:eastAsia="en-GB"/>
        </w:rPr>
      </w:pPr>
    </w:p>
    <w:p w14:paraId="2EDE8E51" w14:textId="5E28BB49" w:rsidR="001620AA" w:rsidRPr="001620AA" w:rsidRDefault="001620AA" w:rsidP="001620AA">
      <w:pPr>
        <w:shd w:val="clear" w:color="auto" w:fill="FFFFFF"/>
        <w:spacing w:after="0"/>
        <w:rPr>
          <w:rFonts w:ascii="Calibri" w:eastAsia="Times New Roman" w:hAnsi="Calibri" w:cs="Times New Roman"/>
          <w:color w:val="4A4A4A"/>
          <w:sz w:val="21"/>
          <w:szCs w:val="21"/>
          <w:lang w:eastAsia="en-GB"/>
        </w:rPr>
      </w:pPr>
      <m:oMathPara>
        <m:oMath>
          <m:r>
            <m:rPr>
              <m:sty m:val="p"/>
            </m:rPr>
            <w:rPr>
              <w:rFonts w:ascii="Cambria Math" w:eastAsia="Times New Roman" w:hAnsi="Cambria Math" w:cs="Times New Roman"/>
              <w:color w:val="4A4A4A"/>
              <w:sz w:val="21"/>
              <w:szCs w:val="21"/>
              <w:lang w:eastAsia="en-GB"/>
            </w:rPr>
            <m:t>Proportion of informal employment in total employment</m:t>
          </m:r>
          <m:r>
            <m:rPr>
              <m:sty m:val="p"/>
            </m:rPr>
            <w:rPr>
              <w:rFonts w:ascii="Cambria Math" w:eastAsia="Times New Roman" w:hAnsi="Calibri" w:cs="Times New Roman"/>
              <w:color w:val="4A4A4A"/>
              <w:sz w:val="21"/>
              <w:szCs w:val="21"/>
              <w:lang w:eastAsia="en-GB"/>
            </w:rPr>
            <m:t xml:space="preserve">= </m:t>
          </m:r>
          <m:f>
            <m:fPr>
              <m:ctrlPr>
                <w:rPr>
                  <w:rFonts w:ascii="Cambria Math" w:eastAsia="Times New Roman" w:hAnsi="Cambria Math" w:cs="Times New Roman"/>
                  <w:color w:val="4A4A4A"/>
                  <w:sz w:val="21"/>
                  <w:szCs w:val="21"/>
                  <w:lang w:eastAsia="en-GB"/>
                </w:rPr>
              </m:ctrlPr>
            </m:fPr>
            <m:num>
              <m:r>
                <m:rPr>
                  <m:sty m:val="p"/>
                </m:rPr>
                <w:rPr>
                  <w:rFonts w:ascii="Cambria Math" w:eastAsia="Times New Roman" w:hAnsi="Cambria Math" w:cs="Times New Roman"/>
                  <w:color w:val="4A4A4A"/>
                  <w:sz w:val="21"/>
                  <w:szCs w:val="21"/>
                  <w:lang w:eastAsia="en-GB"/>
                </w:rPr>
                <m:t xml:space="preserve">Informal employment </m:t>
              </m:r>
            </m:num>
            <m:den>
              <m:r>
                <m:rPr>
                  <m:sty m:val="p"/>
                </m:rPr>
                <w:rPr>
                  <w:rFonts w:ascii="Cambria Math" w:eastAsia="Times New Roman" w:hAnsi="Cambria Math" w:cs="Times New Roman"/>
                  <w:color w:val="4A4A4A"/>
                  <w:sz w:val="21"/>
                  <w:szCs w:val="21"/>
                  <w:lang w:eastAsia="en-GB"/>
                </w:rPr>
                <m:t>Total employment</m:t>
              </m:r>
            </m:den>
          </m:f>
          <m:r>
            <w:rPr>
              <w:rFonts w:ascii="Cambria Math" w:eastAsia="Times New Roman" w:hAnsi="Calibri" w:cs="Times New Roman"/>
              <w:color w:val="4A4A4A"/>
              <w:sz w:val="21"/>
              <w:szCs w:val="21"/>
              <w:lang w:eastAsia="en-GB"/>
            </w:rPr>
            <m:t xml:space="preserve"> </m:t>
          </m:r>
          <m:r>
            <w:rPr>
              <w:rFonts w:ascii="Cambria Math" w:eastAsia="Times New Roman" w:hAnsi="Cambria Math" w:cs="Times New Roman"/>
              <w:color w:val="4A4A4A"/>
              <w:sz w:val="21"/>
              <w:szCs w:val="21"/>
              <w:lang w:eastAsia="en-GB"/>
            </w:rPr>
            <m:t>×</m:t>
          </m:r>
          <m:r>
            <w:rPr>
              <w:rFonts w:ascii="Cambria Math" w:eastAsia="Times New Roman" w:hAnsi="Calibri" w:cs="Times New Roman"/>
              <w:color w:val="4A4A4A"/>
              <w:sz w:val="21"/>
              <w:szCs w:val="21"/>
              <w:lang w:eastAsia="en-GB"/>
            </w:rPr>
            <m:t>100</m:t>
          </m:r>
        </m:oMath>
      </m:oMathPara>
    </w:p>
    <w:p w14:paraId="2B067DC3" w14:textId="77777777" w:rsidR="001620AA" w:rsidRPr="001620AA" w:rsidRDefault="001620AA" w:rsidP="001620AA">
      <w:pPr>
        <w:shd w:val="clear" w:color="auto" w:fill="FFFFFF"/>
        <w:spacing w:after="0"/>
        <w:rPr>
          <w:rFonts w:ascii="Calibri" w:eastAsia="Times New Roman" w:hAnsi="Calibri" w:cs="Times New Roman"/>
          <w:color w:val="4A4A4A"/>
          <w:sz w:val="21"/>
          <w:szCs w:val="21"/>
          <w:lang w:eastAsia="en-GB"/>
        </w:rPr>
      </w:pPr>
    </w:p>
    <w:p w14:paraId="33136E7E" w14:textId="77777777" w:rsidR="001620AA" w:rsidRPr="001620AA" w:rsidRDefault="001620AA" w:rsidP="001620AA">
      <w:pPr>
        <w:shd w:val="clear" w:color="auto" w:fill="FFFFFF"/>
        <w:spacing w:after="0"/>
        <w:rPr>
          <w:rFonts w:ascii="Calibri" w:eastAsia="Times New Roman" w:hAnsi="Calibri" w:cs="Times New Roman"/>
          <w:color w:val="4A4A4A"/>
          <w:sz w:val="21"/>
          <w:szCs w:val="21"/>
          <w:lang w:eastAsia="en-GB"/>
        </w:rPr>
      </w:pPr>
      <m:oMathPara>
        <m:oMath>
          <m:r>
            <m:rPr>
              <m:sty m:val="p"/>
            </m:rPr>
            <w:rPr>
              <w:rFonts w:ascii="Cambria Math" w:eastAsia="Times New Roman" w:hAnsi="Cambria Math" w:cs="Times New Roman"/>
              <w:color w:val="4A4A4A"/>
              <w:sz w:val="21"/>
              <w:szCs w:val="21"/>
              <w:lang w:eastAsia="en-GB"/>
            </w:rPr>
            <m:t>Proportion of informal employment in agriculture</m:t>
          </m:r>
          <m:r>
            <m:rPr>
              <m:sty m:val="p"/>
            </m:rPr>
            <w:rPr>
              <w:rFonts w:ascii="Cambria Math" w:eastAsia="Times New Roman" w:hAnsi="Calibri" w:cs="Times New Roman"/>
              <w:color w:val="4A4A4A"/>
              <w:sz w:val="21"/>
              <w:szCs w:val="21"/>
              <w:lang w:eastAsia="en-GB"/>
            </w:rPr>
            <m:t xml:space="preserve">= </m:t>
          </m:r>
          <m:f>
            <m:fPr>
              <m:ctrlPr>
                <w:rPr>
                  <w:rFonts w:ascii="Cambria Math" w:eastAsia="Times New Roman" w:hAnsi="Cambria Math" w:cs="Times New Roman"/>
                  <w:color w:val="4A4A4A"/>
                  <w:sz w:val="21"/>
                  <w:szCs w:val="21"/>
                  <w:lang w:eastAsia="en-GB"/>
                </w:rPr>
              </m:ctrlPr>
            </m:fPr>
            <m:num>
              <m:r>
                <m:rPr>
                  <m:sty m:val="p"/>
                </m:rPr>
                <w:rPr>
                  <w:rFonts w:ascii="Cambria Math" w:eastAsia="Times New Roman" w:hAnsi="Cambria Math" w:cs="Times New Roman"/>
                  <w:color w:val="4A4A4A"/>
                  <w:sz w:val="21"/>
                  <w:szCs w:val="21"/>
                  <w:lang w:eastAsia="en-GB"/>
                </w:rPr>
                <m:t>Informal employment in agricultural activities</m:t>
              </m:r>
            </m:num>
            <m:den>
              <m:r>
                <m:rPr>
                  <m:sty m:val="p"/>
                </m:rPr>
                <w:rPr>
                  <w:rFonts w:ascii="Cambria Math" w:eastAsia="Times New Roman" w:hAnsi="Cambria Math" w:cs="Times New Roman"/>
                  <w:color w:val="4A4A4A"/>
                  <w:sz w:val="21"/>
                  <w:szCs w:val="21"/>
                  <w:lang w:eastAsia="en-GB"/>
                </w:rPr>
                <m:t>Total employment in agriculture</m:t>
              </m:r>
            </m:den>
          </m:f>
          <m:r>
            <w:rPr>
              <w:rFonts w:ascii="Cambria Math" w:eastAsia="Times New Roman" w:hAnsi="Calibri" w:cs="Times New Roman"/>
              <w:color w:val="4A4A4A"/>
              <w:sz w:val="21"/>
              <w:szCs w:val="21"/>
              <w:lang w:eastAsia="en-GB"/>
            </w:rPr>
            <m:t xml:space="preserve"> </m:t>
          </m:r>
          <m:r>
            <w:rPr>
              <w:rFonts w:ascii="Cambria Math" w:eastAsia="Times New Roman" w:hAnsi="Cambria Math" w:cs="Times New Roman"/>
              <w:color w:val="4A4A4A"/>
              <w:sz w:val="21"/>
              <w:szCs w:val="21"/>
              <w:lang w:eastAsia="en-GB"/>
            </w:rPr>
            <m:t>×</m:t>
          </m:r>
          <m:r>
            <w:rPr>
              <w:rFonts w:ascii="Cambria Math" w:eastAsia="Times New Roman" w:hAnsi="Calibri" w:cs="Times New Roman"/>
              <w:color w:val="4A4A4A"/>
              <w:sz w:val="21"/>
              <w:szCs w:val="21"/>
              <w:lang w:eastAsia="en-GB"/>
            </w:rPr>
            <m:t>100</m:t>
          </m:r>
        </m:oMath>
      </m:oMathPara>
    </w:p>
    <w:p w14:paraId="0B82AAA6" w14:textId="77777777" w:rsidR="001620AA" w:rsidRPr="001620AA" w:rsidRDefault="001620AA" w:rsidP="001620AA">
      <w:pPr>
        <w:shd w:val="clear" w:color="auto" w:fill="FFFFFF"/>
        <w:spacing w:after="0"/>
        <w:rPr>
          <w:rFonts w:ascii="Calibri" w:eastAsia="Times New Roman" w:hAnsi="Calibri" w:cs="Times New Roman"/>
          <w:color w:val="4A4A4A"/>
          <w:sz w:val="21"/>
          <w:szCs w:val="21"/>
          <w:lang w:eastAsia="en-GB"/>
        </w:rPr>
      </w:pPr>
    </w:p>
    <w:p w14:paraId="2ED951BC" w14:textId="77777777" w:rsidR="001620AA" w:rsidRPr="001620AA" w:rsidRDefault="001620AA" w:rsidP="001620AA">
      <w:pPr>
        <w:shd w:val="clear" w:color="auto" w:fill="FFFFFF"/>
        <w:spacing w:after="0"/>
        <w:rPr>
          <w:rFonts w:ascii="Calibri" w:eastAsia="Times New Roman" w:hAnsi="Calibri" w:cs="Times New Roman"/>
          <w:color w:val="4A4A4A"/>
          <w:sz w:val="21"/>
          <w:szCs w:val="21"/>
          <w:lang w:eastAsia="en-GB"/>
        </w:rPr>
      </w:pPr>
      <m:oMathPara>
        <m:oMath>
          <m:r>
            <m:rPr>
              <m:sty m:val="p"/>
            </m:rPr>
            <w:rPr>
              <w:rFonts w:ascii="Cambria Math" w:eastAsia="Times New Roman" w:hAnsi="Cambria Math" w:cs="Times New Roman"/>
              <w:color w:val="4A4A4A"/>
              <w:sz w:val="21"/>
              <w:szCs w:val="21"/>
              <w:lang w:eastAsia="en-GB"/>
            </w:rPr>
            <m:t>Proportion of informal employment in non</m:t>
          </m:r>
          <m:r>
            <m:rPr>
              <m:sty m:val="p"/>
            </m:rPr>
            <w:rPr>
              <w:rFonts w:ascii="Cambria Math" w:eastAsia="Times New Roman" w:hAnsi="MS Mincho" w:cs="MS Mincho"/>
              <w:color w:val="4A4A4A"/>
              <w:sz w:val="21"/>
              <w:szCs w:val="21"/>
              <w:lang w:eastAsia="en-GB"/>
            </w:rPr>
            <m:t xml:space="preserve"> </m:t>
          </m:r>
          <m:r>
            <m:rPr>
              <m:sty m:val="p"/>
            </m:rPr>
            <w:rPr>
              <w:rFonts w:ascii="Cambria Math" w:eastAsia="Times New Roman" w:hAnsi="Cambria Math" w:cs="Times New Roman"/>
              <w:color w:val="4A4A4A"/>
              <w:sz w:val="21"/>
              <w:szCs w:val="21"/>
              <w:lang w:eastAsia="en-GB"/>
            </w:rPr>
            <m:t>agricultural employment</m:t>
          </m:r>
          <m:r>
            <m:rPr>
              <m:sty m:val="p"/>
            </m:rPr>
            <w:rPr>
              <w:rFonts w:ascii="Cambria Math" w:eastAsia="Times New Roman" w:hAnsi="Calibri" w:cs="Times New Roman"/>
              <w:color w:val="4A4A4A"/>
              <w:sz w:val="21"/>
              <w:szCs w:val="21"/>
              <w:lang w:eastAsia="en-GB"/>
            </w:rPr>
            <m:t xml:space="preserve">= </m:t>
          </m:r>
          <m:f>
            <m:fPr>
              <m:ctrlPr>
                <w:rPr>
                  <w:rFonts w:ascii="Cambria Math" w:eastAsia="Times New Roman" w:hAnsi="Cambria Math" w:cs="Times New Roman"/>
                  <w:color w:val="4A4A4A"/>
                  <w:sz w:val="21"/>
                  <w:szCs w:val="21"/>
                  <w:lang w:eastAsia="en-GB"/>
                </w:rPr>
              </m:ctrlPr>
            </m:fPr>
            <m:num>
              <m:r>
                <m:rPr>
                  <m:sty m:val="p"/>
                </m:rPr>
                <w:rPr>
                  <w:rFonts w:ascii="Cambria Math" w:eastAsia="Times New Roman" w:hAnsi="Cambria Math" w:cs="Times New Roman"/>
                  <w:color w:val="4A4A4A"/>
                  <w:sz w:val="21"/>
                  <w:szCs w:val="21"/>
                  <w:lang w:eastAsia="en-GB"/>
                </w:rPr>
                <m:t>Informal employment in non agricultural activities</m:t>
              </m:r>
            </m:num>
            <m:den>
              <m:r>
                <m:rPr>
                  <m:sty m:val="p"/>
                </m:rPr>
                <w:rPr>
                  <w:rFonts w:ascii="Cambria Math" w:eastAsia="Times New Roman" w:hAnsi="Cambria Math" w:cs="Times New Roman"/>
                  <w:color w:val="4A4A4A"/>
                  <w:sz w:val="21"/>
                  <w:szCs w:val="21"/>
                  <w:lang w:eastAsia="en-GB"/>
                </w:rPr>
                <m:t>Total employment in non agricultural activities</m:t>
              </m:r>
            </m:den>
          </m:f>
          <m:r>
            <w:rPr>
              <w:rFonts w:ascii="Cambria Math" w:eastAsia="Times New Roman" w:hAnsi="Calibri" w:cs="Times New Roman"/>
              <w:color w:val="4A4A4A"/>
              <w:sz w:val="21"/>
              <w:szCs w:val="21"/>
              <w:lang w:eastAsia="en-GB"/>
            </w:rPr>
            <m:t xml:space="preserve"> </m:t>
          </m:r>
          <m:r>
            <w:rPr>
              <w:rFonts w:ascii="Cambria Math" w:eastAsia="Times New Roman" w:hAnsi="Cambria Math" w:cs="Times New Roman"/>
              <w:color w:val="4A4A4A"/>
              <w:sz w:val="21"/>
              <w:szCs w:val="21"/>
              <w:lang w:eastAsia="en-GB"/>
            </w:rPr>
            <m:t>×</m:t>
          </m:r>
          <m:r>
            <w:rPr>
              <w:rFonts w:ascii="Cambria Math" w:eastAsia="Times New Roman" w:hAnsi="Calibri" w:cs="Times New Roman"/>
              <w:color w:val="4A4A4A"/>
              <w:sz w:val="21"/>
              <w:szCs w:val="21"/>
              <w:lang w:eastAsia="en-GB"/>
            </w:rPr>
            <m:t>100</m:t>
          </m:r>
        </m:oMath>
      </m:oMathPara>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4.d. Validation</w:t>
      </w:r>
    </w:p>
    <w:p w14:paraId="41E915E9" w14:textId="4A3158C5" w:rsidR="00642598" w:rsidRPr="00A96255" w:rsidRDefault="00FC3216" w:rsidP="00576CFA">
      <w:pPr>
        <w:pStyle w:val="MText"/>
      </w:pPr>
      <w:r>
        <w:t>The ILO engages in annual consultations with member States through the ILOSTAT questionnaire and related Statistics Reporting System (</w:t>
      </w:r>
      <w:proofErr w:type="spellStart"/>
      <w:r>
        <w:t>StaRS</w:t>
      </w:r>
      <w:proofErr w:type="spellEnd"/>
      <w:r>
        <w:t>). National data providers receive a link to the portal where they can review all national SDG data available on ILOSTAT.</w:t>
      </w: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4.e. Adjustments</w:t>
      </w:r>
    </w:p>
    <w:p w14:paraId="4B1D1566" w14:textId="4D90AF02" w:rsidR="00642598" w:rsidRPr="00A96255" w:rsidRDefault="00FC3216" w:rsidP="00576CFA">
      <w:pPr>
        <w:pStyle w:val="MText"/>
      </w:pPr>
      <w:r>
        <w:t>Through the ILO Harmonized Microdata initiative, the ILO strives to produce internationally comparable labour statistics based on the indicator concepts and definitions adopted by the International Conference of Labour Statisticians.</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4.f. Treatment of missing values (</w:t>
      </w:r>
      <w:proofErr w:type="spellStart"/>
      <w:r w:rsidRPr="00A96255">
        <w:t>i</w:t>
      </w:r>
      <w:proofErr w:type="spellEnd"/>
      <w:r w:rsidRPr="00A96255">
        <w:t>) at country le</w:t>
      </w:r>
      <w:r w:rsidR="00E1050F" w:rsidRPr="00A96255">
        <w:t>vel and (ii) at regional level</w:t>
      </w:r>
    </w:p>
    <w:p w14:paraId="67043C18" w14:textId="288244DA" w:rsidR="00D51E7C" w:rsidRDefault="00D51E7C" w:rsidP="00DA615C">
      <w:pPr>
        <w:pStyle w:val="MText"/>
      </w:pPr>
    </w:p>
    <w:p w14:paraId="58DCB865" w14:textId="2401D134" w:rsidR="00D51E7C" w:rsidRPr="00937208" w:rsidRDefault="00D51E7C" w:rsidP="00D51E7C">
      <w:pPr>
        <w:pStyle w:val="MText"/>
      </w:pPr>
      <w:r w:rsidRPr="00937208">
        <w:t>•</w:t>
      </w:r>
      <w:r w:rsidRPr="00937208">
        <w:tab/>
        <w:t>At country level</w:t>
      </w:r>
    </w:p>
    <w:p w14:paraId="74C38417" w14:textId="44AA1798" w:rsidR="00313F04" w:rsidRPr="00937208" w:rsidRDefault="00313F04" w:rsidP="00D51E7C">
      <w:pPr>
        <w:pStyle w:val="MText"/>
      </w:pPr>
      <w:r w:rsidRPr="00937208">
        <w:t>Not applicable</w:t>
      </w:r>
    </w:p>
    <w:p w14:paraId="1B6182A5" w14:textId="54983DC5" w:rsidR="00D51E7C" w:rsidRPr="00C019E5" w:rsidRDefault="00D51E7C" w:rsidP="00D51E7C">
      <w:pPr>
        <w:pStyle w:val="MText"/>
        <w:rPr>
          <w:highlight w:val="cyan"/>
        </w:rPr>
      </w:pPr>
    </w:p>
    <w:p w14:paraId="06DDC253" w14:textId="637DCA51" w:rsidR="00D51E7C" w:rsidRDefault="00D51E7C" w:rsidP="00D51E7C">
      <w:pPr>
        <w:pStyle w:val="MText"/>
      </w:pPr>
      <w:r w:rsidRPr="00937208">
        <w:t>•</w:t>
      </w:r>
      <w:r w:rsidRPr="00937208">
        <w:tab/>
        <w:t>At regional and global levels</w:t>
      </w:r>
    </w:p>
    <w:p w14:paraId="6BC778D0" w14:textId="2E4054EA" w:rsidR="002B77C6" w:rsidRDefault="002B77C6" w:rsidP="00D51E7C">
      <w:pPr>
        <w:pStyle w:val="MText"/>
      </w:pPr>
      <w:r>
        <w:t>See below</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4.g. Regional aggregations</w:t>
      </w:r>
    </w:p>
    <w:p w14:paraId="191F1D1F" w14:textId="188B824F" w:rsidR="00BC4169" w:rsidRDefault="002B77C6" w:rsidP="002B77C6">
      <w:pPr>
        <w:pStyle w:val="MText"/>
      </w:pPr>
      <w:r>
        <w:t xml:space="preserve">The ILO produces single year global and regional estimates of informal employment by sex and economic sector (total, agriculture, non-agriculture) on the basis of available national estimates. The current estimates have a benchmark year of 2019 and input data range from </w:t>
      </w:r>
      <w:r w:rsidR="00B61599">
        <w:t>2009</w:t>
      </w:r>
      <w:r>
        <w:t xml:space="preserve"> to </w:t>
      </w:r>
      <w:r w:rsidR="00642598">
        <w:t>2</w:t>
      </w:r>
      <w:r w:rsidR="00B61599">
        <w:t>019 with 67 per cent of the countries referring to 2018 or 2019</w:t>
      </w:r>
      <w:r>
        <w:t xml:space="preserve">. Benchmark employment data are derived from the ILO modelled estimates series. The input data used in the production of the 2019 estimates cover </w:t>
      </w:r>
      <w:r w:rsidR="00B61599">
        <w:t>92.8</w:t>
      </w:r>
      <w:r>
        <w:t xml:space="preserve"> per cent of global employment. </w:t>
      </w:r>
    </w:p>
    <w:p w14:paraId="5A230CE6" w14:textId="77777777" w:rsidR="00BC4169" w:rsidRDefault="00BC4169" w:rsidP="002B77C6">
      <w:pPr>
        <w:pStyle w:val="MText"/>
      </w:pPr>
    </w:p>
    <w:p w14:paraId="788BB2E3" w14:textId="54E5B271" w:rsidR="00642598" w:rsidRPr="00A96255" w:rsidRDefault="002B77C6" w:rsidP="002B77C6">
      <w:pPr>
        <w:pStyle w:val="MText"/>
      </w:pPr>
      <w:r>
        <w:t>Values for missing countries are imputed on the basis of average (mean) values for each country income group (based on the World Bank’s classification</w:t>
      </w:r>
      <w:r w:rsidR="00652912">
        <w:t xml:space="preserve"> </w:t>
      </w:r>
      <w:r w:rsidR="00BC4169">
        <w:t>of</w:t>
      </w:r>
      <w:r w:rsidR="00652912">
        <w:t xml:space="preserve"> four</w:t>
      </w:r>
      <w:r w:rsidR="009B7DD2" w:rsidRPr="009B7DD2">
        <w:t xml:space="preserve"> </w:t>
      </w:r>
      <w:r w:rsidR="009B7DD2">
        <w:t>country income</w:t>
      </w:r>
      <w:r w:rsidR="00652912">
        <w:t xml:space="preserve"> groups</w:t>
      </w:r>
      <w:r>
        <w:t xml:space="preserve">) within each ILO broad sub-region, as shown here: </w:t>
      </w:r>
      <w:hyperlink r:id="rId12" w:history="1">
        <w:r w:rsidRPr="00F10A58">
          <w:rPr>
            <w:rStyle w:val="Hyperlink"/>
          </w:rPr>
          <w:t>https://ilostat.ilo.org/resources/concepts-and-definitions/classification-country-groupings/</w:t>
        </w:r>
      </w:hyperlink>
      <w:r>
        <w:t>. If imputations cannot be carried out at the level of ILO broad sub-region</w:t>
      </w:r>
      <w:r w:rsidR="00652912">
        <w:t xml:space="preserve"> and four income groups</w:t>
      </w:r>
      <w:r>
        <w:t>, they are done at the level of ILO region</w:t>
      </w:r>
      <w:r w:rsidR="00BC4169">
        <w:t xml:space="preserve"> and four income groups. For some </w:t>
      </w:r>
      <w:r w:rsidR="009B7DD2">
        <w:t xml:space="preserve">upper-middle-income countries for which imputations are not feasible through </w:t>
      </w:r>
      <w:r w:rsidR="00BC4169">
        <w:t xml:space="preserve">the above </w:t>
      </w:r>
      <w:r w:rsidR="009B7DD2">
        <w:t>methodologies</w:t>
      </w:r>
      <w:r w:rsidR="00BC4169">
        <w:t xml:space="preserve">, </w:t>
      </w:r>
      <w:r w:rsidR="009B7DD2">
        <w:t xml:space="preserve">the </w:t>
      </w:r>
      <w:r w:rsidR="00BC4169">
        <w:lastRenderedPageBreak/>
        <w:t>imputations are carried out</w:t>
      </w:r>
      <w:r w:rsidR="00652912">
        <w:t xml:space="preserve"> according to three income groups</w:t>
      </w:r>
      <w:r w:rsidR="00BC4169">
        <w:t xml:space="preserve"> (merging all </w:t>
      </w:r>
      <w:r w:rsidR="009B7DD2">
        <w:t>upper- and lower-</w:t>
      </w:r>
      <w:r w:rsidR="00BC4169">
        <w:t xml:space="preserve">middle-income countries into </w:t>
      </w:r>
      <w:r w:rsidR="009B7DD2">
        <w:t>a single</w:t>
      </w:r>
      <w:r w:rsidR="00BC4169">
        <w:t xml:space="preserve"> </w:t>
      </w:r>
      <w:r w:rsidR="009B7DD2">
        <w:t xml:space="preserve">middle-income </w:t>
      </w:r>
      <w:r w:rsidR="00BC4169">
        <w:t>group)</w:t>
      </w:r>
      <w:r w:rsidR="00652912">
        <w:t xml:space="preserve"> and ILO broad sub-region</w:t>
      </w:r>
      <w:r w:rsidR="00C639EC">
        <w:t>.</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w:t>
      </w:r>
      <w:r w:rsidR="00E1050F" w:rsidRPr="00A96255">
        <w:t>the data at the national level</w:t>
      </w:r>
    </w:p>
    <w:p w14:paraId="1D75FF97" w14:textId="77777777" w:rsidR="001620AA" w:rsidRPr="001620AA" w:rsidRDefault="001620AA" w:rsidP="001620AA">
      <w:pPr>
        <w:numPr>
          <w:ilvl w:val="0"/>
          <w:numId w:val="5"/>
        </w:numPr>
        <w:shd w:val="clear" w:color="auto" w:fill="FFFFFF"/>
        <w:spacing w:after="0"/>
        <w:contextualSpacing/>
        <w:rPr>
          <w:rFonts w:ascii="Calibri" w:eastAsia="Times New Roman" w:hAnsi="Calibri" w:cs="Times New Roman"/>
          <w:color w:val="4A4A4A"/>
          <w:sz w:val="21"/>
          <w:szCs w:val="21"/>
          <w:lang w:eastAsia="en-GB"/>
        </w:rPr>
      </w:pPr>
      <w:r w:rsidRPr="001620AA">
        <w:rPr>
          <w:rFonts w:ascii="Calibri" w:eastAsia="Times New Roman" w:hAnsi="Calibri" w:cs="Times New Roman"/>
          <w:color w:val="4A4A4A"/>
          <w:sz w:val="21"/>
          <w:szCs w:val="21"/>
          <w:lang w:eastAsia="en-GB"/>
        </w:rPr>
        <w:t>ILO Guidebook - Decent Work and the Sustainable Development Goals: A Guidebook on SDG Labour Market Indicators (https://www.ilo.org/stat/Publications/WCMS_647109/lang--</w:t>
      </w:r>
      <w:proofErr w:type="spellStart"/>
      <w:r w:rsidRPr="001620AA">
        <w:rPr>
          <w:rFonts w:ascii="Calibri" w:eastAsia="Times New Roman" w:hAnsi="Calibri" w:cs="Times New Roman"/>
          <w:color w:val="4A4A4A"/>
          <w:sz w:val="21"/>
          <w:szCs w:val="21"/>
          <w:lang w:eastAsia="en-GB"/>
        </w:rPr>
        <w:t>en</w:t>
      </w:r>
      <w:proofErr w:type="spellEnd"/>
      <w:r w:rsidRPr="001620AA">
        <w:rPr>
          <w:rFonts w:ascii="Calibri" w:eastAsia="Times New Roman" w:hAnsi="Calibri" w:cs="Times New Roman"/>
          <w:color w:val="4A4A4A"/>
          <w:sz w:val="21"/>
          <w:szCs w:val="21"/>
          <w:lang w:eastAsia="en-GB"/>
        </w:rPr>
        <w:t>/index.htm)</w:t>
      </w:r>
    </w:p>
    <w:p w14:paraId="52DB0292" w14:textId="77777777" w:rsidR="001620AA" w:rsidRPr="001620AA" w:rsidRDefault="001620AA" w:rsidP="001620AA">
      <w:pPr>
        <w:numPr>
          <w:ilvl w:val="0"/>
          <w:numId w:val="5"/>
        </w:numPr>
        <w:shd w:val="clear" w:color="auto" w:fill="FFFFFF"/>
        <w:spacing w:after="0"/>
        <w:contextualSpacing/>
        <w:rPr>
          <w:rFonts w:ascii="Calibri" w:eastAsia="Times New Roman" w:hAnsi="Calibri" w:cs="Times New Roman"/>
          <w:color w:val="4A4A4A"/>
          <w:sz w:val="21"/>
          <w:szCs w:val="21"/>
          <w:lang w:eastAsia="en-GB"/>
        </w:rPr>
      </w:pPr>
      <w:r w:rsidRPr="001620AA">
        <w:rPr>
          <w:rFonts w:ascii="Calibri" w:eastAsia="Times New Roman" w:hAnsi="Calibri" w:cs="Times New Roman"/>
          <w:color w:val="4A4A4A"/>
          <w:sz w:val="21"/>
          <w:szCs w:val="21"/>
          <w:lang w:eastAsia="en-GB"/>
        </w:rPr>
        <w:t xml:space="preserve">Resolution concerning statistics of employment in the informal sector, adopted by the Fifteenth International Conference of Labour Statisticians (January 1993), available at </w:t>
      </w:r>
      <w:hyperlink r:id="rId13" w:history="1">
        <w:r w:rsidRPr="001620AA">
          <w:rPr>
            <w:rFonts w:ascii="Calibri" w:eastAsia="Times New Roman" w:hAnsi="Calibri" w:cs="Times New Roman"/>
            <w:color w:val="0000FF" w:themeColor="hyperlink"/>
            <w:sz w:val="21"/>
            <w:szCs w:val="21"/>
            <w:u w:val="single"/>
            <w:lang w:eastAsia="en-GB"/>
          </w:rPr>
          <w:t>http://ilo.org/global/statistics-and-databases/standards-and-guidelines/resolutions-adopted-byinternational-conferences-of-labour-statisticians/WCMS_087484/lang--en/index.htm</w:t>
        </w:r>
      </w:hyperlink>
    </w:p>
    <w:p w14:paraId="182F2F47" w14:textId="77777777" w:rsidR="00EE4DE1" w:rsidRDefault="001620AA" w:rsidP="00EE4DE1">
      <w:pPr>
        <w:numPr>
          <w:ilvl w:val="0"/>
          <w:numId w:val="5"/>
        </w:numPr>
        <w:shd w:val="clear" w:color="auto" w:fill="FFFFFF"/>
        <w:spacing w:after="0"/>
        <w:contextualSpacing/>
        <w:rPr>
          <w:rFonts w:ascii="Calibri" w:eastAsia="Times New Roman" w:hAnsi="Calibri" w:cs="Times New Roman"/>
          <w:color w:val="4A4A4A"/>
          <w:sz w:val="21"/>
          <w:szCs w:val="21"/>
          <w:lang w:eastAsia="en-GB"/>
        </w:rPr>
      </w:pPr>
      <w:r w:rsidRPr="001620AA">
        <w:rPr>
          <w:rFonts w:ascii="Calibri" w:eastAsia="Times New Roman" w:hAnsi="Calibri" w:cs="Times New Roman"/>
          <w:color w:val="4A4A4A"/>
          <w:sz w:val="21"/>
          <w:szCs w:val="21"/>
          <w:lang w:eastAsia="en-GB"/>
        </w:rPr>
        <w:t xml:space="preserve">Guidelines concerning a statistical definition of informal employment, adopted by the Seventieth International Conference of Labour Statisticians (November-December 2003) available at </w:t>
      </w:r>
      <w:hyperlink r:id="rId14" w:history="1">
        <w:r w:rsidRPr="001620AA">
          <w:rPr>
            <w:rFonts w:ascii="Calibri" w:eastAsia="Times New Roman" w:hAnsi="Calibri" w:cs="Times New Roman"/>
            <w:color w:val="0000FF" w:themeColor="hyperlink"/>
            <w:sz w:val="21"/>
            <w:szCs w:val="21"/>
            <w:u w:val="single"/>
            <w:lang w:eastAsia="en-GB"/>
          </w:rPr>
          <w:t>http://ilo.org/global/statistics-and-databases/standards-and-guidelines/guidelines-adopted-byinternational-conferences-of-labour-statisticians/WCMS_087622/lang--en/index.htm</w:t>
        </w:r>
      </w:hyperlink>
      <w:r w:rsidRPr="001620AA">
        <w:rPr>
          <w:rFonts w:ascii="Calibri" w:eastAsia="Times New Roman" w:hAnsi="Calibri" w:cs="Times New Roman"/>
          <w:color w:val="4A4A4A"/>
          <w:sz w:val="21"/>
          <w:szCs w:val="21"/>
          <w:lang w:eastAsia="en-GB"/>
        </w:rPr>
        <w:t xml:space="preserve"> </w:t>
      </w:r>
    </w:p>
    <w:p w14:paraId="2939895F" w14:textId="271628FD" w:rsidR="00EC2915" w:rsidRPr="00EE4DE1" w:rsidRDefault="001620AA" w:rsidP="00EE4DE1">
      <w:pPr>
        <w:numPr>
          <w:ilvl w:val="0"/>
          <w:numId w:val="5"/>
        </w:numPr>
        <w:shd w:val="clear" w:color="auto" w:fill="FFFFFF"/>
        <w:spacing w:after="0"/>
        <w:contextualSpacing/>
        <w:rPr>
          <w:rFonts w:ascii="Calibri" w:eastAsia="Times New Roman" w:hAnsi="Calibri" w:cs="Times New Roman"/>
          <w:color w:val="4A4A4A"/>
          <w:sz w:val="21"/>
          <w:szCs w:val="21"/>
          <w:lang w:eastAsia="en-GB"/>
        </w:rPr>
      </w:pPr>
      <w:r w:rsidRPr="00EE4DE1">
        <w:rPr>
          <w:rStyle w:val="MTextChar"/>
          <w:rFonts w:eastAsiaTheme="minorEastAsia"/>
        </w:rPr>
        <w:t>ILO manual Measuring informality: A statistical manual on the informal sector and informal employment available at</w:t>
      </w:r>
      <w:r w:rsidRPr="00EE4DE1">
        <w:rPr>
          <w:rFonts w:ascii="Calibri" w:hAnsi="Calibri"/>
        </w:rPr>
        <w:t xml:space="preserve"> </w:t>
      </w:r>
      <w:hyperlink r:id="rId15" w:history="1">
        <w:r w:rsidRPr="00EE4DE1">
          <w:rPr>
            <w:rFonts w:ascii="Calibri" w:hAnsi="Calibri"/>
            <w:color w:val="0000FF" w:themeColor="hyperlink"/>
            <w:u w:val="single"/>
          </w:rPr>
          <w:t>http://www.ilo.org/wcmsp5/groups/public/---</w:t>
        </w:r>
        <w:proofErr w:type="spellStart"/>
        <w:r w:rsidRPr="00EE4DE1">
          <w:rPr>
            <w:rFonts w:ascii="Calibri" w:hAnsi="Calibri"/>
            <w:color w:val="0000FF" w:themeColor="hyperlink"/>
            <w:u w:val="single"/>
          </w:rPr>
          <w:t>dgreports</w:t>
        </w:r>
        <w:proofErr w:type="spellEnd"/>
        <w:r w:rsidRPr="00EE4DE1">
          <w:rPr>
            <w:rFonts w:ascii="Calibri" w:hAnsi="Calibri"/>
            <w:color w:val="0000FF" w:themeColor="hyperlink"/>
            <w:u w:val="single"/>
          </w:rPr>
          <w:t>/---</w:t>
        </w:r>
        <w:proofErr w:type="spellStart"/>
        <w:r w:rsidRPr="00EE4DE1">
          <w:rPr>
            <w:rFonts w:ascii="Calibri" w:hAnsi="Calibri"/>
            <w:color w:val="0000FF" w:themeColor="hyperlink"/>
            <w:u w:val="single"/>
          </w:rPr>
          <w:t>dcomm</w:t>
        </w:r>
        <w:proofErr w:type="spellEnd"/>
        <w:r w:rsidRPr="00EE4DE1">
          <w:rPr>
            <w:rFonts w:ascii="Calibri" w:hAnsi="Calibri"/>
            <w:color w:val="0000FF" w:themeColor="hyperlink"/>
            <w:u w:val="single"/>
          </w:rPr>
          <w:t>/---</w:t>
        </w:r>
        <w:proofErr w:type="spellStart"/>
        <w:r w:rsidRPr="00EE4DE1">
          <w:rPr>
            <w:rFonts w:ascii="Calibri" w:hAnsi="Calibri"/>
            <w:color w:val="0000FF" w:themeColor="hyperlink"/>
            <w:u w:val="single"/>
          </w:rPr>
          <w:t>publ</w:t>
        </w:r>
        <w:proofErr w:type="spellEnd"/>
        <w:r w:rsidRPr="00EE4DE1">
          <w:rPr>
            <w:rFonts w:ascii="Calibri" w:hAnsi="Calibri"/>
            <w:color w:val="0000FF" w:themeColor="hyperlink"/>
            <w:u w:val="single"/>
          </w:rPr>
          <w:t>/documents/publication/wcms_222979.pdf</w:t>
        </w:r>
      </w:hyperlink>
    </w:p>
    <w:p w14:paraId="02C19F94" w14:textId="77777777" w:rsidR="001127C7" w:rsidRDefault="001127C7" w:rsidP="00F719A8">
      <w:pPr>
        <w:pStyle w:val="MHeader2"/>
      </w:pPr>
    </w:p>
    <w:p w14:paraId="494C36E8" w14:textId="0E057762" w:rsidR="00E1050F" w:rsidRPr="00A96255" w:rsidRDefault="00576CFA" w:rsidP="00F719A8">
      <w:pPr>
        <w:pStyle w:val="MHeader2"/>
      </w:pPr>
      <w:r w:rsidRPr="00A96255">
        <w:t xml:space="preserve">4.i. </w:t>
      </w:r>
      <w:r w:rsidR="00E1050F" w:rsidRPr="00A96255">
        <w:t>Quality management</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4.j Quality assurance</w:t>
      </w:r>
    </w:p>
    <w:p w14:paraId="08FD69B3" w14:textId="77777777" w:rsidR="00642598" w:rsidRDefault="004B3DCC" w:rsidP="00576CFA">
      <w:pPr>
        <w:pStyle w:val="MText"/>
        <w:rPr>
          <w:rFonts w:ascii="Calibri" w:hAnsi="Calibri"/>
        </w:rPr>
      </w:pPr>
      <w:r w:rsidRPr="004B3DCC">
        <w:rPr>
          <w:rFonts w:ascii="Calibri" w:hAnsi="Calibri"/>
        </w:rPr>
        <w:t>Data consistency and quality checks are regularly conducted for validation of the data before dissemination in the ILOSTAT database.</w:t>
      </w:r>
    </w:p>
    <w:p w14:paraId="03EF3244" w14:textId="6497485C" w:rsidR="00EC2915" w:rsidRPr="00A96255" w:rsidRDefault="004B3DCC" w:rsidP="00576CFA">
      <w:pPr>
        <w:pStyle w:val="MText"/>
      </w:pPr>
      <w:r w:rsidRPr="004B3DCC">
        <w:rPr>
          <w:rFonts w:ascii="Calibri" w:hAnsi="Calibri"/>
        </w:rPr>
        <w:t xml:space="preserve"> </w:t>
      </w:r>
    </w:p>
    <w:p w14:paraId="34ADD322" w14:textId="1A21C057" w:rsidR="00E1050F" w:rsidRPr="00A96255" w:rsidRDefault="00576CFA" w:rsidP="00F719A8">
      <w:pPr>
        <w:pStyle w:val="MHeader2"/>
      </w:pPr>
      <w:r w:rsidRPr="00A96255">
        <w:t>4.k Qua</w:t>
      </w:r>
      <w:r w:rsidR="00E1050F" w:rsidRPr="00A96255">
        <w:t>lity assessment</w:t>
      </w: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5. Data availability and disaggregation</w:t>
      </w:r>
    </w:p>
    <w:p w14:paraId="464A8CCF" w14:textId="4EBF8EA7" w:rsidR="00576CFA" w:rsidRPr="007E23AB" w:rsidRDefault="00D51E7C" w:rsidP="00C228ED">
      <w:pPr>
        <w:pStyle w:val="MText"/>
      </w:pPr>
      <w:r w:rsidRPr="007E23AB">
        <w:t>Data availability:</w:t>
      </w:r>
      <w:r w:rsidR="00C228ED">
        <w:t xml:space="preserve"> D</w:t>
      </w:r>
      <w:r w:rsidR="00C228ED" w:rsidRPr="00A71A81">
        <w:t xml:space="preserve">ata for this indicator is available for </w:t>
      </w:r>
      <w:r w:rsidR="003149E5">
        <w:t>8</w:t>
      </w:r>
      <w:r w:rsidR="004D49EF">
        <w:t>9</w:t>
      </w:r>
      <w:r w:rsidR="00C228ED" w:rsidRPr="00A71A81">
        <w:t xml:space="preserve"> countries and territories.</w:t>
      </w:r>
    </w:p>
    <w:p w14:paraId="630E5300" w14:textId="77777777" w:rsidR="007E23AB" w:rsidRPr="007E23AB" w:rsidRDefault="007E23AB" w:rsidP="007E23AB">
      <w:pPr>
        <w:shd w:val="clear" w:color="auto" w:fill="FFFFFF"/>
        <w:spacing w:after="0"/>
        <w:rPr>
          <w:rFonts w:ascii="Calibri" w:eastAsia="Times New Roman" w:hAnsi="Calibri" w:cs="Times New Roman"/>
          <w:color w:val="4A4A4A"/>
          <w:sz w:val="21"/>
          <w:szCs w:val="21"/>
          <w:lang w:eastAsia="en-GB"/>
        </w:rPr>
      </w:pPr>
      <w:r w:rsidRPr="007E23AB">
        <w:rPr>
          <w:rFonts w:ascii="Calibri" w:eastAsia="Times New Roman" w:hAnsi="Calibri" w:cs="Times New Roman"/>
          <w:color w:val="4A4A4A"/>
          <w:sz w:val="21"/>
          <w:szCs w:val="21"/>
          <w:lang w:eastAsia="en-GB"/>
        </w:rPr>
        <w:t>Both country-reported estimates and ILO harmonized estimates of informal employment are available in ILOSTAT (</w:t>
      </w:r>
      <w:hyperlink r:id="rId16" w:history="1">
        <w:r w:rsidRPr="007E23AB">
          <w:rPr>
            <w:rFonts w:ascii="Calibri" w:eastAsia="SimSun" w:hAnsi="Calibri" w:cs="Arial"/>
            <w:color w:val="0000FF" w:themeColor="hyperlink"/>
            <w:u w:val="single"/>
          </w:rPr>
          <w:t>https://ilostat.ilo.org/</w:t>
        </w:r>
      </w:hyperlink>
      <w:r w:rsidRPr="007E23AB">
        <w:rPr>
          <w:rFonts w:ascii="Calibri" w:eastAsia="Times New Roman" w:hAnsi="Calibri" w:cs="Times New Roman"/>
          <w:color w:val="4A4A4A"/>
          <w:sz w:val="21"/>
          <w:szCs w:val="21"/>
          <w:lang w:eastAsia="en-GB"/>
        </w:rPr>
        <w:t>).</w:t>
      </w:r>
    </w:p>
    <w:p w14:paraId="0A05AD34" w14:textId="7B5429D8" w:rsidR="007E23AB" w:rsidRDefault="007E23AB" w:rsidP="00576CFA">
      <w:pPr>
        <w:pStyle w:val="MText"/>
        <w:rPr>
          <w:highlight w:val="cyan"/>
        </w:rPr>
      </w:pPr>
    </w:p>
    <w:p w14:paraId="66D64791" w14:textId="611313EC" w:rsidR="00B93FD2" w:rsidRPr="00937208" w:rsidRDefault="00B93FD2" w:rsidP="00576CFA">
      <w:pPr>
        <w:pStyle w:val="MText"/>
      </w:pPr>
      <w:r w:rsidRPr="00937208">
        <w:t xml:space="preserve">This submission does not include data for regional aggregates of Oceania (excluding Australia and New Zealand) because of low data availability. </w:t>
      </w:r>
    </w:p>
    <w:p w14:paraId="2D0542F7" w14:textId="3DE6BFAB" w:rsidR="00D51E7C" w:rsidRPr="00C019E5" w:rsidRDefault="00D51E7C" w:rsidP="00576CFA">
      <w:pPr>
        <w:pStyle w:val="MText"/>
        <w:rPr>
          <w:highlight w:val="cyan"/>
        </w:rPr>
      </w:pPr>
    </w:p>
    <w:p w14:paraId="5853D6F7" w14:textId="204F4A4B" w:rsidR="00D51E7C" w:rsidRPr="00C019E5" w:rsidRDefault="00D51E7C" w:rsidP="00C228ED">
      <w:pPr>
        <w:pStyle w:val="MText"/>
        <w:rPr>
          <w:highlight w:val="cyan"/>
        </w:rPr>
      </w:pPr>
      <w:r w:rsidRPr="00937208">
        <w:t>Time series:</w:t>
      </w:r>
      <w:r w:rsidR="00C228ED" w:rsidRPr="00937208">
        <w:t xml:space="preserve"> </w:t>
      </w:r>
      <w:r w:rsidR="00C228ED" w:rsidRPr="000F71CA">
        <w:t xml:space="preserve">The </w:t>
      </w:r>
      <w:r w:rsidR="00C228ED">
        <w:t xml:space="preserve">submission </w:t>
      </w:r>
      <w:r w:rsidR="00C228ED" w:rsidRPr="000F71CA">
        <w:t>co</w:t>
      </w:r>
      <w:r w:rsidR="00C228ED" w:rsidRPr="008E5424">
        <w:t xml:space="preserve">vers </w:t>
      </w:r>
      <w:r w:rsidR="00C228ED">
        <w:t>data from</w:t>
      </w:r>
      <w:r w:rsidR="00C228ED" w:rsidRPr="008E5424">
        <w:t xml:space="preserve"> 2000 to 2019</w:t>
      </w:r>
      <w:r w:rsidR="00C228ED" w:rsidRPr="000F71CA">
        <w:t>.</w:t>
      </w:r>
    </w:p>
    <w:p w14:paraId="760C013A" w14:textId="4597FCBD" w:rsidR="00D51E7C" w:rsidRPr="00C019E5" w:rsidRDefault="00D51E7C" w:rsidP="00576CFA">
      <w:pPr>
        <w:pStyle w:val="MText"/>
        <w:rPr>
          <w:highlight w:val="cyan"/>
        </w:rPr>
      </w:pPr>
    </w:p>
    <w:p w14:paraId="127384B3" w14:textId="77777777" w:rsidR="001620AA" w:rsidRDefault="00D51E7C" w:rsidP="001620AA">
      <w:pPr>
        <w:pStyle w:val="MText"/>
      </w:pPr>
      <w:r w:rsidRPr="001620AA">
        <w:t>Disaggregation:</w:t>
      </w:r>
    </w:p>
    <w:p w14:paraId="745D35C4" w14:textId="71C7A0DF" w:rsidR="001620AA" w:rsidRPr="001620AA" w:rsidRDefault="001620AA" w:rsidP="001620AA">
      <w:pPr>
        <w:pStyle w:val="MText"/>
      </w:pPr>
      <w:r w:rsidRPr="001620AA">
        <w:rPr>
          <w:rFonts w:ascii="Calibri" w:hAnsi="Calibri"/>
        </w:rPr>
        <w:t>Data on this indicator is requested disaggregated by sector and sex.</w:t>
      </w:r>
    </w:p>
    <w:p w14:paraId="36E496BE" w14:textId="25D07BFB" w:rsidR="001620AA" w:rsidRPr="001620AA" w:rsidRDefault="001620AA" w:rsidP="001620AA">
      <w:pPr>
        <w:shd w:val="clear" w:color="auto" w:fill="FFFFFF"/>
        <w:spacing w:after="0"/>
        <w:rPr>
          <w:rFonts w:ascii="Calibri" w:eastAsia="Times New Roman" w:hAnsi="Calibri" w:cs="Times New Roman"/>
          <w:color w:val="4A4A4A"/>
          <w:sz w:val="21"/>
          <w:szCs w:val="21"/>
          <w:lang w:eastAsia="en-GB"/>
        </w:rPr>
      </w:pPr>
      <w:r w:rsidRPr="001620AA">
        <w:rPr>
          <w:rFonts w:ascii="Calibri" w:eastAsia="Times New Roman" w:hAnsi="Calibri" w:cs="Times New Roman"/>
          <w:color w:val="4A4A4A"/>
          <w:sz w:val="21"/>
          <w:szCs w:val="21"/>
          <w:lang w:eastAsia="en-GB"/>
        </w:rPr>
        <w:t>Here, sector refers to the breakdown by agriculture/non-agriculture. Where necessary and possible, the disaggregation by sector could go into a more detailed breakdown by economic activity, but for the</w:t>
      </w:r>
      <w:r w:rsidR="00F62BCB">
        <w:rPr>
          <w:rFonts w:ascii="Calibri" w:eastAsia="Times New Roman" w:hAnsi="Calibri" w:cs="Times New Roman"/>
          <w:color w:val="4A4A4A"/>
          <w:sz w:val="21"/>
          <w:szCs w:val="21"/>
          <w:lang w:eastAsia="en-GB"/>
        </w:rPr>
        <w:t xml:space="preserve"> </w:t>
      </w:r>
      <w:r w:rsidRPr="001620AA">
        <w:rPr>
          <w:rFonts w:ascii="Calibri" w:eastAsia="Times New Roman" w:hAnsi="Calibri" w:cs="Times New Roman"/>
          <w:color w:val="4A4A4A"/>
          <w:sz w:val="21"/>
          <w:szCs w:val="21"/>
          <w:lang w:eastAsia="en-GB"/>
        </w:rPr>
        <w:lastRenderedPageBreak/>
        <w:t>purpose of global and regional monitoring, the aggregate categories of agriculture and non-agriculture are used.</w:t>
      </w:r>
    </w:p>
    <w:p w14:paraId="7A77B848" w14:textId="77777777" w:rsidR="001620AA" w:rsidRPr="001620AA" w:rsidRDefault="001620AA" w:rsidP="001620AA">
      <w:pPr>
        <w:shd w:val="clear" w:color="auto" w:fill="FFFFFF"/>
        <w:spacing w:after="0"/>
        <w:rPr>
          <w:rFonts w:ascii="Calibri" w:eastAsia="Times New Roman" w:hAnsi="Calibri" w:cs="Times New Roman"/>
          <w:color w:val="4A4A4A"/>
          <w:sz w:val="21"/>
          <w:szCs w:val="21"/>
          <w:lang w:eastAsia="en-GB"/>
        </w:rPr>
      </w:pPr>
      <w:r w:rsidRPr="001620AA">
        <w:rPr>
          <w:rFonts w:ascii="Calibri" w:eastAsia="Times New Roman" w:hAnsi="Calibri" w:cs="Times New Roman"/>
          <w:color w:val="4A4A4A"/>
          <w:sz w:val="21"/>
          <w:szCs w:val="21"/>
          <w:lang w:eastAsia="en-GB"/>
        </w:rPr>
        <w:t>In order to produce this indicator, employment statistics disaggregated by formal / informal employment and by economic activity (agriculture / non-agriculture) are needed.</w:t>
      </w: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6. Comparability / d</w:t>
      </w:r>
      <w:r w:rsidR="00576CFA" w:rsidRPr="00A96255">
        <w:t>eviatio</w:t>
      </w:r>
      <w:r w:rsidR="00382CF3" w:rsidRPr="00A96255">
        <w:t>n from international standards</w:t>
      </w:r>
    </w:p>
    <w:p w14:paraId="3595E072" w14:textId="74B679E7" w:rsidR="00D51E7C" w:rsidRDefault="00D51E7C" w:rsidP="00576CFA">
      <w:pPr>
        <w:pStyle w:val="MText"/>
      </w:pPr>
      <w:bookmarkStart w:id="5" w:name="_GoBack"/>
      <w:bookmarkEnd w:id="5"/>
      <w:r w:rsidRPr="00937208">
        <w:t>Sources of discrepancies:</w:t>
      </w:r>
    </w:p>
    <w:p w14:paraId="176F7993" w14:textId="27C25E61" w:rsidR="001620AA" w:rsidRDefault="00FC3216" w:rsidP="00576CFA">
      <w:pPr>
        <w:pStyle w:val="MText"/>
      </w:pPr>
      <w:r>
        <w:t>Although some international standards do exist for the compilation of informal employment statistics, the relevant concepts and definitions have been left relatively flexible so as to accommodate national contexts and needs. This means that, in practice, the operational criteria used by countries to compile data at the national level vary significantly from country to country, hindering the international comparability of statistics. The comparability of informal employment statistics is also highly sensitive to differences in the geographical areas covered, the economic activities covered and the treatment of special groups of workers.</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7</w:t>
      </w:r>
      <w:r w:rsidR="00382CF3" w:rsidRPr="00A96255">
        <w:t>. References and Documentation</w:t>
      </w:r>
    </w:p>
    <w:p w14:paraId="58F2D510" w14:textId="77777777" w:rsidR="007E23AB" w:rsidRPr="007E23AB" w:rsidRDefault="007E23AB" w:rsidP="007E23AB">
      <w:pPr>
        <w:numPr>
          <w:ilvl w:val="0"/>
          <w:numId w:val="6"/>
        </w:numPr>
        <w:shd w:val="clear" w:color="auto" w:fill="FFFFFF"/>
        <w:spacing w:after="0"/>
        <w:contextualSpacing/>
        <w:rPr>
          <w:rFonts w:ascii="Calibri" w:eastAsia="Times New Roman" w:hAnsi="Calibri" w:cs="Times New Roman"/>
          <w:color w:val="4A4A4A"/>
          <w:sz w:val="21"/>
          <w:szCs w:val="21"/>
          <w:lang w:eastAsia="en-GB"/>
        </w:rPr>
      </w:pPr>
      <w:r w:rsidRPr="007E23AB">
        <w:rPr>
          <w:rFonts w:ascii="Calibri" w:eastAsia="Times New Roman" w:hAnsi="Calibri" w:cs="Times New Roman"/>
          <w:color w:val="4A4A4A"/>
          <w:sz w:val="21"/>
          <w:szCs w:val="21"/>
          <w:lang w:eastAsia="en-GB"/>
        </w:rPr>
        <w:t>ILO Guidebook - Decent Work and the Sustainable Development Goals: A Guidebook on SDG Labour Market Indicators (https://www.ilo.org/stat/Publications/WCMS_647109/lang--</w:t>
      </w:r>
      <w:proofErr w:type="spellStart"/>
      <w:r w:rsidRPr="007E23AB">
        <w:rPr>
          <w:rFonts w:ascii="Calibri" w:eastAsia="Times New Roman" w:hAnsi="Calibri" w:cs="Times New Roman"/>
          <w:color w:val="4A4A4A"/>
          <w:sz w:val="21"/>
          <w:szCs w:val="21"/>
          <w:lang w:eastAsia="en-GB"/>
        </w:rPr>
        <w:t>en</w:t>
      </w:r>
      <w:proofErr w:type="spellEnd"/>
      <w:r w:rsidRPr="007E23AB">
        <w:rPr>
          <w:rFonts w:ascii="Calibri" w:eastAsia="Times New Roman" w:hAnsi="Calibri" w:cs="Times New Roman"/>
          <w:color w:val="4A4A4A"/>
          <w:sz w:val="21"/>
          <w:szCs w:val="21"/>
          <w:lang w:eastAsia="en-GB"/>
        </w:rPr>
        <w:t>/index.htm)</w:t>
      </w:r>
    </w:p>
    <w:p w14:paraId="76E4B63A" w14:textId="77777777" w:rsidR="007E23AB" w:rsidRPr="007E23AB" w:rsidRDefault="007E23AB" w:rsidP="007E23AB">
      <w:pPr>
        <w:numPr>
          <w:ilvl w:val="0"/>
          <w:numId w:val="6"/>
        </w:numPr>
        <w:shd w:val="clear" w:color="auto" w:fill="FFFFFF"/>
        <w:spacing w:after="0"/>
        <w:contextualSpacing/>
        <w:rPr>
          <w:rFonts w:ascii="Calibri" w:eastAsia="Times New Roman" w:hAnsi="Calibri" w:cs="Times New Roman"/>
          <w:color w:val="4A4A4A"/>
          <w:sz w:val="21"/>
          <w:szCs w:val="21"/>
          <w:lang w:eastAsia="en-GB"/>
        </w:rPr>
      </w:pPr>
      <w:r w:rsidRPr="007E23AB">
        <w:rPr>
          <w:rFonts w:ascii="Calibri" w:eastAsia="Times New Roman" w:hAnsi="Calibri" w:cs="Times New Roman"/>
          <w:color w:val="4A4A4A"/>
          <w:sz w:val="21"/>
          <w:szCs w:val="21"/>
          <w:lang w:eastAsia="en-GB"/>
        </w:rPr>
        <w:t xml:space="preserve">Resolution concerning statistics of employment in the informal sector, adopted by the Fifteenth International Conference of Labour Statisticians (January 1993), available at </w:t>
      </w:r>
      <w:hyperlink r:id="rId17" w:history="1">
        <w:r w:rsidRPr="007E23AB">
          <w:rPr>
            <w:rFonts w:ascii="Calibri" w:eastAsia="Times New Roman" w:hAnsi="Calibri" w:cs="Times New Roman"/>
            <w:color w:val="0000FF" w:themeColor="hyperlink"/>
            <w:sz w:val="21"/>
            <w:szCs w:val="21"/>
            <w:u w:val="single"/>
            <w:lang w:eastAsia="en-GB"/>
          </w:rPr>
          <w:t>http://ilo.org/global/statistics-and-databases/standards-and-guidelines/resolutions-adopted-byinternational-conferences-of-labour-statisticians/WCMS_087484/lang--en/index.htm</w:t>
        </w:r>
      </w:hyperlink>
      <w:r w:rsidRPr="007E23AB">
        <w:rPr>
          <w:rFonts w:ascii="Calibri" w:eastAsia="Times New Roman" w:hAnsi="Calibri" w:cs="Times New Roman"/>
          <w:color w:val="4A4A4A"/>
          <w:sz w:val="21"/>
          <w:szCs w:val="21"/>
          <w:lang w:eastAsia="en-GB"/>
        </w:rPr>
        <w:t xml:space="preserve"> </w:t>
      </w:r>
    </w:p>
    <w:p w14:paraId="3F2FD318" w14:textId="77777777" w:rsidR="007E23AB" w:rsidRPr="007E23AB" w:rsidRDefault="007E23AB" w:rsidP="007E23AB">
      <w:pPr>
        <w:numPr>
          <w:ilvl w:val="0"/>
          <w:numId w:val="6"/>
        </w:numPr>
        <w:shd w:val="clear" w:color="auto" w:fill="FFFFFF"/>
        <w:spacing w:after="0"/>
        <w:contextualSpacing/>
        <w:rPr>
          <w:rFonts w:ascii="Calibri" w:eastAsia="Times New Roman" w:hAnsi="Calibri" w:cs="Times New Roman"/>
          <w:color w:val="4A4A4A"/>
          <w:sz w:val="21"/>
          <w:szCs w:val="21"/>
          <w:lang w:eastAsia="en-GB"/>
        </w:rPr>
      </w:pPr>
      <w:r w:rsidRPr="007E23AB">
        <w:rPr>
          <w:rFonts w:ascii="Calibri" w:eastAsia="Times New Roman" w:hAnsi="Calibri" w:cs="Times New Roman"/>
          <w:color w:val="4A4A4A"/>
          <w:sz w:val="21"/>
          <w:szCs w:val="21"/>
          <w:lang w:eastAsia="en-GB"/>
        </w:rPr>
        <w:t xml:space="preserve">Guidelines concerning a statistical definition of informal employment, adopted by the Seventieth International Conference of Labour Statisticians (November-December 2003) available at </w:t>
      </w:r>
      <w:hyperlink r:id="rId18" w:history="1">
        <w:r w:rsidRPr="007E23AB">
          <w:rPr>
            <w:rFonts w:ascii="Calibri" w:eastAsia="Times New Roman" w:hAnsi="Calibri" w:cs="Times New Roman"/>
            <w:color w:val="0000FF" w:themeColor="hyperlink"/>
            <w:sz w:val="21"/>
            <w:szCs w:val="21"/>
            <w:u w:val="single"/>
            <w:lang w:eastAsia="en-GB"/>
          </w:rPr>
          <w:t>http://ilo.org/global/statistics-and-databases/standards-and-guidelines/guidelines-adopted-byinternational-conferences-of-labour-statisticians/WCMS_087622/lang--en/index.htm</w:t>
        </w:r>
      </w:hyperlink>
      <w:r w:rsidRPr="007E23AB">
        <w:rPr>
          <w:rFonts w:ascii="Calibri" w:eastAsia="Times New Roman" w:hAnsi="Calibri" w:cs="Times New Roman"/>
          <w:color w:val="4A4A4A"/>
          <w:sz w:val="21"/>
          <w:szCs w:val="21"/>
          <w:lang w:eastAsia="en-GB"/>
        </w:rPr>
        <w:t xml:space="preserve"> </w:t>
      </w:r>
    </w:p>
    <w:p w14:paraId="28C21BA8" w14:textId="77777777" w:rsidR="007E23AB" w:rsidRPr="007E23AB" w:rsidRDefault="007E23AB" w:rsidP="007E23AB">
      <w:pPr>
        <w:numPr>
          <w:ilvl w:val="0"/>
          <w:numId w:val="6"/>
        </w:numPr>
        <w:shd w:val="clear" w:color="auto" w:fill="FFFFFF"/>
        <w:spacing w:after="0"/>
        <w:contextualSpacing/>
        <w:rPr>
          <w:rFonts w:ascii="Calibri" w:eastAsia="Times New Roman" w:hAnsi="Calibri" w:cs="Times New Roman"/>
          <w:color w:val="4A4A4A"/>
          <w:sz w:val="21"/>
          <w:szCs w:val="21"/>
          <w:lang w:eastAsia="en-GB"/>
        </w:rPr>
      </w:pPr>
      <w:r w:rsidRPr="007E23AB">
        <w:rPr>
          <w:rFonts w:ascii="Calibri" w:eastAsia="Times New Roman" w:hAnsi="Calibri" w:cs="Times New Roman"/>
          <w:color w:val="4A4A4A"/>
          <w:sz w:val="21"/>
          <w:szCs w:val="21"/>
          <w:lang w:eastAsia="en-GB"/>
        </w:rPr>
        <w:t>ILO manual Measuring informality: A statistical manual on the informal sector and informal employment, available at http://www.ilo.org/wcmsp5/groups/public/---</w:t>
      </w:r>
      <w:proofErr w:type="spellStart"/>
      <w:r w:rsidRPr="007E23AB">
        <w:rPr>
          <w:rFonts w:ascii="Calibri" w:eastAsia="Times New Roman" w:hAnsi="Calibri" w:cs="Times New Roman"/>
          <w:color w:val="4A4A4A"/>
          <w:sz w:val="21"/>
          <w:szCs w:val="21"/>
          <w:lang w:eastAsia="en-GB"/>
        </w:rPr>
        <w:t>dgreports</w:t>
      </w:r>
      <w:proofErr w:type="spellEnd"/>
      <w:r w:rsidRPr="007E23AB">
        <w:rPr>
          <w:rFonts w:ascii="Calibri" w:eastAsia="Times New Roman" w:hAnsi="Calibri" w:cs="Times New Roman"/>
          <w:color w:val="4A4A4A"/>
          <w:sz w:val="21"/>
          <w:szCs w:val="21"/>
          <w:lang w:eastAsia="en-GB"/>
        </w:rPr>
        <w:t>/---</w:t>
      </w:r>
      <w:proofErr w:type="spellStart"/>
      <w:r w:rsidRPr="007E23AB">
        <w:rPr>
          <w:rFonts w:ascii="Calibri" w:eastAsia="Times New Roman" w:hAnsi="Calibri" w:cs="Times New Roman"/>
          <w:color w:val="4A4A4A"/>
          <w:sz w:val="21"/>
          <w:szCs w:val="21"/>
          <w:lang w:eastAsia="en-GB"/>
        </w:rPr>
        <w:t>dcomm</w:t>
      </w:r>
      <w:proofErr w:type="spellEnd"/>
      <w:r w:rsidRPr="007E23AB">
        <w:rPr>
          <w:rFonts w:ascii="Calibri" w:eastAsia="Times New Roman" w:hAnsi="Calibri" w:cs="Times New Roman"/>
          <w:color w:val="4A4A4A"/>
          <w:sz w:val="21"/>
          <w:szCs w:val="21"/>
          <w:lang w:eastAsia="en-GB"/>
        </w:rPr>
        <w:t>/---</w:t>
      </w:r>
    </w:p>
    <w:p w14:paraId="39ABD100" w14:textId="77777777" w:rsidR="007E23AB" w:rsidRPr="007E23AB" w:rsidRDefault="007E23AB" w:rsidP="00937208">
      <w:pPr>
        <w:shd w:val="clear" w:color="auto" w:fill="FFFFFF"/>
        <w:spacing w:after="0"/>
        <w:ind w:firstLine="720"/>
        <w:rPr>
          <w:rFonts w:ascii="Calibri" w:eastAsia="Times New Roman" w:hAnsi="Calibri" w:cs="Times New Roman"/>
          <w:color w:val="4A4A4A"/>
          <w:sz w:val="21"/>
          <w:szCs w:val="21"/>
          <w:lang w:eastAsia="en-GB"/>
        </w:rPr>
      </w:pPr>
      <w:proofErr w:type="spellStart"/>
      <w:r w:rsidRPr="007E23AB">
        <w:rPr>
          <w:rFonts w:ascii="Calibri" w:eastAsia="Times New Roman" w:hAnsi="Calibri" w:cs="Times New Roman"/>
          <w:color w:val="4A4A4A"/>
          <w:sz w:val="21"/>
          <w:szCs w:val="21"/>
          <w:lang w:eastAsia="en-GB"/>
        </w:rPr>
        <w:t>publ</w:t>
      </w:r>
      <w:proofErr w:type="spellEnd"/>
      <w:r w:rsidRPr="007E23AB">
        <w:rPr>
          <w:rFonts w:ascii="Calibri" w:eastAsia="Times New Roman" w:hAnsi="Calibri" w:cs="Times New Roman"/>
          <w:color w:val="4A4A4A"/>
          <w:sz w:val="21"/>
          <w:szCs w:val="21"/>
          <w:lang w:eastAsia="en-GB"/>
        </w:rPr>
        <w:t xml:space="preserve">/documents/publication/wcms_222979.pdf </w:t>
      </w:r>
    </w:p>
    <w:p w14:paraId="0F7DC618" w14:textId="77777777" w:rsidR="007E23AB" w:rsidRPr="00EE4DE1" w:rsidRDefault="007E23AB" w:rsidP="007E23AB">
      <w:pPr>
        <w:numPr>
          <w:ilvl w:val="0"/>
          <w:numId w:val="6"/>
        </w:numPr>
        <w:shd w:val="clear" w:color="auto" w:fill="FFFFFF"/>
        <w:spacing w:after="0"/>
        <w:contextualSpacing/>
        <w:rPr>
          <w:rStyle w:val="MTextChar"/>
          <w:rFonts w:eastAsiaTheme="minorEastAsia"/>
        </w:rPr>
      </w:pPr>
      <w:r w:rsidRPr="007E23AB">
        <w:rPr>
          <w:rFonts w:ascii="Calibri" w:eastAsia="Times New Roman" w:hAnsi="Calibri" w:cs="Times New Roman"/>
          <w:color w:val="4A4A4A"/>
          <w:sz w:val="21"/>
          <w:szCs w:val="21"/>
          <w:lang w:eastAsia="en-GB"/>
        </w:rPr>
        <w:t xml:space="preserve">ILOSTAT database, </w:t>
      </w:r>
      <w:r w:rsidRPr="00EE4DE1">
        <w:rPr>
          <w:rStyle w:val="MTextChar"/>
          <w:rFonts w:eastAsiaTheme="minorEastAsia"/>
        </w:rPr>
        <w:t xml:space="preserve">available at </w:t>
      </w:r>
      <w:r w:rsidRPr="00EE4DE1">
        <w:rPr>
          <w:rStyle w:val="MTextChar"/>
          <w:rFonts w:eastAsia="SimSun"/>
        </w:rPr>
        <w:t>https://ilostat.ilo.org</w:t>
      </w:r>
    </w:p>
    <w:p w14:paraId="67253912" w14:textId="77777777" w:rsidR="007E23AB" w:rsidRPr="007E23AB" w:rsidRDefault="007E23AB" w:rsidP="007E23AB">
      <w:pPr>
        <w:numPr>
          <w:ilvl w:val="0"/>
          <w:numId w:val="6"/>
        </w:numPr>
        <w:shd w:val="clear" w:color="auto" w:fill="FFFFFF"/>
        <w:spacing w:after="0"/>
        <w:contextualSpacing/>
        <w:rPr>
          <w:rFonts w:ascii="Calibri" w:eastAsia="Times New Roman" w:hAnsi="Calibri" w:cs="Times New Roman"/>
          <w:color w:val="4A4A4A"/>
          <w:sz w:val="21"/>
          <w:szCs w:val="21"/>
          <w:lang w:eastAsia="en-GB"/>
        </w:rPr>
      </w:pPr>
      <w:r w:rsidRPr="007E23AB">
        <w:rPr>
          <w:rFonts w:ascii="Calibri" w:eastAsia="Times New Roman" w:hAnsi="Calibri" w:cs="Times New Roman"/>
          <w:color w:val="4A4A4A"/>
          <w:sz w:val="21"/>
          <w:szCs w:val="21"/>
          <w:lang w:eastAsia="en-GB"/>
        </w:rPr>
        <w:t xml:space="preserve">ILOSTAT’s indicator description on informality, at </w:t>
      </w:r>
      <w:hyperlink r:id="rId19" w:history="1">
        <w:r w:rsidRPr="007E23AB">
          <w:rPr>
            <w:rFonts w:ascii="Calibri" w:eastAsia="SimSun" w:hAnsi="Calibri" w:cs="Arial"/>
            <w:color w:val="0000FF" w:themeColor="hyperlink"/>
            <w:u w:val="single"/>
          </w:rPr>
          <w:t>https://ilostat.ilo.org/resources/methods/description-informality/</w:t>
        </w:r>
      </w:hyperlink>
      <w:r w:rsidRPr="007E23AB">
        <w:rPr>
          <w:rFonts w:ascii="Calibri" w:eastAsia="Times New Roman" w:hAnsi="Calibri" w:cs="Times New Roman"/>
          <w:color w:val="4A4A4A"/>
          <w:sz w:val="21"/>
          <w:szCs w:val="21"/>
          <w:lang w:eastAsia="en-GB"/>
        </w:rPr>
        <w:t xml:space="preserve"> </w:t>
      </w:r>
    </w:p>
    <w:p w14:paraId="1A0B43C7" w14:textId="77777777" w:rsidR="007E23AB" w:rsidRPr="007E23AB" w:rsidRDefault="007E23AB" w:rsidP="007E23AB">
      <w:pPr>
        <w:numPr>
          <w:ilvl w:val="0"/>
          <w:numId w:val="6"/>
        </w:numPr>
        <w:shd w:val="clear" w:color="auto" w:fill="FFFFFF"/>
        <w:spacing w:after="0"/>
        <w:contextualSpacing/>
        <w:rPr>
          <w:rFonts w:ascii="Calibri" w:eastAsia="Times New Roman" w:hAnsi="Calibri" w:cs="Times New Roman"/>
          <w:color w:val="4A4A4A"/>
          <w:sz w:val="21"/>
          <w:szCs w:val="21"/>
          <w:lang w:eastAsia="en-GB"/>
        </w:rPr>
      </w:pPr>
      <w:r w:rsidRPr="007E23AB">
        <w:rPr>
          <w:rFonts w:ascii="Calibri" w:eastAsia="Times New Roman" w:hAnsi="Calibri" w:cs="Times New Roman"/>
          <w:color w:val="4A4A4A"/>
          <w:sz w:val="21"/>
          <w:szCs w:val="21"/>
          <w:lang w:eastAsia="en-GB"/>
        </w:rPr>
        <w:t xml:space="preserve">Resolution concerning statistics of work, employment and labour underutilization adopted by the Nineteenth International Conference of Labour Statisticians (October 2013), available at </w:t>
      </w:r>
      <w:hyperlink r:id="rId20" w:history="1">
        <w:r w:rsidRPr="007E23AB">
          <w:rPr>
            <w:rFonts w:ascii="Calibri" w:eastAsia="Times New Roman" w:hAnsi="Calibri" w:cs="Times New Roman"/>
            <w:color w:val="0000FF" w:themeColor="hyperlink"/>
            <w:sz w:val="21"/>
            <w:szCs w:val="21"/>
            <w:u w:val="single"/>
            <w:lang w:eastAsia="en-GB"/>
          </w:rPr>
          <w:t>http://ilo.org/global/statistics-and-databases/standards-and-guidelines/resolutions-adopted-byinternational-conferences-of-labour-statisticians/WCMS_230304/lang--en/index.htm</w:t>
        </w:r>
      </w:hyperlink>
      <w:r w:rsidRPr="007E23AB">
        <w:rPr>
          <w:rFonts w:ascii="Calibri" w:eastAsia="Times New Roman" w:hAnsi="Calibri" w:cs="Times New Roman"/>
          <w:color w:val="4A4A4A"/>
          <w:sz w:val="21"/>
          <w:szCs w:val="21"/>
          <w:lang w:eastAsia="en-GB"/>
        </w:rPr>
        <w:t xml:space="preserve"> </w:t>
      </w:r>
    </w:p>
    <w:p w14:paraId="3D33F3C6" w14:textId="77777777" w:rsidR="007E23AB" w:rsidRPr="007E23AB" w:rsidRDefault="007E23AB" w:rsidP="007E23AB">
      <w:pPr>
        <w:numPr>
          <w:ilvl w:val="0"/>
          <w:numId w:val="6"/>
        </w:numPr>
        <w:shd w:val="clear" w:color="auto" w:fill="FFFFFF"/>
        <w:spacing w:after="0"/>
        <w:contextualSpacing/>
        <w:rPr>
          <w:rFonts w:ascii="Calibri" w:eastAsia="Times New Roman" w:hAnsi="Calibri" w:cs="Times New Roman"/>
          <w:color w:val="4A4A4A"/>
          <w:sz w:val="21"/>
          <w:szCs w:val="21"/>
          <w:lang w:eastAsia="en-GB"/>
        </w:rPr>
      </w:pPr>
      <w:r w:rsidRPr="007E23AB">
        <w:rPr>
          <w:rFonts w:ascii="Calibri" w:eastAsia="Times New Roman" w:hAnsi="Calibri" w:cs="Times New Roman"/>
          <w:color w:val="4A4A4A"/>
          <w:sz w:val="21"/>
          <w:szCs w:val="21"/>
          <w:lang w:eastAsia="en-GB"/>
        </w:rPr>
        <w:t xml:space="preserve">International Standard Industrial Classification of All Economic Activities (ISIC Rev.4) </w:t>
      </w:r>
      <w:hyperlink r:id="rId21" w:history="1">
        <w:r w:rsidRPr="007E23AB">
          <w:rPr>
            <w:rFonts w:ascii="Calibri" w:eastAsia="Times New Roman" w:hAnsi="Calibri" w:cs="Times New Roman"/>
            <w:color w:val="0000FF" w:themeColor="hyperlink"/>
            <w:sz w:val="21"/>
            <w:szCs w:val="21"/>
            <w:u w:val="single"/>
            <w:lang w:eastAsia="en-GB"/>
          </w:rPr>
          <w:t>https://unstats.un.org/unsd/cr/registry/isic-4.asp</w:t>
        </w:r>
      </w:hyperlink>
      <w:r w:rsidRPr="007E23AB">
        <w:rPr>
          <w:rFonts w:ascii="Calibri" w:eastAsia="Times New Roman" w:hAnsi="Calibri" w:cs="Times New Roman"/>
          <w:color w:val="4A4A4A"/>
          <w:sz w:val="21"/>
          <w:szCs w:val="21"/>
          <w:lang w:eastAsia="en-GB"/>
        </w:rPr>
        <w:t xml:space="preserve"> </w:t>
      </w:r>
    </w:p>
    <w:p w14:paraId="384B0992" w14:textId="36889691" w:rsidR="00186795" w:rsidRDefault="00186795"/>
    <w:sectPr w:rsidR="00186795">
      <w:headerReference w:type="default" r:id="rId22"/>
      <w:pgSz w:w="11906" w:h="16838"/>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D373FF" w16cex:dateUtc="2021-02-14T09:03: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4D174E" w14:textId="77777777" w:rsidR="000B26BB" w:rsidRDefault="000B26BB" w:rsidP="00573C0B">
      <w:pPr>
        <w:spacing w:after="0" w:line="240" w:lineRule="auto"/>
      </w:pPr>
      <w:r>
        <w:separator/>
      </w:r>
    </w:p>
  </w:endnote>
  <w:endnote w:type="continuationSeparator" w:id="0">
    <w:p w14:paraId="70CB0EBA" w14:textId="77777777" w:rsidR="000B26BB" w:rsidRDefault="000B26BB" w:rsidP="00573C0B">
      <w:pPr>
        <w:spacing w:after="0" w:line="240" w:lineRule="auto"/>
      </w:pPr>
      <w:r>
        <w:continuationSeparator/>
      </w:r>
    </w:p>
  </w:endnote>
  <w:endnote w:type="continuationNotice" w:id="1">
    <w:p w14:paraId="7149A80F" w14:textId="77777777" w:rsidR="000B26BB" w:rsidRDefault="000B26B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DE3A81" w14:textId="77777777" w:rsidR="000B26BB" w:rsidRDefault="000B26BB" w:rsidP="00573C0B">
      <w:pPr>
        <w:spacing w:after="0" w:line="240" w:lineRule="auto"/>
      </w:pPr>
      <w:r>
        <w:separator/>
      </w:r>
    </w:p>
  </w:footnote>
  <w:footnote w:type="continuationSeparator" w:id="0">
    <w:p w14:paraId="18C958C6" w14:textId="77777777" w:rsidR="000B26BB" w:rsidRDefault="000B26BB" w:rsidP="00573C0B">
      <w:pPr>
        <w:spacing w:after="0" w:line="240" w:lineRule="auto"/>
      </w:pPr>
      <w:r>
        <w:continuationSeparator/>
      </w:r>
    </w:p>
  </w:footnote>
  <w:footnote w:type="continuationNotice" w:id="1">
    <w:p w14:paraId="09D0E9A0" w14:textId="77777777" w:rsidR="000B26BB" w:rsidRDefault="000B26B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D5D76" w14:textId="0450C6C5" w:rsidR="00077F46" w:rsidRPr="00757E8A" w:rsidRDefault="00077F46" w:rsidP="00077F46">
    <w:pPr>
      <w:pStyle w:val="Header"/>
      <w:jc w:val="right"/>
      <w:rPr>
        <w:color w:val="404040" w:themeColor="text1" w:themeTint="BF"/>
        <w:sz w:val="18"/>
        <w:szCs w:val="18"/>
      </w:rPr>
    </w:pPr>
    <w:bookmarkStart w:id="6" w:name="_Hlk506197003"/>
    <w:bookmarkStart w:id="7" w:name="_Hlk506197004"/>
    <w:bookmarkStart w:id="8" w:name="_Hlk506197005"/>
    <w:bookmarkStart w:id="9" w:name="_Hlk516233502"/>
    <w:bookmarkStart w:id="10" w:name="_Hlk516233503"/>
    <w:bookmarkStart w:id="11" w:name="_Hlk516233504"/>
    <w:r w:rsidRPr="00757E8A">
      <w:rPr>
        <w:color w:val="404040" w:themeColor="text1" w:themeTint="BF"/>
        <w:sz w:val="18"/>
        <w:szCs w:val="18"/>
      </w:rPr>
      <w:t>Last updated:</w:t>
    </w:r>
    <w:bookmarkEnd w:id="6"/>
    <w:bookmarkEnd w:id="7"/>
    <w:bookmarkEnd w:id="8"/>
    <w:bookmarkEnd w:id="9"/>
    <w:bookmarkEnd w:id="10"/>
    <w:bookmarkEnd w:id="11"/>
    <w:r w:rsidR="00AF5552">
      <w:rPr>
        <w:color w:val="404040" w:themeColor="text1" w:themeTint="BF"/>
        <w:sz w:val="18"/>
        <w:szCs w:val="18"/>
      </w:rPr>
      <w:t xml:space="preserve"> </w:t>
    </w:r>
    <w:r w:rsidR="007D03D5">
      <w:rPr>
        <w:color w:val="404040" w:themeColor="text1" w:themeTint="BF"/>
        <w:sz w:val="18"/>
        <w:szCs w:val="18"/>
      </w:rPr>
      <w:t xml:space="preserve">January </w:t>
    </w:r>
    <w:r w:rsidR="00B329B0">
      <w:rPr>
        <w:color w:val="404040" w:themeColor="text1" w:themeTint="BF"/>
        <w:sz w:val="18"/>
        <w:szCs w:val="18"/>
      </w:rPr>
      <w:t>202</w:t>
    </w:r>
    <w:r w:rsidR="007D03D5">
      <w:rPr>
        <w:color w:val="404040" w:themeColor="text1" w:themeTint="BF"/>
        <w:sz w:val="18"/>
        <w:szCs w:val="18"/>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0A0D1C"/>
    <w:multiLevelType w:val="hybridMultilevel"/>
    <w:tmpl w:val="AE8CAF10"/>
    <w:lvl w:ilvl="0" w:tplc="27D81186">
      <w:numFmt w:val="bullet"/>
      <w:lvlText w:val="-"/>
      <w:lvlJc w:val="left"/>
      <w:pPr>
        <w:ind w:left="720" w:hanging="360"/>
      </w:pPr>
      <w:rPr>
        <w:rFonts w:ascii="Calibri" w:eastAsia="Times New Roman"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618D2A70"/>
    <w:multiLevelType w:val="hybridMultilevel"/>
    <w:tmpl w:val="59269EA2"/>
    <w:lvl w:ilvl="0" w:tplc="FCDE8F70">
      <w:numFmt w:val="bullet"/>
      <w:lvlText w:val="-"/>
      <w:lvlJc w:val="left"/>
      <w:pPr>
        <w:ind w:left="720" w:hanging="360"/>
      </w:pPr>
      <w:rPr>
        <w:rFonts w:ascii="Calibri" w:eastAsia="Times New Roman"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ocumentProtection w:edit="forms" w:enforcement="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40BA"/>
    <w:rsid w:val="000070BA"/>
    <w:rsid w:val="000173F9"/>
    <w:rsid w:val="000412A0"/>
    <w:rsid w:val="00047DDA"/>
    <w:rsid w:val="00052E54"/>
    <w:rsid w:val="0005455A"/>
    <w:rsid w:val="00067289"/>
    <w:rsid w:val="000709ED"/>
    <w:rsid w:val="00071F07"/>
    <w:rsid w:val="0007759D"/>
    <w:rsid w:val="000777AB"/>
    <w:rsid w:val="00077F46"/>
    <w:rsid w:val="00090FB1"/>
    <w:rsid w:val="00096186"/>
    <w:rsid w:val="000A218D"/>
    <w:rsid w:val="000A72E4"/>
    <w:rsid w:val="000B0E2F"/>
    <w:rsid w:val="000B2430"/>
    <w:rsid w:val="000B26BB"/>
    <w:rsid w:val="000C0059"/>
    <w:rsid w:val="000D0B30"/>
    <w:rsid w:val="000E21F1"/>
    <w:rsid w:val="000F703E"/>
    <w:rsid w:val="00111F79"/>
    <w:rsid w:val="001127C7"/>
    <w:rsid w:val="00120E86"/>
    <w:rsid w:val="00125DE9"/>
    <w:rsid w:val="001332E0"/>
    <w:rsid w:val="00134DE7"/>
    <w:rsid w:val="001620AA"/>
    <w:rsid w:val="00185354"/>
    <w:rsid w:val="001854DC"/>
    <w:rsid w:val="00186795"/>
    <w:rsid w:val="00194D09"/>
    <w:rsid w:val="001A7D5C"/>
    <w:rsid w:val="001B60AA"/>
    <w:rsid w:val="001B63C8"/>
    <w:rsid w:val="001C1972"/>
    <w:rsid w:val="001C421F"/>
    <w:rsid w:val="001D360D"/>
    <w:rsid w:val="00261A8D"/>
    <w:rsid w:val="00283C1C"/>
    <w:rsid w:val="00291A00"/>
    <w:rsid w:val="00291A11"/>
    <w:rsid w:val="002A315C"/>
    <w:rsid w:val="002A3342"/>
    <w:rsid w:val="002A64BA"/>
    <w:rsid w:val="002A6CB2"/>
    <w:rsid w:val="002B4989"/>
    <w:rsid w:val="002B77C6"/>
    <w:rsid w:val="002C2510"/>
    <w:rsid w:val="002D714E"/>
    <w:rsid w:val="002E10FD"/>
    <w:rsid w:val="002E53C3"/>
    <w:rsid w:val="002F1468"/>
    <w:rsid w:val="002F5F0C"/>
    <w:rsid w:val="00313F04"/>
    <w:rsid w:val="003149E5"/>
    <w:rsid w:val="003265EB"/>
    <w:rsid w:val="0034329E"/>
    <w:rsid w:val="00343FAA"/>
    <w:rsid w:val="00347F5E"/>
    <w:rsid w:val="00353C98"/>
    <w:rsid w:val="00354448"/>
    <w:rsid w:val="00371A20"/>
    <w:rsid w:val="00381F58"/>
    <w:rsid w:val="003821B4"/>
    <w:rsid w:val="00382CF3"/>
    <w:rsid w:val="00387D52"/>
    <w:rsid w:val="003A7CEA"/>
    <w:rsid w:val="003F0BD3"/>
    <w:rsid w:val="003F278A"/>
    <w:rsid w:val="003F7A02"/>
    <w:rsid w:val="00422EA5"/>
    <w:rsid w:val="00422EFA"/>
    <w:rsid w:val="0042791F"/>
    <w:rsid w:val="004456ED"/>
    <w:rsid w:val="004704E7"/>
    <w:rsid w:val="0048045A"/>
    <w:rsid w:val="004841B8"/>
    <w:rsid w:val="004930F2"/>
    <w:rsid w:val="004B0F1C"/>
    <w:rsid w:val="004B3DCC"/>
    <w:rsid w:val="004D49EF"/>
    <w:rsid w:val="004F2EE6"/>
    <w:rsid w:val="00502DBA"/>
    <w:rsid w:val="005040C4"/>
    <w:rsid w:val="00507637"/>
    <w:rsid w:val="00507852"/>
    <w:rsid w:val="00514DBF"/>
    <w:rsid w:val="00550921"/>
    <w:rsid w:val="005571D7"/>
    <w:rsid w:val="00563712"/>
    <w:rsid w:val="00573631"/>
    <w:rsid w:val="00573C0B"/>
    <w:rsid w:val="005768D7"/>
    <w:rsid w:val="00576CFA"/>
    <w:rsid w:val="0058556D"/>
    <w:rsid w:val="00592AF2"/>
    <w:rsid w:val="005947AD"/>
    <w:rsid w:val="00597748"/>
    <w:rsid w:val="005979E8"/>
    <w:rsid w:val="005C346B"/>
    <w:rsid w:val="005D0AF4"/>
    <w:rsid w:val="005E54BD"/>
    <w:rsid w:val="005F6CCA"/>
    <w:rsid w:val="006104AF"/>
    <w:rsid w:val="00621893"/>
    <w:rsid w:val="006351E1"/>
    <w:rsid w:val="00642598"/>
    <w:rsid w:val="006447B1"/>
    <w:rsid w:val="00652912"/>
    <w:rsid w:val="00662775"/>
    <w:rsid w:val="00682421"/>
    <w:rsid w:val="006852FC"/>
    <w:rsid w:val="006B40AB"/>
    <w:rsid w:val="006B5DC5"/>
    <w:rsid w:val="006C4BFD"/>
    <w:rsid w:val="006C7D30"/>
    <w:rsid w:val="006E1358"/>
    <w:rsid w:val="006E3C08"/>
    <w:rsid w:val="00700ACF"/>
    <w:rsid w:val="00712487"/>
    <w:rsid w:val="007309A5"/>
    <w:rsid w:val="007530CA"/>
    <w:rsid w:val="00756D68"/>
    <w:rsid w:val="007578D9"/>
    <w:rsid w:val="00757E8A"/>
    <w:rsid w:val="00763E43"/>
    <w:rsid w:val="00764EB5"/>
    <w:rsid w:val="00777A95"/>
    <w:rsid w:val="00782416"/>
    <w:rsid w:val="007B0364"/>
    <w:rsid w:val="007D03D5"/>
    <w:rsid w:val="007D0981"/>
    <w:rsid w:val="007D1929"/>
    <w:rsid w:val="007E23AB"/>
    <w:rsid w:val="00803CF1"/>
    <w:rsid w:val="008104BB"/>
    <w:rsid w:val="008249C5"/>
    <w:rsid w:val="008526F9"/>
    <w:rsid w:val="0085285E"/>
    <w:rsid w:val="00853023"/>
    <w:rsid w:val="008534D4"/>
    <w:rsid w:val="0087237C"/>
    <w:rsid w:val="00881E28"/>
    <w:rsid w:val="00894C4B"/>
    <w:rsid w:val="008A12E3"/>
    <w:rsid w:val="008A42FA"/>
    <w:rsid w:val="008B0AC7"/>
    <w:rsid w:val="008B3E62"/>
    <w:rsid w:val="008C2335"/>
    <w:rsid w:val="008C5D1C"/>
    <w:rsid w:val="008C67C1"/>
    <w:rsid w:val="008D1D39"/>
    <w:rsid w:val="008F07D2"/>
    <w:rsid w:val="0091464A"/>
    <w:rsid w:val="00917851"/>
    <w:rsid w:val="00917F65"/>
    <w:rsid w:val="009311E7"/>
    <w:rsid w:val="00937208"/>
    <w:rsid w:val="00942694"/>
    <w:rsid w:val="009A7E3A"/>
    <w:rsid w:val="009B1265"/>
    <w:rsid w:val="009B4A15"/>
    <w:rsid w:val="009B4DCC"/>
    <w:rsid w:val="009B5693"/>
    <w:rsid w:val="009B7DD2"/>
    <w:rsid w:val="009C61A2"/>
    <w:rsid w:val="009C78E4"/>
    <w:rsid w:val="009D687E"/>
    <w:rsid w:val="009F6DE7"/>
    <w:rsid w:val="00A10583"/>
    <w:rsid w:val="00A37FCB"/>
    <w:rsid w:val="00A54863"/>
    <w:rsid w:val="00A61D74"/>
    <w:rsid w:val="00A8688B"/>
    <w:rsid w:val="00A91163"/>
    <w:rsid w:val="00A9286F"/>
    <w:rsid w:val="00A96255"/>
    <w:rsid w:val="00AB285B"/>
    <w:rsid w:val="00AF5552"/>
    <w:rsid w:val="00AF5CB4"/>
    <w:rsid w:val="00AF5ED1"/>
    <w:rsid w:val="00AF71D6"/>
    <w:rsid w:val="00B216EE"/>
    <w:rsid w:val="00B3175F"/>
    <w:rsid w:val="00B31E2C"/>
    <w:rsid w:val="00B329B0"/>
    <w:rsid w:val="00B402D8"/>
    <w:rsid w:val="00B4237C"/>
    <w:rsid w:val="00B42FE8"/>
    <w:rsid w:val="00B52AFD"/>
    <w:rsid w:val="00B54077"/>
    <w:rsid w:val="00B61599"/>
    <w:rsid w:val="00B64D86"/>
    <w:rsid w:val="00B8087E"/>
    <w:rsid w:val="00B93FD2"/>
    <w:rsid w:val="00BB646E"/>
    <w:rsid w:val="00BC4169"/>
    <w:rsid w:val="00BD1BA1"/>
    <w:rsid w:val="00BD26F8"/>
    <w:rsid w:val="00C019E5"/>
    <w:rsid w:val="00C228ED"/>
    <w:rsid w:val="00C35BC4"/>
    <w:rsid w:val="00C43F5B"/>
    <w:rsid w:val="00C56059"/>
    <w:rsid w:val="00C639EC"/>
    <w:rsid w:val="00CB4371"/>
    <w:rsid w:val="00CC516D"/>
    <w:rsid w:val="00D24330"/>
    <w:rsid w:val="00D40056"/>
    <w:rsid w:val="00D51E7C"/>
    <w:rsid w:val="00D54F29"/>
    <w:rsid w:val="00D7020C"/>
    <w:rsid w:val="00D70AD9"/>
    <w:rsid w:val="00D72152"/>
    <w:rsid w:val="00D94BA5"/>
    <w:rsid w:val="00D9510F"/>
    <w:rsid w:val="00DA615C"/>
    <w:rsid w:val="00DC6913"/>
    <w:rsid w:val="00DD1BC6"/>
    <w:rsid w:val="00DE5DC3"/>
    <w:rsid w:val="00E00D8A"/>
    <w:rsid w:val="00E1050F"/>
    <w:rsid w:val="00E11604"/>
    <w:rsid w:val="00E11D92"/>
    <w:rsid w:val="00E130A0"/>
    <w:rsid w:val="00E210C4"/>
    <w:rsid w:val="00E23DB7"/>
    <w:rsid w:val="00E46D96"/>
    <w:rsid w:val="00E52CCA"/>
    <w:rsid w:val="00E66409"/>
    <w:rsid w:val="00E81D5B"/>
    <w:rsid w:val="00E976B9"/>
    <w:rsid w:val="00EA05D3"/>
    <w:rsid w:val="00EA2CEF"/>
    <w:rsid w:val="00EB19AD"/>
    <w:rsid w:val="00EB2F31"/>
    <w:rsid w:val="00EB6493"/>
    <w:rsid w:val="00EC2915"/>
    <w:rsid w:val="00ED05A9"/>
    <w:rsid w:val="00ED1BA0"/>
    <w:rsid w:val="00EE4DE1"/>
    <w:rsid w:val="00F17257"/>
    <w:rsid w:val="00F34D24"/>
    <w:rsid w:val="00F4130B"/>
    <w:rsid w:val="00F556A2"/>
    <w:rsid w:val="00F62BCB"/>
    <w:rsid w:val="00F719A8"/>
    <w:rsid w:val="00F878B9"/>
    <w:rsid w:val="00FB24E8"/>
    <w:rsid w:val="00FB3B2B"/>
    <w:rsid w:val="00FC18DA"/>
    <w:rsid w:val="00FC3216"/>
    <w:rsid w:val="00FC3917"/>
    <w:rsid w:val="00FD5E14"/>
    <w:rsid w:val="00FD60DA"/>
    <w:rsid w:val="00FF07B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Mentionnonrsolue1">
    <w:name w:val="Mention non résolue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customStyle="1" w:styleId="normaltextrun">
    <w:name w:val="normaltextrun"/>
    <w:basedOn w:val="DefaultParagraphFont"/>
    <w:rsid w:val="002E10FD"/>
  </w:style>
  <w:style w:type="character" w:customStyle="1" w:styleId="eop">
    <w:name w:val="eop"/>
    <w:basedOn w:val="DefaultParagraphFont"/>
    <w:rsid w:val="002E10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078744">
      <w:bodyDiv w:val="1"/>
      <w:marLeft w:val="0"/>
      <w:marRight w:val="0"/>
      <w:marTop w:val="0"/>
      <w:marBottom w:val="0"/>
      <w:divBdr>
        <w:top w:val="none" w:sz="0" w:space="0" w:color="auto"/>
        <w:left w:val="none" w:sz="0" w:space="0" w:color="auto"/>
        <w:bottom w:val="none" w:sz="0" w:space="0" w:color="auto"/>
        <w:right w:val="none" w:sz="0" w:space="0" w:color="auto"/>
      </w:divBdr>
    </w:div>
    <w:div w:id="349527608">
      <w:bodyDiv w:val="1"/>
      <w:marLeft w:val="0"/>
      <w:marRight w:val="0"/>
      <w:marTop w:val="0"/>
      <w:marBottom w:val="0"/>
      <w:divBdr>
        <w:top w:val="none" w:sz="0" w:space="0" w:color="auto"/>
        <w:left w:val="none" w:sz="0" w:space="0" w:color="auto"/>
        <w:bottom w:val="none" w:sz="0" w:space="0" w:color="auto"/>
        <w:right w:val="none" w:sz="0" w:space="0" w:color="auto"/>
      </w:divBdr>
    </w:div>
    <w:div w:id="492186011">
      <w:bodyDiv w:val="1"/>
      <w:marLeft w:val="0"/>
      <w:marRight w:val="0"/>
      <w:marTop w:val="0"/>
      <w:marBottom w:val="0"/>
      <w:divBdr>
        <w:top w:val="none" w:sz="0" w:space="0" w:color="auto"/>
        <w:left w:val="none" w:sz="0" w:space="0" w:color="auto"/>
        <w:bottom w:val="none" w:sz="0" w:space="0" w:color="auto"/>
        <w:right w:val="none" w:sz="0" w:space="0" w:color="auto"/>
      </w:divBdr>
    </w:div>
    <w:div w:id="499351014">
      <w:bodyDiv w:val="1"/>
      <w:marLeft w:val="0"/>
      <w:marRight w:val="0"/>
      <w:marTop w:val="0"/>
      <w:marBottom w:val="0"/>
      <w:divBdr>
        <w:top w:val="none" w:sz="0" w:space="0" w:color="auto"/>
        <w:left w:val="none" w:sz="0" w:space="0" w:color="auto"/>
        <w:bottom w:val="none" w:sz="0" w:space="0" w:color="auto"/>
        <w:right w:val="none" w:sz="0" w:space="0" w:color="auto"/>
      </w:divBdr>
    </w:div>
    <w:div w:id="567695665">
      <w:bodyDiv w:val="1"/>
      <w:marLeft w:val="0"/>
      <w:marRight w:val="0"/>
      <w:marTop w:val="0"/>
      <w:marBottom w:val="0"/>
      <w:divBdr>
        <w:top w:val="none" w:sz="0" w:space="0" w:color="auto"/>
        <w:left w:val="none" w:sz="0" w:space="0" w:color="auto"/>
        <w:bottom w:val="none" w:sz="0" w:space="0" w:color="auto"/>
        <w:right w:val="none" w:sz="0" w:space="0" w:color="auto"/>
      </w:divBdr>
    </w:div>
    <w:div w:id="848953588">
      <w:bodyDiv w:val="1"/>
      <w:marLeft w:val="0"/>
      <w:marRight w:val="0"/>
      <w:marTop w:val="0"/>
      <w:marBottom w:val="0"/>
      <w:divBdr>
        <w:top w:val="none" w:sz="0" w:space="0" w:color="auto"/>
        <w:left w:val="none" w:sz="0" w:space="0" w:color="auto"/>
        <w:bottom w:val="none" w:sz="0" w:space="0" w:color="auto"/>
        <w:right w:val="none" w:sz="0" w:space="0" w:color="auto"/>
      </w:divBdr>
    </w:div>
    <w:div w:id="967708855">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10901573">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190337486">
      <w:bodyDiv w:val="1"/>
      <w:marLeft w:val="0"/>
      <w:marRight w:val="0"/>
      <w:marTop w:val="0"/>
      <w:marBottom w:val="0"/>
      <w:divBdr>
        <w:top w:val="none" w:sz="0" w:space="0" w:color="auto"/>
        <w:left w:val="none" w:sz="0" w:space="0" w:color="auto"/>
        <w:bottom w:val="none" w:sz="0" w:space="0" w:color="auto"/>
        <w:right w:val="none" w:sz="0" w:space="0" w:color="auto"/>
      </w:divBdr>
    </w:div>
    <w:div w:id="1192307237">
      <w:bodyDiv w:val="1"/>
      <w:marLeft w:val="0"/>
      <w:marRight w:val="0"/>
      <w:marTop w:val="0"/>
      <w:marBottom w:val="0"/>
      <w:divBdr>
        <w:top w:val="none" w:sz="0" w:space="0" w:color="auto"/>
        <w:left w:val="none" w:sz="0" w:space="0" w:color="auto"/>
        <w:bottom w:val="none" w:sz="0" w:space="0" w:color="auto"/>
        <w:right w:val="none" w:sz="0" w:space="0" w:color="auto"/>
      </w:divBdr>
    </w:div>
    <w:div w:id="1390882437">
      <w:bodyDiv w:val="1"/>
      <w:marLeft w:val="0"/>
      <w:marRight w:val="0"/>
      <w:marTop w:val="0"/>
      <w:marBottom w:val="0"/>
      <w:divBdr>
        <w:top w:val="none" w:sz="0" w:space="0" w:color="auto"/>
        <w:left w:val="none" w:sz="0" w:space="0" w:color="auto"/>
        <w:bottom w:val="none" w:sz="0" w:space="0" w:color="auto"/>
        <w:right w:val="none" w:sz="0" w:space="0" w:color="auto"/>
      </w:divBdr>
    </w:div>
    <w:div w:id="1658533537">
      <w:bodyDiv w:val="1"/>
      <w:marLeft w:val="0"/>
      <w:marRight w:val="0"/>
      <w:marTop w:val="0"/>
      <w:marBottom w:val="0"/>
      <w:divBdr>
        <w:top w:val="none" w:sz="0" w:space="0" w:color="auto"/>
        <w:left w:val="none" w:sz="0" w:space="0" w:color="auto"/>
        <w:bottom w:val="none" w:sz="0" w:space="0" w:color="auto"/>
        <w:right w:val="none" w:sz="0" w:space="0" w:color="auto"/>
      </w:divBdr>
    </w:div>
    <w:div w:id="1659576738">
      <w:bodyDiv w:val="1"/>
      <w:marLeft w:val="0"/>
      <w:marRight w:val="0"/>
      <w:marTop w:val="0"/>
      <w:marBottom w:val="0"/>
      <w:divBdr>
        <w:top w:val="none" w:sz="0" w:space="0" w:color="auto"/>
        <w:left w:val="none" w:sz="0" w:space="0" w:color="auto"/>
        <w:bottom w:val="none" w:sz="0" w:space="0" w:color="auto"/>
        <w:right w:val="none" w:sz="0" w:space="0" w:color="auto"/>
      </w:divBdr>
    </w:div>
    <w:div w:id="1668098081">
      <w:bodyDiv w:val="1"/>
      <w:marLeft w:val="0"/>
      <w:marRight w:val="0"/>
      <w:marTop w:val="0"/>
      <w:marBottom w:val="0"/>
      <w:divBdr>
        <w:top w:val="none" w:sz="0" w:space="0" w:color="auto"/>
        <w:left w:val="none" w:sz="0" w:space="0" w:color="auto"/>
        <w:bottom w:val="none" w:sz="0" w:space="0" w:color="auto"/>
        <w:right w:val="none" w:sz="0" w:space="0" w:color="auto"/>
      </w:divBdr>
    </w:div>
    <w:div w:id="1715544031">
      <w:bodyDiv w:val="1"/>
      <w:marLeft w:val="0"/>
      <w:marRight w:val="0"/>
      <w:marTop w:val="0"/>
      <w:marBottom w:val="0"/>
      <w:divBdr>
        <w:top w:val="none" w:sz="0" w:space="0" w:color="auto"/>
        <w:left w:val="none" w:sz="0" w:space="0" w:color="auto"/>
        <w:bottom w:val="none" w:sz="0" w:space="0" w:color="auto"/>
        <w:right w:val="none" w:sz="0" w:space="0" w:color="auto"/>
      </w:divBdr>
    </w:div>
    <w:div w:id="1870101414">
      <w:bodyDiv w:val="1"/>
      <w:marLeft w:val="0"/>
      <w:marRight w:val="0"/>
      <w:marTop w:val="0"/>
      <w:marBottom w:val="0"/>
      <w:divBdr>
        <w:top w:val="none" w:sz="0" w:space="0" w:color="auto"/>
        <w:left w:val="none" w:sz="0" w:space="0" w:color="auto"/>
        <w:bottom w:val="none" w:sz="0" w:space="0" w:color="auto"/>
        <w:right w:val="none" w:sz="0" w:space="0" w:color="auto"/>
      </w:divBdr>
    </w:div>
    <w:div w:id="1950234277">
      <w:bodyDiv w:val="1"/>
      <w:marLeft w:val="0"/>
      <w:marRight w:val="0"/>
      <w:marTop w:val="0"/>
      <w:marBottom w:val="0"/>
      <w:divBdr>
        <w:top w:val="none" w:sz="0" w:space="0" w:color="auto"/>
        <w:left w:val="none" w:sz="0" w:space="0" w:color="auto"/>
        <w:bottom w:val="none" w:sz="0" w:space="0" w:color="auto"/>
        <w:right w:val="none" w:sz="0" w:space="0" w:color="auto"/>
      </w:divBdr>
    </w:div>
    <w:div w:id="1980450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ilo.org/global/statistics-and-databases/standards-and-guidelines/resolutions-adopted-byinternational-conferences-of-labour-statisticians/WCMS_087484/lang--en/index.htm" TargetMode="External"/><Relationship Id="rId18" Type="http://schemas.openxmlformats.org/officeDocument/2006/relationships/hyperlink" Target="http://ilo.org/global/statistics-and-databases/standards-and-guidelines/guidelines-adopted-byinternational-conferences-of-labour-statisticians/WCMS_087622/lang--en/index.htm" TargetMode="External"/><Relationship Id="rId3" Type="http://schemas.openxmlformats.org/officeDocument/2006/relationships/customXml" Target="../customXml/item3.xml"/><Relationship Id="rId21" Type="http://schemas.openxmlformats.org/officeDocument/2006/relationships/hyperlink" Target="https://unstats.un.org/unsd/cr/registry/isic-4.asp" TargetMode="External"/><Relationship Id="rId7" Type="http://schemas.openxmlformats.org/officeDocument/2006/relationships/settings" Target="settings.xml"/><Relationship Id="rId12" Type="http://schemas.openxmlformats.org/officeDocument/2006/relationships/hyperlink" Target="https://ilostat.ilo.org/resources/concepts-and-definitions/classification-country-groupings/" TargetMode="External"/><Relationship Id="rId17" Type="http://schemas.openxmlformats.org/officeDocument/2006/relationships/hyperlink" Target="http://ilo.org/global/statistics-and-databases/standards-and-guidelines/resolutions-adopted-byinternational-conferences-of-labour-statisticians/WCMS_087484/lang--en/index.htm" TargetMode="External"/><Relationship Id="rId2" Type="http://schemas.openxmlformats.org/officeDocument/2006/relationships/customXml" Target="../customXml/item2.xml"/><Relationship Id="rId16" Type="http://schemas.openxmlformats.org/officeDocument/2006/relationships/hyperlink" Target="https://ilostat.ilo.org/" TargetMode="External"/><Relationship Id="rId20" Type="http://schemas.openxmlformats.org/officeDocument/2006/relationships/hyperlink" Target="http://ilo.org/global/statistics-and-databases/standards-and-guidelines/resolutions-adopted-byinternational-conferences-of-labour-statisticians/WCMS_230304/lang--en/index.ht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ilostat.ilo.org/resources/methods/description-informality/"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www.ilo.org/wcmsp5/groups/public/---dgreports/---dcomm/---publ/documents/publication/wcms_222979.pdf"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ilostat.ilo.org/resources/methods/description-informality/"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ilo.org/global/statistics-and-databases/standards-and-guidelines/guidelines-adopted-byinternational-conferences-of-labour-statisticians/WCMS_087622/lang--en/index.htm" TargetMode="External"/><Relationship Id="rId22" Type="http://schemas.openxmlformats.org/officeDocument/2006/relationships/header" Target="header1.xml"/><Relationship Id="rId27"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3.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BC49FE9-6AB5-4F27-A441-E1E34E05D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2242</Words>
  <Characters>12781</Characters>
  <Application>Microsoft Office Word</Application>
  <DocSecurity>0</DocSecurity>
  <Lines>106</Lines>
  <Paragraphs>29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United Nations</Company>
  <LinksUpToDate>false</LinksUpToDate>
  <CharactersWithSpaces>14994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Kebebush Welkema</cp:lastModifiedBy>
  <cp:revision>2</cp:revision>
  <cp:lastPrinted>2016-07-16T14:25:00Z</cp:lastPrinted>
  <dcterms:created xsi:type="dcterms:W3CDTF">2021-02-22T22:10:00Z</dcterms:created>
  <dcterms:modified xsi:type="dcterms:W3CDTF">2021-02-22T22:10:00Z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