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C77FCD6" w14:textId="77777777" w:rsidR="00D379F1" w:rsidRDefault="00D379F1"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8: Promote sustained, inclusive and sustainable economic growth, full and productive employment and decent work for all </w:t>
      </w:r>
      <w:r>
        <w:rPr>
          <w:rStyle w:val="eop"/>
          <w:rFonts w:ascii="Calibri" w:hAnsi="Calibri" w:cs="Calibri"/>
          <w:color w:val="333333"/>
          <w:sz w:val="21"/>
          <w:szCs w:val="21"/>
        </w:rPr>
        <w:t> </w:t>
      </w:r>
    </w:p>
    <w:p w14:paraId="084142D2" w14:textId="5E033793" w:rsidR="00D24330" w:rsidRPr="00A96255" w:rsidRDefault="00D24330" w:rsidP="00D24330">
      <w:pPr>
        <w:pStyle w:val="MIndHeader"/>
      </w:pPr>
      <w:r w:rsidRPr="00A96255">
        <w:t>0.b. Target</w:t>
      </w:r>
    </w:p>
    <w:p w14:paraId="4134B5C2" w14:textId="77777777" w:rsidR="00D379F1" w:rsidRDefault="00D379F1"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 </w:t>
      </w:r>
      <w:r>
        <w:rPr>
          <w:rStyle w:val="eop"/>
          <w:rFonts w:ascii="Calibri" w:hAnsi="Calibri" w:cs="Calibri"/>
          <w:color w:val="333333"/>
          <w:sz w:val="21"/>
          <w:szCs w:val="21"/>
        </w:rPr>
        <w:t> </w:t>
      </w:r>
    </w:p>
    <w:p w14:paraId="3E67E7E0" w14:textId="7716CFF4" w:rsidR="00D24330" w:rsidRPr="00A96255" w:rsidRDefault="00D24330" w:rsidP="00D24330">
      <w:pPr>
        <w:pStyle w:val="MIndHeader"/>
      </w:pPr>
      <w:r w:rsidRPr="00A96255">
        <w:t>0.c. Indicator</w:t>
      </w:r>
    </w:p>
    <w:p w14:paraId="47609FA2" w14:textId="77777777" w:rsidR="00D379F1" w:rsidRDefault="00D379F1" w:rsidP="00D24330">
      <w:pPr>
        <w:pStyle w:val="MIndHeader"/>
        <w:rPr>
          <w:color w:val="333333"/>
          <w:sz w:val="21"/>
          <w:szCs w:val="21"/>
        </w:rPr>
      </w:pPr>
      <w:r w:rsidRPr="00D379F1">
        <w:rPr>
          <w:color w:val="333333"/>
          <w:sz w:val="21"/>
          <w:szCs w:val="21"/>
        </w:rPr>
        <w:t xml:space="preserve">Indicator 8.7.1: Proportion and number of children aged 5-17 years engaged in child labour, by sex and age  </w:t>
      </w:r>
    </w:p>
    <w:p w14:paraId="37E5E4F6" w14:textId="6A973F34" w:rsidR="00D24330" w:rsidRPr="00A96255" w:rsidRDefault="00D24330" w:rsidP="00D24330">
      <w:pPr>
        <w:pStyle w:val="MIndHeader"/>
      </w:pPr>
      <w:r w:rsidRPr="00A96255">
        <w:t>0.d. Series</w:t>
      </w:r>
    </w:p>
    <w:p w14:paraId="771888BA" w14:textId="4535D126"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AE344DE" w:rsidR="00D24330" w:rsidRPr="00A96255" w:rsidRDefault="00534636" w:rsidP="00D24330">
      <w:pPr>
        <w:pStyle w:val="MGTHeader"/>
      </w:pPr>
      <w:r>
        <w:t xml:space="preserve">February </w:t>
      </w:r>
      <w:r w:rsidR="00807071">
        <w:t>20</w:t>
      </w:r>
      <w:r>
        <w:t>21</w:t>
      </w:r>
    </w:p>
    <w:p w14:paraId="415C9FF1" w14:textId="77777777" w:rsidR="00D24330" w:rsidRPr="00A96255" w:rsidRDefault="00D24330" w:rsidP="00D24330">
      <w:pPr>
        <w:pStyle w:val="MIndHeader"/>
      </w:pPr>
      <w:r w:rsidRPr="00A96255">
        <w:t>0.f. Related indicators</w:t>
      </w:r>
    </w:p>
    <w:p w14:paraId="382018B5" w14:textId="10416A46" w:rsidR="00113729" w:rsidRDefault="00113729" w:rsidP="00D24330">
      <w:pPr>
        <w:pStyle w:val="MIndHeader"/>
        <w:rPr>
          <w:color w:val="333333"/>
          <w:sz w:val="21"/>
          <w:szCs w:val="21"/>
        </w:rPr>
      </w:pPr>
    </w:p>
    <w:p w14:paraId="077BC49E" w14:textId="4260B078" w:rsidR="00D24330" w:rsidRPr="00A96255" w:rsidRDefault="00D24330" w:rsidP="00D24330">
      <w:pPr>
        <w:pStyle w:val="MIndHeader"/>
      </w:pPr>
      <w:r w:rsidRPr="00A96255">
        <w:t>0.g. International organisations(s) responsible for global monitoring</w:t>
      </w:r>
    </w:p>
    <w:p w14:paraId="66BD83C1" w14:textId="77777777" w:rsidR="00D379F1" w:rsidRPr="00AC4750" w:rsidRDefault="00D379F1" w:rsidP="005E716E">
      <w:pPr>
        <w:pStyle w:val="MGTHeader"/>
      </w:pPr>
      <w:r w:rsidRPr="00AC4750">
        <w:rPr>
          <w:rStyle w:val="normaltextrun"/>
        </w:rPr>
        <w:t>United Nations Children's Fund (UNICEF) </w:t>
      </w:r>
      <w:r w:rsidRPr="00AC4750">
        <w:rPr>
          <w:rStyle w:val="eop"/>
        </w:rPr>
        <w:t> </w:t>
      </w:r>
    </w:p>
    <w:p w14:paraId="0F746952" w14:textId="77777777" w:rsidR="00D379F1" w:rsidRPr="00AC4750" w:rsidRDefault="00D379F1" w:rsidP="005E716E">
      <w:pPr>
        <w:pStyle w:val="MGTHeader"/>
      </w:pPr>
      <w:r w:rsidRPr="00AC4750">
        <w:rPr>
          <w:rStyle w:val="normaltextrun"/>
        </w:rPr>
        <w:t>International Labour Organization (ILO)</w:t>
      </w:r>
      <w:r w:rsidRPr="00AC4750">
        <w:rPr>
          <w:rStyle w:val="eop"/>
        </w:rPr>
        <w:t>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7D967381"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United Nations Children's Fund (UNICEF) </w:t>
      </w:r>
      <w:r>
        <w:rPr>
          <w:rStyle w:val="eop"/>
          <w:rFonts w:ascii="Calibri" w:hAnsi="Calibri" w:cs="Calibri"/>
          <w:color w:val="4A4A4A"/>
          <w:sz w:val="21"/>
          <w:szCs w:val="21"/>
        </w:rPr>
        <w:t> </w:t>
      </w:r>
    </w:p>
    <w:p w14:paraId="0FDA128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Labour Organization (ILO)</w:t>
      </w:r>
      <w:r>
        <w:rPr>
          <w:rStyle w:val="eop"/>
          <w:rFonts w:ascii="Calibri" w:hAnsi="Calibri" w:cs="Calibri"/>
          <w:color w:val="4A4A4A"/>
          <w:sz w:val="21"/>
          <w:szCs w:val="21"/>
        </w:rPr>
        <w:t> </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86E77E4"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Definition: </w:t>
      </w:r>
      <w:r>
        <w:rPr>
          <w:rStyle w:val="eop"/>
          <w:rFonts w:ascii="Calibri" w:hAnsi="Calibri" w:cs="Calibri"/>
          <w:b/>
          <w:bCs/>
          <w:color w:val="4A4A4A"/>
          <w:sz w:val="21"/>
          <w:szCs w:val="21"/>
        </w:rPr>
        <w:t> </w:t>
      </w:r>
    </w:p>
    <w:p w14:paraId="70FA47E8"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eop"/>
          <w:rFonts w:ascii="Calibri" w:hAnsi="Calibri" w:cs="Calibri"/>
          <w:b/>
          <w:bCs/>
          <w:color w:val="4A4A4A"/>
          <w:sz w:val="21"/>
          <w:szCs w:val="21"/>
        </w:rPr>
        <w:t> </w:t>
      </w:r>
    </w:p>
    <w:p w14:paraId="4CA58691"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The number of children engaged in child labour corresponds to the number of children reported to be in child labour during the reference period (usually the week prior to the survey). The proportion of children in child labour is calculated as the number of children in child labour divided by the total number of children in the population.  For the purposes of this indicator, children include all persons aged 5 to 17. </w:t>
      </w:r>
      <w:r>
        <w:rPr>
          <w:rStyle w:val="eop"/>
          <w:rFonts w:ascii="Calibri" w:hAnsi="Calibri" w:cs="Calibri"/>
          <w:color w:val="4A4A4A"/>
          <w:sz w:val="21"/>
          <w:szCs w:val="21"/>
        </w:rPr>
        <w:t> </w:t>
      </w:r>
    </w:p>
    <w:p w14:paraId="0528491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3F9FE2D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Concepts: </w:t>
      </w:r>
      <w:r>
        <w:rPr>
          <w:rStyle w:val="eop"/>
          <w:rFonts w:ascii="Calibri" w:hAnsi="Calibri" w:cs="Calibri"/>
          <w:b/>
          <w:bCs/>
          <w:color w:val="4A4A4A"/>
          <w:sz w:val="21"/>
          <w:szCs w:val="21"/>
        </w:rPr>
        <w:t> </w:t>
      </w:r>
    </w:p>
    <w:p w14:paraId="73CF24E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CC8A6D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it-IT"/>
        </w:rPr>
        <w:lastRenderedPageBreak/>
        <w:t>Three principal international legal instruments – ILO Convention No. 138 (Minimum Age) (C138), United Nations Convention on the Rights of the Child (CRC), ILO Convention No. 182 (Worst Forms) (C182) together set the legal boundaries for child labour, and provide the legal basis for national and international actions against it.  In accordance with these instruments, child labour is work that children should </w:t>
      </w:r>
      <w:r>
        <w:rPr>
          <w:rStyle w:val="normaltextrun"/>
          <w:rFonts w:ascii="Calibri" w:hAnsi="Calibri" w:cs="Calibri"/>
          <w:i/>
          <w:iCs/>
          <w:color w:val="4A4A4A"/>
          <w:sz w:val="21"/>
          <w:szCs w:val="21"/>
          <w:shd w:val="clear" w:color="auto" w:fill="FFFFFF"/>
          <w:lang w:val="it-IT"/>
        </w:rPr>
        <w:t>not </w:t>
      </w:r>
      <w:r>
        <w:rPr>
          <w:rStyle w:val="normaltextrun"/>
          <w:rFonts w:ascii="Calibri" w:hAnsi="Calibri" w:cs="Calibri"/>
          <w:color w:val="4A4A4A"/>
          <w:sz w:val="21"/>
          <w:szCs w:val="21"/>
          <w:shd w:val="clear" w:color="auto" w:fill="FFFFFF"/>
          <w:lang w:val="it-IT"/>
        </w:rPr>
        <w:t>be doing because (a) they are too young or (b) is likely to harm their health, safety or morals, due to its nature or the conditions in which it is carried out. </w:t>
      </w:r>
      <w:r>
        <w:rPr>
          <w:rStyle w:val="eop"/>
          <w:rFonts w:ascii="Calibri" w:hAnsi="Calibri" w:cs="Calibri"/>
          <w:color w:val="4A4A4A"/>
          <w:sz w:val="21"/>
          <w:szCs w:val="21"/>
        </w:rPr>
        <w:t> </w:t>
      </w:r>
    </w:p>
    <w:p w14:paraId="68B53AA1"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0B971912"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The resolutions adopted by the International Conference of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xml:space="preserve"> Statisticians (ICLS), the world’s acknowledged standard-setting body </w:t>
      </w:r>
      <w:proofErr w:type="gramStart"/>
      <w:r>
        <w:rPr>
          <w:rStyle w:val="normaltextrun"/>
          <w:rFonts w:ascii="Calibri" w:hAnsi="Calibri" w:cs="Calibri"/>
          <w:color w:val="4A4A4A"/>
          <w:sz w:val="21"/>
          <w:szCs w:val="21"/>
          <w:shd w:val="clear" w:color="auto" w:fill="FFFFFF"/>
        </w:rPr>
        <w:t>in the area of</w:t>
      </w:r>
      <w:proofErr w:type="gramEnd"/>
      <w:r>
        <w:rPr>
          <w:rStyle w:val="normaltextrun"/>
          <w:rFonts w:ascii="Calibri" w:hAnsi="Calibri" w:cs="Calibri"/>
          <w:color w:val="4A4A4A"/>
          <w:sz w:val="21"/>
          <w:szCs w:val="21"/>
          <w:shd w:val="clear" w:color="auto" w:fill="FFFFFF"/>
        </w:rPr>
        <w:t>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statistics, provide the basis for translating the legal standards governing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into statistical terms for the purpose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measurement. </w:t>
      </w:r>
      <w:r>
        <w:rPr>
          <w:rStyle w:val="eop"/>
          <w:rFonts w:ascii="Calibri" w:hAnsi="Calibri" w:cs="Calibri"/>
          <w:color w:val="4A4A4A"/>
          <w:sz w:val="21"/>
          <w:szCs w:val="21"/>
        </w:rPr>
        <w:t> </w:t>
      </w:r>
    </w:p>
    <w:p w14:paraId="3EA96E34"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04F5903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 accordance with the ICLS resolutions</w:t>
      </w:r>
      <w:r>
        <w:rPr>
          <w:rStyle w:val="superscript"/>
          <w:rFonts w:ascii="Calibri" w:hAnsi="Calibri" w:cs="Calibri"/>
          <w:color w:val="4A4A4A"/>
          <w:sz w:val="16"/>
          <w:szCs w:val="16"/>
          <w:shd w:val="clear" w:color="auto" w:fill="FFFFFF"/>
          <w:vertAlign w:val="superscript"/>
        </w:rPr>
        <w:t>1</w:t>
      </w:r>
      <w:r>
        <w:rPr>
          <w:rStyle w:val="normaltextrun"/>
          <w:rFonts w:ascii="Calibri" w:hAnsi="Calibri" w:cs="Calibri"/>
          <w:color w:val="4A4A4A"/>
          <w:sz w:val="21"/>
          <w:szCs w:val="21"/>
          <w:shd w:val="clear" w:color="auto" w:fill="FFFFFF"/>
        </w:rPr>
        <w:t>,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xml:space="preserve"> can be measured on the basis of the production boundary set by the United Nations System of National Accounts (SNA) or </w:t>
      </w:r>
      <w:proofErr w:type="gramStart"/>
      <w:r>
        <w:rPr>
          <w:rStyle w:val="normaltextrun"/>
          <w:rFonts w:ascii="Calibri" w:hAnsi="Calibri" w:cs="Calibri"/>
          <w:color w:val="4A4A4A"/>
          <w:sz w:val="21"/>
          <w:szCs w:val="21"/>
          <w:shd w:val="clear" w:color="auto" w:fill="FFFFFF"/>
        </w:rPr>
        <w:t>on the basis of</w:t>
      </w:r>
      <w:proofErr w:type="gramEnd"/>
      <w:r>
        <w:rPr>
          <w:rStyle w:val="normaltextrun"/>
          <w:rFonts w:ascii="Calibri" w:hAnsi="Calibri" w:cs="Calibri"/>
          <w:color w:val="4A4A4A"/>
          <w:sz w:val="21"/>
          <w:szCs w:val="21"/>
          <w:shd w:val="clear" w:color="auto" w:fill="FFFFFF"/>
        </w:rPr>
        <w:t> the general production boundary. The former limits the frame of reference to economic activity, while the latter extends it to include both economic activity </w:t>
      </w:r>
      <w:r>
        <w:rPr>
          <w:rStyle w:val="normaltextrun"/>
          <w:rFonts w:ascii="Calibri" w:hAnsi="Calibri" w:cs="Calibri"/>
          <w:i/>
          <w:iCs/>
          <w:color w:val="4A4A4A"/>
          <w:sz w:val="21"/>
          <w:szCs w:val="21"/>
          <w:shd w:val="clear" w:color="auto" w:fill="FFFFFF"/>
        </w:rPr>
        <w:t>and</w:t>
      </w:r>
      <w:r>
        <w:rPr>
          <w:rStyle w:val="normaltextrun"/>
          <w:rFonts w:ascii="Calibri" w:hAnsi="Calibri" w:cs="Calibri"/>
          <w:color w:val="4A4A4A"/>
          <w:sz w:val="21"/>
          <w:szCs w:val="21"/>
          <w:shd w:val="clear" w:color="auto" w:fill="FFFFFF"/>
        </w:rPr>
        <w:t> unpaid household services, that is, the production of domestic and personal services by a household member for consumption within their own household, commonly called “household chores”. </w:t>
      </w:r>
      <w:r>
        <w:rPr>
          <w:rStyle w:val="eop"/>
          <w:rFonts w:ascii="Calibri" w:hAnsi="Calibri" w:cs="Calibri"/>
          <w:color w:val="4A4A4A"/>
          <w:sz w:val="21"/>
          <w:szCs w:val="21"/>
        </w:rPr>
        <w:t> </w:t>
      </w:r>
    </w:p>
    <w:p w14:paraId="5BAB5BB6" w14:textId="77777777" w:rsidR="00D379F1" w:rsidRDefault="00D379F1" w:rsidP="00D379F1">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eop"/>
          <w:rFonts w:ascii="Calibri" w:hAnsi="Calibri" w:cs="Calibri"/>
          <w:color w:val="4A4A4A"/>
          <w:sz w:val="21"/>
          <w:szCs w:val="21"/>
        </w:rPr>
        <w:t> </w:t>
      </w:r>
    </w:p>
    <w:p w14:paraId="57EA3001"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Following from this, two indicators are used for measuring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w:t>
      </w:r>
      <w:proofErr w:type="gramStart"/>
      <w:r>
        <w:rPr>
          <w:rStyle w:val="normaltextrun"/>
          <w:rFonts w:ascii="Calibri" w:hAnsi="Calibri" w:cs="Calibri"/>
          <w:color w:val="4A4A4A"/>
          <w:sz w:val="21"/>
          <w:szCs w:val="21"/>
          <w:shd w:val="clear" w:color="auto" w:fill="FFFFFF"/>
        </w:rPr>
        <w:t>for the purpose of</w:t>
      </w:r>
      <w:proofErr w:type="gramEnd"/>
      <w:r>
        <w:rPr>
          <w:rStyle w:val="normaltextrun"/>
          <w:rFonts w:ascii="Calibri" w:hAnsi="Calibri" w:cs="Calibri"/>
          <w:color w:val="4A4A4A"/>
          <w:sz w:val="21"/>
          <w:szCs w:val="21"/>
          <w:shd w:val="clear" w:color="auto" w:fill="FFFFFF"/>
        </w:rPr>
        <w:t xml:space="preserve"> SDG reporting, the first based on the production boundary set by the United Nations System of National Accounts (SNA) and the second based on the general production boundary. </w:t>
      </w:r>
      <w:r>
        <w:rPr>
          <w:rStyle w:val="eop"/>
          <w:rFonts w:ascii="Calibri" w:hAnsi="Calibri" w:cs="Calibri"/>
          <w:color w:val="4A4A4A"/>
          <w:sz w:val="21"/>
          <w:szCs w:val="21"/>
        </w:rPr>
        <w:t> </w:t>
      </w:r>
    </w:p>
    <w:p w14:paraId="4E407CD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B0316B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Indicator 1: </w:t>
      </w:r>
      <w:r>
        <w:rPr>
          <w:rStyle w:val="normaltextrun"/>
          <w:rFonts w:ascii="Calibri" w:hAnsi="Calibri" w:cs="Calibri"/>
          <w:color w:val="4A4A4A"/>
          <w:sz w:val="21"/>
          <w:szCs w:val="21"/>
          <w:shd w:val="clear" w:color="auto" w:fill="FFFFFF"/>
          <w:lang w:val="en-GB"/>
        </w:rPr>
        <w:t>Proportion and number of children aged 5-17 years engaged in economic activities at or above age-specific hourly thresholds (</w:t>
      </w:r>
      <w:r>
        <w:rPr>
          <w:rStyle w:val="normaltextrun"/>
          <w:rFonts w:ascii="Calibri" w:hAnsi="Calibri" w:cs="Calibri"/>
          <w:b/>
          <w:bCs/>
          <w:color w:val="4A4A4A"/>
          <w:sz w:val="21"/>
          <w:szCs w:val="21"/>
          <w:shd w:val="clear" w:color="auto" w:fill="FFFFFF"/>
          <w:lang w:val="en-GB"/>
        </w:rPr>
        <w:t>SNA production boundary basis</w:t>
      </w:r>
      <w:r>
        <w:rPr>
          <w:rStyle w:val="normaltextrun"/>
          <w:rFonts w:ascii="Calibri" w:hAnsi="Calibri" w:cs="Calibri"/>
          <w:color w:val="4A4A4A"/>
          <w:sz w:val="21"/>
          <w:szCs w:val="21"/>
          <w:shd w:val="clear" w:color="auto" w:fill="FFFFFF"/>
          <w:lang w:val="en-GB"/>
        </w:rPr>
        <w:t>) </w:t>
      </w:r>
      <w:r>
        <w:rPr>
          <w:rStyle w:val="eop"/>
          <w:rFonts w:ascii="Calibri" w:hAnsi="Calibri" w:cs="Calibri"/>
          <w:color w:val="4A4A4A"/>
          <w:sz w:val="21"/>
          <w:szCs w:val="21"/>
        </w:rPr>
        <w:t> </w:t>
      </w:r>
    </w:p>
    <w:p w14:paraId="608AF139"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5 to 11 age range</w:t>
      </w:r>
      <w:r>
        <w:rPr>
          <w:rStyle w:val="normaltextrun"/>
          <w:rFonts w:ascii="Calibri" w:hAnsi="Calibri" w:cs="Calibri"/>
          <w:color w:val="4A4A4A"/>
          <w:sz w:val="21"/>
          <w:szCs w:val="21"/>
          <w:shd w:val="clear" w:color="auto" w:fill="FFFFFF"/>
        </w:rPr>
        <w:t>: children working at least 1 hour per week in economic activity;</w:t>
      </w:r>
      <w:r>
        <w:rPr>
          <w:rStyle w:val="eop"/>
          <w:rFonts w:ascii="Calibri" w:hAnsi="Calibri" w:cs="Calibri"/>
          <w:color w:val="4A4A4A"/>
          <w:sz w:val="21"/>
          <w:szCs w:val="21"/>
        </w:rPr>
        <w:t> </w:t>
      </w:r>
    </w:p>
    <w:p w14:paraId="4D54FEE2"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12 to 14 age range</w:t>
      </w:r>
      <w:r>
        <w:rPr>
          <w:rStyle w:val="normaltextrun"/>
          <w:rFonts w:ascii="Calibri" w:hAnsi="Calibri" w:cs="Calibri"/>
          <w:color w:val="4A4A4A"/>
          <w:sz w:val="21"/>
          <w:szCs w:val="21"/>
          <w:shd w:val="clear" w:color="auto" w:fill="FFFFFF"/>
        </w:rPr>
        <w:t>: children working for at least 14 hours per week in economic activity;</w:t>
      </w:r>
      <w:r>
        <w:rPr>
          <w:rStyle w:val="eop"/>
          <w:rFonts w:ascii="Calibri" w:hAnsi="Calibri" w:cs="Calibri"/>
          <w:color w:val="4A4A4A"/>
          <w:sz w:val="21"/>
          <w:szCs w:val="21"/>
        </w:rPr>
        <w:t> </w:t>
      </w:r>
    </w:p>
    <w:p w14:paraId="50C30283"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15 to 17 age range</w:t>
      </w:r>
      <w:r>
        <w:rPr>
          <w:rStyle w:val="normaltextrun"/>
          <w:rFonts w:ascii="Calibri" w:hAnsi="Calibri" w:cs="Calibri"/>
          <w:color w:val="4A4A4A"/>
          <w:sz w:val="21"/>
          <w:szCs w:val="21"/>
          <w:shd w:val="clear" w:color="auto" w:fill="FFFFFF"/>
        </w:rPr>
        <w:t>: children working for more than 43 hours per week in economic activity.</w:t>
      </w:r>
      <w:r>
        <w:rPr>
          <w:rStyle w:val="eop"/>
          <w:rFonts w:ascii="Calibri" w:hAnsi="Calibri" w:cs="Calibri"/>
          <w:color w:val="4A4A4A"/>
          <w:sz w:val="21"/>
          <w:szCs w:val="21"/>
        </w:rPr>
        <w:t> </w:t>
      </w:r>
    </w:p>
    <w:p w14:paraId="6444305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26FF176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Indicator 2: </w:t>
      </w:r>
      <w:r>
        <w:rPr>
          <w:rStyle w:val="normaltextrun"/>
          <w:rFonts w:ascii="Calibri" w:hAnsi="Calibri" w:cs="Calibri"/>
          <w:color w:val="4A4A4A"/>
          <w:sz w:val="21"/>
          <w:szCs w:val="21"/>
          <w:shd w:val="clear" w:color="auto" w:fill="FFFFFF"/>
          <w:lang w:val="en-GB"/>
        </w:rPr>
        <w:t>Proportion and number of children aged 5-17 years engaged in economic activities and household chores at or above age-specific hourly thresholds (</w:t>
      </w:r>
      <w:r>
        <w:rPr>
          <w:rStyle w:val="normaltextrun"/>
          <w:rFonts w:ascii="Calibri" w:hAnsi="Calibri" w:cs="Calibri"/>
          <w:b/>
          <w:bCs/>
          <w:color w:val="4A4A4A"/>
          <w:sz w:val="21"/>
          <w:szCs w:val="21"/>
          <w:shd w:val="clear" w:color="auto" w:fill="FFFFFF"/>
          <w:lang w:val="en-GB"/>
        </w:rPr>
        <w:t>general production boundary basis</w:t>
      </w:r>
      <w:r>
        <w:rPr>
          <w:rStyle w:val="normaltextrun"/>
          <w:rFonts w:ascii="Calibri" w:hAnsi="Calibri" w:cs="Calibri"/>
          <w:color w:val="4A4A4A"/>
          <w:sz w:val="21"/>
          <w:szCs w:val="21"/>
          <w:shd w:val="clear" w:color="auto" w:fill="FFFFFF"/>
          <w:lang w:val="en-GB"/>
        </w:rPr>
        <w:t>):</w:t>
      </w:r>
      <w:r>
        <w:rPr>
          <w:rStyle w:val="eop"/>
          <w:rFonts w:ascii="Calibri" w:hAnsi="Calibri" w:cs="Calibri"/>
          <w:color w:val="4A4A4A"/>
          <w:sz w:val="21"/>
          <w:szCs w:val="21"/>
        </w:rPr>
        <w:t> </w:t>
      </w:r>
    </w:p>
    <w:p w14:paraId="233295A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5 to 11 age range</w:t>
      </w:r>
      <w:r>
        <w:rPr>
          <w:rStyle w:val="normaltextrun"/>
          <w:rFonts w:ascii="Calibri" w:hAnsi="Calibri" w:cs="Calibri"/>
          <w:color w:val="4A4A4A"/>
          <w:sz w:val="21"/>
          <w:szCs w:val="21"/>
          <w:shd w:val="clear" w:color="auto" w:fill="FFFFFF"/>
        </w:rPr>
        <w:t>: children working at least 1 hour per week in economic activity and/or involved in unpaid household services for more than 21 hours per week;</w:t>
      </w:r>
      <w:r>
        <w:rPr>
          <w:rStyle w:val="eop"/>
          <w:rFonts w:ascii="Calibri" w:hAnsi="Calibri" w:cs="Calibri"/>
          <w:color w:val="4A4A4A"/>
          <w:sz w:val="21"/>
          <w:szCs w:val="21"/>
        </w:rPr>
        <w:t> </w:t>
      </w:r>
    </w:p>
    <w:p w14:paraId="66A4E8F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12 to 14 age range</w:t>
      </w:r>
      <w:r>
        <w:rPr>
          <w:rStyle w:val="normaltextrun"/>
          <w:rFonts w:ascii="Calibri" w:hAnsi="Calibri" w:cs="Calibri"/>
          <w:color w:val="4A4A4A"/>
          <w:sz w:val="21"/>
          <w:szCs w:val="21"/>
          <w:shd w:val="clear" w:color="auto" w:fill="FFFFFF"/>
        </w:rPr>
        <w:t>: children working for at least 14 hours per week in economic activity and/or involved in unpaid household services for more than 21 hours per week;</w:t>
      </w:r>
      <w:r>
        <w:rPr>
          <w:rStyle w:val="eop"/>
          <w:rFonts w:ascii="Calibri" w:hAnsi="Calibri" w:cs="Calibri"/>
          <w:color w:val="4A4A4A"/>
          <w:sz w:val="21"/>
          <w:szCs w:val="21"/>
        </w:rPr>
        <w:t> </w:t>
      </w:r>
    </w:p>
    <w:p w14:paraId="5F89FA69"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15 to 17 age range</w:t>
      </w:r>
      <w:r>
        <w:rPr>
          <w:rStyle w:val="normaltextrun"/>
          <w:rFonts w:ascii="Calibri" w:hAnsi="Calibri" w:cs="Calibri"/>
          <w:color w:val="4A4A4A"/>
          <w:sz w:val="21"/>
          <w:szCs w:val="21"/>
          <w:shd w:val="clear" w:color="auto" w:fill="FFFFFF"/>
        </w:rPr>
        <w:t>: children working for more than 43 hours per week in economic activity.</w:t>
      </w:r>
      <w:r>
        <w:rPr>
          <w:rStyle w:val="superscript"/>
          <w:rFonts w:ascii="Calibri" w:hAnsi="Calibri" w:cs="Calibri"/>
          <w:color w:val="4A4A4A"/>
          <w:sz w:val="16"/>
          <w:szCs w:val="16"/>
          <w:shd w:val="clear" w:color="auto" w:fill="FFFFFF"/>
          <w:vertAlign w:val="superscript"/>
        </w:rPr>
        <w:t>2</w:t>
      </w:r>
      <w:r>
        <w:rPr>
          <w:rStyle w:val="eop"/>
          <w:rFonts w:ascii="Calibri" w:hAnsi="Calibri" w:cs="Calibri"/>
          <w:color w:val="4A4A4A"/>
          <w:sz w:val="21"/>
          <w:szCs w:val="21"/>
        </w:rPr>
        <w:t> </w:t>
      </w:r>
    </w:p>
    <w:p w14:paraId="4B586E34"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A88957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also includes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other than hazardous (18</w:t>
      </w:r>
      <w:r>
        <w:rPr>
          <w:rStyle w:val="normaltextrun"/>
          <w:rFonts w:ascii="Calibri" w:hAnsi="Calibri" w:cs="Calibri"/>
          <w:color w:val="4A4A4A"/>
          <w:shd w:val="clear" w:color="auto" w:fill="FFFFFF"/>
          <w:vertAlign w:val="superscript"/>
        </w:rPr>
        <w:t>th</w:t>
      </w:r>
      <w:r>
        <w:rPr>
          <w:rStyle w:val="normaltextrun"/>
          <w:rFonts w:ascii="Calibri" w:hAnsi="Calibri" w:cs="Calibri"/>
          <w:color w:val="4A4A4A"/>
          <w:sz w:val="21"/>
          <w:szCs w:val="21"/>
          <w:shd w:val="clear" w:color="auto" w:fill="FFFFFF"/>
        </w:rPr>
        <w:t> ICLS paragraphs 33 to 34) as well as hazardous work (18</w:t>
      </w:r>
      <w:r>
        <w:rPr>
          <w:rStyle w:val="normaltextrun"/>
          <w:rFonts w:ascii="Calibri" w:hAnsi="Calibri" w:cs="Calibri"/>
          <w:color w:val="4A4A4A"/>
          <w:shd w:val="clear" w:color="auto" w:fill="FFFFFF"/>
          <w:vertAlign w:val="superscript"/>
        </w:rPr>
        <w:t>th</w:t>
      </w:r>
      <w:r>
        <w:rPr>
          <w:rStyle w:val="normaltextrun"/>
          <w:rFonts w:ascii="Calibri" w:hAnsi="Calibri" w:cs="Calibri"/>
          <w:color w:val="4A4A4A"/>
          <w:sz w:val="21"/>
          <w:szCs w:val="21"/>
          <w:shd w:val="clear" w:color="auto" w:fill="FFFFFF"/>
        </w:rPr>
        <w:t> ICLS paragraphs 21 to 32).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include all forms of slavery or similar practices such as trafficking and the recruitment and use of child soldiers, the use or procurement of children for prostitution or other illicit activities, and other work that is likely to harm children’s health, safety or well-being. </w:t>
      </w:r>
      <w:r>
        <w:rPr>
          <w:rStyle w:val="eop"/>
          <w:rFonts w:ascii="Calibri" w:hAnsi="Calibri" w:cs="Calibri"/>
          <w:color w:val="4A4A4A"/>
          <w:sz w:val="21"/>
          <w:szCs w:val="21"/>
        </w:rPr>
        <w:t> </w:t>
      </w:r>
    </w:p>
    <w:p w14:paraId="04DB92A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E54D3D6" w14:textId="50123AAF" w:rsidR="00EC2915" w:rsidRPr="002427DA" w:rsidRDefault="00EC2915" w:rsidP="002427DA">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7932F8BD" w14:textId="3869C451" w:rsidR="008B0AC7" w:rsidRPr="00A96255" w:rsidRDefault="00576CFA" w:rsidP="00F719A8">
      <w:pPr>
        <w:pStyle w:val="MHeader2"/>
      </w:pPr>
      <w:r w:rsidRPr="00A96255">
        <w:t>2.b.</w:t>
      </w:r>
      <w:r w:rsidR="008B0AC7" w:rsidRPr="00A96255">
        <w:t xml:space="preserve"> Unit of measure</w:t>
      </w:r>
    </w:p>
    <w:p w14:paraId="5780B58A" w14:textId="75EF18F5" w:rsidR="00C53DBA" w:rsidRPr="00A96255" w:rsidRDefault="00C53DBA" w:rsidP="005E716E">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7C821BBE" w14:textId="53BE07B3" w:rsidR="00F77BE9" w:rsidRDefault="00F77BE9" w:rsidP="00AC4750">
      <w:pPr>
        <w:pStyle w:val="MText"/>
      </w:pPr>
      <w:r>
        <w:lastRenderedPageBreak/>
        <w:t>The definition of child labour is in line with the standard set by the latest 20</w:t>
      </w:r>
      <w:r w:rsidRPr="00F77BE9">
        <w:rPr>
          <w:vertAlign w:val="superscript"/>
        </w:rPr>
        <w:t>th</w:t>
      </w:r>
      <w:r>
        <w:t xml:space="preserve"> International Conference of Labour Statisticians. Resolution to amend the 18th ICLS Resolution concerning statistics of child labour.</w:t>
      </w:r>
    </w:p>
    <w:p w14:paraId="3D384BA8" w14:textId="266F44EE" w:rsidR="00EC2915" w:rsidRDefault="00F77BE9" w:rsidP="00F77BE9">
      <w:pPr>
        <w:pStyle w:val="MText"/>
      </w:pPr>
      <w:r>
        <w:t>ILO. Geneva, October 2019</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4A2C9AB" w14:textId="00CF0AA5" w:rsidR="00D379F1" w:rsidRDefault="00D379F1" w:rsidP="00D379F1">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Household surveys such as National Labour Force Surveys, National Multipurpose Household Surveys, UNICEF-supported Multiple Indicator Cluster Surveys (MICS), Demographic and Health Surveys (DHS), ILO-supported Statistical Information and Monitoring Programme on Ch</w:t>
      </w:r>
      <w:r w:rsidR="002A3DB5">
        <w:rPr>
          <w:rStyle w:val="normaltextrun"/>
          <w:rFonts w:ascii="Calibri" w:hAnsi="Calibri" w:cs="Calibri"/>
          <w:color w:val="4A4A4A"/>
          <w:sz w:val="21"/>
          <w:szCs w:val="21"/>
          <w:shd w:val="clear" w:color="auto" w:fill="FFFFFF"/>
          <w:lang w:val="en-GB"/>
        </w:rPr>
        <w:t>ild Labour (SIMPOC), and World B</w:t>
      </w:r>
      <w:r>
        <w:rPr>
          <w:rStyle w:val="normaltextrun"/>
          <w:rFonts w:ascii="Calibri" w:hAnsi="Calibri" w:cs="Calibri"/>
          <w:color w:val="4A4A4A"/>
          <w:sz w:val="21"/>
          <w:szCs w:val="21"/>
          <w:shd w:val="clear" w:color="auto" w:fill="FFFFFF"/>
          <w:lang w:val="en-GB"/>
        </w:rPr>
        <w:t>ank Living Standard Measurement surveys (LSMS) are among the most important instruments for generating information on child labour in developing countries. Estimates of child labour generated by these survey instruments are increasingly relied on by countries to monitor progress towards national and global child labour elimination targets. Many countries also produce national labour estimates and reports that often include data on child labour and/or employment among children. </w:t>
      </w:r>
      <w:r>
        <w:rPr>
          <w:rStyle w:val="eop"/>
          <w:rFonts w:ascii="Calibri" w:hAnsi="Calibri" w:cs="Calibri"/>
          <w:color w:val="4A4A4A"/>
          <w:sz w:val="21"/>
          <w:szCs w:val="21"/>
        </w:rPr>
        <w:t> </w:t>
      </w:r>
    </w:p>
    <w:p w14:paraId="3C49E8CE" w14:textId="7A75029F" w:rsidR="00D379F1" w:rsidRDefault="00D379F1" w:rsidP="00D379F1">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3018A8D8" w14:textId="3BF7A873"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F5EAA4C" w14:textId="7BCB8625" w:rsidR="00D379F1" w:rsidRDefault="00D379F1" w:rsidP="00D379F1">
      <w:pPr>
        <w:pStyle w:val="MText"/>
      </w:pPr>
      <w:r>
        <w:t xml:space="preserve">UNICEF undertakes a wide consultative process of compiling and assessing data from national sources for the purposes of updating its global databases </w:t>
      </w:r>
      <w:proofErr w:type="gramStart"/>
      <w:r>
        <w:t>on the situation of</w:t>
      </w:r>
      <w:proofErr w:type="gramEnd"/>
      <w:r>
        <w:t xml:space="preserve"> children. Up until 2017, the mechanism UNICEF used to collaborate with national authorities on ensuring data quality and international comparability on key indicators of relevance to children was known as Country Data Reporting on the Indicators for the Goals (CRING). </w:t>
      </w:r>
    </w:p>
    <w:p w14:paraId="27F911F0" w14:textId="77777777" w:rsidR="00D379F1" w:rsidRDefault="00D379F1" w:rsidP="00D379F1">
      <w:pPr>
        <w:pStyle w:val="MText"/>
      </w:pPr>
    </w:p>
    <w:p w14:paraId="5823FBC8" w14:textId="1E0CD45F" w:rsidR="00576CFA" w:rsidRPr="00A96255" w:rsidRDefault="00D379F1" w:rsidP="00D379F1">
      <w:pPr>
        <w:pStyle w:val="MText"/>
      </w:pPr>
      <w: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and discussed with ILO. Once reviewed, feedback is made available to countries on </w:t>
      </w:r>
      <w:proofErr w:type="gramStart"/>
      <w:r>
        <w:t>whether or not</w:t>
      </w:r>
      <w:proofErr w:type="gramEnd"/>
      <w: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17466CF9" w:rsidR="00EC2915" w:rsidRDefault="00113729" w:rsidP="00576CFA">
      <w:pPr>
        <w:pStyle w:val="MText"/>
        <w:rPr>
          <w:rStyle w:val="eop"/>
          <w:rFonts w:ascii="Calibri" w:hAnsi="Calibri" w:cs="Calibri"/>
        </w:rPr>
      </w:pPr>
      <w:r>
        <w:rPr>
          <w:rStyle w:val="normaltextrun"/>
          <w:rFonts w:ascii="Calibri" w:hAnsi="Calibri" w:cs="Calibri"/>
        </w:rPr>
        <w:t xml:space="preserve">UNICEF will undertake an annual country consultation likely between December and January every year to allow for review and processing of the feedback received </w:t>
      </w:r>
      <w:proofErr w:type="gramStart"/>
      <w:r>
        <w:rPr>
          <w:rStyle w:val="normaltextrun"/>
          <w:rFonts w:ascii="Calibri" w:hAnsi="Calibri" w:cs="Calibri"/>
        </w:rPr>
        <w:t>in order to</w:t>
      </w:r>
      <w:proofErr w:type="gramEnd"/>
      <w:r>
        <w:rPr>
          <w:rStyle w:val="normaltextrun"/>
          <w:rFonts w:ascii="Calibri" w:hAnsi="Calibri" w:cs="Calibri"/>
        </w:rPr>
        <w:t xml:space="preserve"> meet global SDG reporting deadlines.</w:t>
      </w:r>
      <w:r>
        <w:rPr>
          <w:rStyle w:val="eop"/>
          <w:rFonts w:ascii="Calibri" w:hAnsi="Calibri" w:cs="Calibri"/>
        </w:rPr>
        <w:t> </w:t>
      </w:r>
    </w:p>
    <w:p w14:paraId="03CF3FC9" w14:textId="77777777" w:rsidR="00113729" w:rsidRPr="00A96255" w:rsidRDefault="00113729" w:rsidP="00576CFA">
      <w:pPr>
        <w:pStyle w:val="MText"/>
      </w:pPr>
    </w:p>
    <w:p w14:paraId="7D466604" w14:textId="674844F0" w:rsidR="00E46D96" w:rsidRPr="00F719A8" w:rsidRDefault="00E46D96" w:rsidP="00F719A8">
      <w:pPr>
        <w:pStyle w:val="MHeader2"/>
      </w:pPr>
      <w:r w:rsidRPr="00A96255">
        <w:t>3.d. Data release calendar</w:t>
      </w:r>
    </w:p>
    <w:p w14:paraId="64C749BD" w14:textId="32E341DD" w:rsidR="00EC2915" w:rsidRDefault="00534636" w:rsidP="00576CFA">
      <w:pPr>
        <w:pStyle w:val="MText"/>
        <w:rPr>
          <w:rStyle w:val="eop"/>
          <w:rFonts w:ascii="Calibri" w:hAnsi="Calibri" w:cs="Calibri"/>
        </w:rPr>
      </w:pPr>
      <w:r>
        <w:rPr>
          <w:rStyle w:val="normaltextrun"/>
          <w:rFonts w:ascii="Calibri" w:hAnsi="Calibri" w:cs="Calibri"/>
        </w:rPr>
        <w:t>Feb/</w:t>
      </w:r>
      <w:r w:rsidR="00113729">
        <w:rPr>
          <w:rStyle w:val="normaltextrun"/>
          <w:rFonts w:ascii="Calibri" w:hAnsi="Calibri" w:cs="Calibri"/>
        </w:rPr>
        <w:t>Ma</w:t>
      </w:r>
      <w:r>
        <w:rPr>
          <w:rStyle w:val="normaltextrun"/>
          <w:rFonts w:ascii="Calibri" w:hAnsi="Calibri" w:cs="Calibri"/>
        </w:rPr>
        <w:t>rch</w:t>
      </w:r>
      <w:r w:rsidR="00113729">
        <w:rPr>
          <w:rStyle w:val="normaltextrun"/>
          <w:rFonts w:ascii="Calibri" w:hAnsi="Calibri" w:cs="Calibri"/>
        </w:rPr>
        <w:t> 20</w:t>
      </w:r>
      <w:r>
        <w:rPr>
          <w:rStyle w:val="normaltextrun"/>
          <w:rFonts w:ascii="Calibri" w:hAnsi="Calibri" w:cs="Calibri"/>
        </w:rPr>
        <w:t>21</w:t>
      </w:r>
      <w:r w:rsidR="00113729">
        <w:rPr>
          <w:rStyle w:val="normaltextrun"/>
          <w:rFonts w:ascii="Calibri" w:hAnsi="Calibri" w:cs="Calibri"/>
        </w:rPr>
        <w:t>.</w:t>
      </w:r>
      <w:r w:rsidR="00113729">
        <w:rPr>
          <w:rStyle w:val="eop"/>
          <w:rFonts w:ascii="Calibri" w:hAnsi="Calibri" w:cs="Calibri"/>
        </w:rPr>
        <w:t> </w:t>
      </w:r>
    </w:p>
    <w:p w14:paraId="5C29BED5" w14:textId="77777777" w:rsidR="00113729" w:rsidRPr="00A96255" w:rsidRDefault="00113729" w:rsidP="00576CFA">
      <w:pPr>
        <w:pStyle w:val="MText"/>
      </w:pPr>
    </w:p>
    <w:p w14:paraId="3A4F3065" w14:textId="3AD52F9D" w:rsidR="00E46D96" w:rsidRPr="00A96255" w:rsidRDefault="00E46D96" w:rsidP="00F719A8">
      <w:pPr>
        <w:pStyle w:val="MHeader2"/>
      </w:pPr>
      <w:r w:rsidRPr="00A96255">
        <w:t>3.e. Data providers</w:t>
      </w:r>
    </w:p>
    <w:p w14:paraId="50A66E64" w14:textId="4642B0FD" w:rsidR="00EC2915" w:rsidRDefault="00113729" w:rsidP="00576CFA">
      <w:pPr>
        <w:pStyle w:val="MText"/>
        <w:rPr>
          <w:rStyle w:val="eop"/>
          <w:rFonts w:ascii="Calibri" w:hAnsi="Calibri" w:cs="Calibri"/>
        </w:rPr>
      </w:pPr>
      <w:r>
        <w:rPr>
          <w:rStyle w:val="normaltextrun"/>
          <w:rFonts w:ascii="Calibri" w:hAnsi="Calibri" w:cs="Calibri"/>
          <w:shd w:val="clear" w:color="auto" w:fill="FFFFFF"/>
        </w:rPr>
        <w:lastRenderedPageBreak/>
        <w:t>National Statistical Offices (for the most part) and line ministries/other government agencies and International agencies that have conducted labour force surveys or other household surveys through which data on child labour were collected. </w:t>
      </w:r>
      <w:r>
        <w:rPr>
          <w:rStyle w:val="eop"/>
          <w:rFonts w:ascii="Calibri" w:hAnsi="Calibri" w:cs="Calibri"/>
        </w:rPr>
        <w:t> </w:t>
      </w:r>
    </w:p>
    <w:p w14:paraId="078CA777" w14:textId="77777777" w:rsidR="00113729" w:rsidRPr="00A96255" w:rsidRDefault="00113729" w:rsidP="00576CFA">
      <w:pPr>
        <w:pStyle w:val="MText"/>
      </w:pPr>
    </w:p>
    <w:p w14:paraId="30DC8E05" w14:textId="484D6EC2" w:rsidR="00E46D96" w:rsidRPr="00A96255" w:rsidRDefault="00E46D96" w:rsidP="00F719A8">
      <w:pPr>
        <w:pStyle w:val="MHeader2"/>
      </w:pPr>
      <w:r w:rsidRPr="00A96255">
        <w:t>3.f. Data compilers</w:t>
      </w:r>
    </w:p>
    <w:p w14:paraId="5C43435B" w14:textId="301A59DB" w:rsidR="00EC2915" w:rsidRDefault="00113729" w:rsidP="00576CFA">
      <w:pPr>
        <w:pStyle w:val="MText"/>
        <w:rPr>
          <w:rFonts w:ascii="Calibri" w:hAnsi="Calibri" w:cs="Calibri"/>
          <w:shd w:val="clear" w:color="auto" w:fill="FFFFFF"/>
        </w:rPr>
      </w:pPr>
      <w:r>
        <w:rPr>
          <w:rFonts w:ascii="Calibri" w:hAnsi="Calibri" w:cs="Calibri"/>
          <w:shd w:val="clear" w:color="auto" w:fill="FFFFFF"/>
        </w:rPr>
        <w:t>UNICEF and ILO</w:t>
      </w:r>
    </w:p>
    <w:p w14:paraId="7DF5F920" w14:textId="77777777" w:rsidR="00113729" w:rsidRPr="00A96255" w:rsidRDefault="00113729" w:rsidP="00576CFA">
      <w:pPr>
        <w:pStyle w:val="MText"/>
      </w:pPr>
    </w:p>
    <w:p w14:paraId="5655E768" w14:textId="5429F32E" w:rsidR="00E46D96" w:rsidRPr="00A96255" w:rsidRDefault="00E46D96" w:rsidP="00F719A8">
      <w:pPr>
        <w:pStyle w:val="MHeader2"/>
      </w:pPr>
      <w:r w:rsidRPr="00A96255">
        <w:t>3.g. Institutional mandate</w:t>
      </w:r>
    </w:p>
    <w:p w14:paraId="6217EBD9" w14:textId="67CC9605" w:rsidR="008F2C16" w:rsidRPr="00A96255" w:rsidRDefault="008F2C16" w:rsidP="00AC4750">
      <w:pPr>
        <w:pStyle w:val="MText"/>
      </w:pPr>
      <w:r w:rsidRPr="008F2C16">
        <w:t xml:space="preserve">The ILO is the UN focal point for labour statistics. It sets international standards for labour statistics through the International Conference of Labour Statisticians. It also compiles and produces labour statistics with the goal of disseminating </w:t>
      </w:r>
      <w:r w:rsidR="00A40784" w:rsidRPr="008F2C16">
        <w:t>internationally comparable</w:t>
      </w:r>
      <w:r w:rsidRPr="008F2C16">
        <w:t xml:space="preserve"> datasets, and provides technical assistance and training to ILO member States to support their efforts to produce high quality </w:t>
      </w:r>
      <w:r w:rsidR="007913EB">
        <w:t xml:space="preserve">labour market </w:t>
      </w:r>
      <w:r w:rsidRPr="008F2C16">
        <w:t>data</w:t>
      </w:r>
      <w:r w:rsidR="007913EB">
        <w:t>, including child labour data</w:t>
      </w:r>
      <w:r w:rsidRPr="008F2C16">
        <w:t>.</w:t>
      </w:r>
    </w:p>
    <w:p w14:paraId="116664D6" w14:textId="272A706A" w:rsidR="007A147A" w:rsidRDefault="007A147A" w:rsidP="00576CFA">
      <w:pPr>
        <w:pStyle w:val="MText"/>
      </w:pPr>
    </w:p>
    <w:p w14:paraId="01B55DFC" w14:textId="710E8D4E" w:rsidR="007A147A" w:rsidRPr="00A96255" w:rsidRDefault="007A147A" w:rsidP="007A147A">
      <w:pPr>
        <w:pStyle w:val="MText"/>
      </w:pPr>
      <w:r>
        <w:t>UNICEF provides</w:t>
      </w:r>
      <w:r w:rsidRPr="008F2C16">
        <w:t xml:space="preserve"> technical </w:t>
      </w:r>
      <w:r>
        <w:t xml:space="preserve">and financial </w:t>
      </w:r>
      <w:r w:rsidRPr="008F2C16">
        <w:t xml:space="preserve">assistance to </w:t>
      </w:r>
      <w:r>
        <w:t>M</w:t>
      </w:r>
      <w:r w:rsidRPr="008F2C16">
        <w:t xml:space="preserve">ember States to support their efforts to </w:t>
      </w:r>
      <w:r>
        <w:t xml:space="preserve">collect </w:t>
      </w:r>
      <w:r w:rsidRPr="008F2C16">
        <w:t>high quality data</w:t>
      </w:r>
      <w:r>
        <w:t xml:space="preserve"> on child labour, including through UNICEF-supported MICS </w:t>
      </w:r>
      <w:r w:rsidR="00881BAA">
        <w:t>household survey</w:t>
      </w:r>
      <w:r>
        <w:t xml:space="preserve"> programme. UNICEF </w:t>
      </w:r>
      <w:r w:rsidRPr="008F2C16">
        <w:t xml:space="preserve">also compiles </w:t>
      </w:r>
      <w:r>
        <w:t xml:space="preserve">child labour </w:t>
      </w:r>
      <w:r w:rsidRPr="008F2C16">
        <w:t xml:space="preserve">statistics with the goal of </w:t>
      </w:r>
      <w:r>
        <w:t xml:space="preserve">making </w:t>
      </w:r>
      <w:r w:rsidRPr="008F2C16">
        <w:t>internationally comparable datasets</w:t>
      </w:r>
      <w:r>
        <w:t xml:space="preserve"> publicly available</w:t>
      </w:r>
      <w:r w:rsidRPr="008F2C16">
        <w:t>, and</w:t>
      </w:r>
      <w:r>
        <w:t xml:space="preserve"> </w:t>
      </w:r>
      <w:r w:rsidR="00881BAA">
        <w:t xml:space="preserve">it </w:t>
      </w:r>
      <w:proofErr w:type="spellStart"/>
      <w:r>
        <w:t>analyzes</w:t>
      </w:r>
      <w:proofErr w:type="spellEnd"/>
      <w:r>
        <w:t xml:space="preserve"> child labour </w:t>
      </w:r>
      <w:r w:rsidR="00246C97">
        <w:t xml:space="preserve">statistics, which are included </w:t>
      </w:r>
      <w:r>
        <w:t>in relevant data-driven publications</w:t>
      </w:r>
      <w:r w:rsidR="00881BAA">
        <w:t xml:space="preserve">, including in its flagship publication, </w:t>
      </w:r>
      <w:r w:rsidR="00881BAA" w:rsidRPr="00A40784">
        <w:rPr>
          <w:i/>
          <w:iCs/>
        </w:rPr>
        <w:t>The State of the World’s Children</w:t>
      </w:r>
      <w:r>
        <w:t xml:space="preserve">. </w:t>
      </w:r>
    </w:p>
    <w:p w14:paraId="007E209A" w14:textId="77777777" w:rsidR="007A147A" w:rsidRPr="00A96255" w:rsidRDefault="007A147A"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92689CB"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Far too many children in the world remain trapped in child labour, compromising their individual future and our collective futures. According to the latest ILO global estimates, about 152 million children worldwide – 64 million girls and 88 million boys - are child labourers, accounting for almost 10 percent of the child population.  These stark figures underscore the need for accelerated progress against child labour in the lead up to the 2025 target date for ending child labour in all its forms, and the accompanying need for child labour statistics </w:t>
      </w:r>
      <w:r>
        <w:rPr>
          <w:rStyle w:val="normaltextrun"/>
          <w:rFonts w:ascii="Calibri" w:hAnsi="Calibri" w:cs="Calibri"/>
          <w:color w:val="4A4A4A"/>
          <w:sz w:val="21"/>
          <w:szCs w:val="21"/>
          <w:shd w:val="clear" w:color="auto" w:fill="FFFFFF"/>
        </w:rPr>
        <w:t>to monitor and guide efforts in this regard.  Reliable, comprehensive and timely data on the nature and extent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provide a basis for determining priorities for national global action against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Statistical information on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and more broadly on all working children, also provide a basis for increasing public awareness of the situation of working children and for the development of appropriate regulatory frameworks and policies.</w:t>
      </w:r>
      <w:r>
        <w:rPr>
          <w:rStyle w:val="eop"/>
          <w:rFonts w:ascii="Calibri" w:hAnsi="Calibri" w:cs="Calibri"/>
          <w:color w:val="4A4A4A"/>
          <w:sz w:val="21"/>
          <w:szCs w:val="21"/>
        </w:rPr>
        <w:t> </w:t>
      </w:r>
    </w:p>
    <w:p w14:paraId="36811766"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B8D2E49"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Comments and limitations: </w:t>
      </w:r>
      <w:r>
        <w:rPr>
          <w:rStyle w:val="eop"/>
          <w:rFonts w:ascii="Calibri" w:hAnsi="Calibri" w:cs="Calibri"/>
          <w:b/>
          <w:bCs/>
          <w:color w:val="4A4A4A"/>
          <w:sz w:val="21"/>
          <w:szCs w:val="21"/>
        </w:rPr>
        <w:t> </w:t>
      </w:r>
    </w:p>
    <w:p w14:paraId="42356DB4" w14:textId="5B5E745F"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p>
    <w:p w14:paraId="16BE5B4C"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While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includes working in activities that are hazardous in nature, to ensure comparability of estimates over time and to minimize data quality issues, work beyond age-specific hourly thresholds are used as a proxy for hazardous work </w:t>
      </w:r>
      <w:proofErr w:type="gramStart"/>
      <w:r>
        <w:rPr>
          <w:rStyle w:val="normaltextrun"/>
          <w:rFonts w:ascii="Calibri" w:hAnsi="Calibri" w:cs="Calibri"/>
          <w:color w:val="4A4A4A"/>
          <w:sz w:val="21"/>
          <w:szCs w:val="21"/>
          <w:shd w:val="clear" w:color="auto" w:fill="FFFFFF"/>
        </w:rPr>
        <w:t>for the purpose of</w:t>
      </w:r>
      <w:proofErr w:type="gramEnd"/>
      <w:r>
        <w:rPr>
          <w:rStyle w:val="normaltextrun"/>
          <w:rFonts w:ascii="Calibri" w:hAnsi="Calibri" w:cs="Calibri"/>
          <w:color w:val="4A4A4A"/>
          <w:sz w:val="21"/>
          <w:szCs w:val="21"/>
          <w:shd w:val="clear" w:color="auto" w:fill="FFFFFF"/>
        </w:rPr>
        <w:t xml:space="preserve"> reporting on SDG indicator 8.7.1. Further methodological work is needed to validate questions specifically aimed at identifying children in hazardous working conditions.</w:t>
      </w:r>
      <w:r>
        <w:rPr>
          <w:rStyle w:val="eop"/>
          <w:rFonts w:ascii="Calibri" w:hAnsi="Calibri" w:cs="Calibri"/>
          <w:color w:val="4A4A4A"/>
          <w:sz w:val="21"/>
          <w:szCs w:val="21"/>
        </w:rPr>
        <w:t> </w:t>
      </w:r>
    </w:p>
    <w:p w14:paraId="1FC14256"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541A9AE8"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Similarly, while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other than hazardous also form part of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more broadly, data on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xml:space="preserve"> are not currently captured in regular </w:t>
      </w:r>
      <w:r>
        <w:rPr>
          <w:rStyle w:val="normaltextrun"/>
          <w:rFonts w:ascii="Calibri" w:hAnsi="Calibri" w:cs="Calibri"/>
          <w:color w:val="4A4A4A"/>
          <w:sz w:val="21"/>
          <w:szCs w:val="21"/>
          <w:shd w:val="clear" w:color="auto" w:fill="FFFFFF"/>
        </w:rPr>
        <w:lastRenderedPageBreak/>
        <w:t>household surveys given difficulties with accurately and reliably measuring it. Therefore, this element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is not captured by the indicators used for reporting on SDG 8.7.1.  </w:t>
      </w:r>
      <w:r>
        <w:rPr>
          <w:rStyle w:val="eop"/>
          <w:rFonts w:ascii="Calibri" w:hAnsi="Calibri" w:cs="Calibri"/>
          <w:color w:val="4A4A4A"/>
          <w:sz w:val="21"/>
          <w:szCs w:val="21"/>
        </w:rPr>
        <w:t> </w:t>
      </w:r>
    </w:p>
    <w:p w14:paraId="1BB5A2EE"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2238467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 xml:space="preserve">In addition, ‘own use production of goods’, including activities such as fetching water and collecting firewood, falls within the production boundary set by the United Nations System of National Accounts (SNA). However, </w:t>
      </w:r>
      <w:proofErr w:type="gramStart"/>
      <w:r>
        <w:rPr>
          <w:rStyle w:val="normaltextrun"/>
          <w:rFonts w:ascii="Calibri" w:hAnsi="Calibri" w:cs="Calibri"/>
          <w:color w:val="4A4A4A"/>
          <w:sz w:val="21"/>
          <w:szCs w:val="21"/>
          <w:shd w:val="clear" w:color="auto" w:fill="FFFFFF"/>
        </w:rPr>
        <w:t>for the purpose of</w:t>
      </w:r>
      <w:proofErr w:type="gramEnd"/>
      <w:r>
        <w:rPr>
          <w:rStyle w:val="normaltextrun"/>
          <w:rFonts w:ascii="Calibri" w:hAnsi="Calibri" w:cs="Calibri"/>
          <w:color w:val="4A4A4A"/>
          <w:sz w:val="21"/>
          <w:szCs w:val="21"/>
          <w:shd w:val="clear" w:color="auto" w:fill="FFFFFF"/>
        </w:rPr>
        <w:t xml:space="preserve"> SDG reporting of indicator 8.7.1, and with the goal of facilitating international comparability, fetching water and collecting firewood have been classified as unpaid household services (i.e., household chores), a form of production that lies outside the SNA production boundary. </w:t>
      </w:r>
      <w:r>
        <w:rPr>
          <w:rStyle w:val="eop"/>
          <w:rFonts w:ascii="Calibri" w:hAnsi="Calibri" w:cs="Calibri"/>
          <w:color w:val="4A4A4A"/>
          <w:sz w:val="21"/>
          <w:szCs w:val="21"/>
        </w:rPr>
        <w:t> </w:t>
      </w:r>
    </w:p>
    <w:p w14:paraId="63F46AC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32B0E71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More broadly, child labour estimates based on the statistical standards set out in the ICLS resolution represent useful benchmarks for international comparative purposes but are </w:t>
      </w:r>
      <w:r>
        <w:rPr>
          <w:rStyle w:val="normaltextrun"/>
          <w:rFonts w:ascii="Calibri" w:hAnsi="Calibri" w:cs="Calibri"/>
          <w:color w:val="4A4A4A"/>
          <w:sz w:val="21"/>
          <w:szCs w:val="21"/>
          <w:u w:val="single"/>
          <w:shd w:val="clear" w:color="auto" w:fill="FFFFFF"/>
          <w:lang w:val="en-GB"/>
        </w:rPr>
        <w:t>not</w:t>
      </w:r>
      <w:r>
        <w:rPr>
          <w:rStyle w:val="normaltextrun"/>
          <w:rFonts w:ascii="Calibri" w:hAnsi="Calibri" w:cs="Calibri"/>
          <w:color w:val="4A4A4A"/>
          <w:sz w:val="21"/>
          <w:szCs w:val="21"/>
          <w:shd w:val="clear" w:color="auto" w:fill="FFFFFF"/>
          <w:lang w:val="en-GB"/>
        </w:rPr>
        <w:t> necessarily consistent with estimates based on national child labour legislation. </w:t>
      </w:r>
      <w:r>
        <w:rPr>
          <w:rStyle w:val="normaltextrun"/>
          <w:rFonts w:ascii="Calibri" w:hAnsi="Calibri" w:cs="Calibri"/>
          <w:color w:val="4A4A4A"/>
          <w:sz w:val="21"/>
          <w:szCs w:val="21"/>
          <w:shd w:val="clear" w:color="auto" w:fill="FFFFFF"/>
        </w:rPr>
        <w:t xml:space="preserve">ILO Convention No. 138 contains </w:t>
      </w:r>
      <w:proofErr w:type="gramStart"/>
      <w:r>
        <w:rPr>
          <w:rStyle w:val="normaltextrun"/>
          <w:rFonts w:ascii="Calibri" w:hAnsi="Calibri" w:cs="Calibri"/>
          <w:color w:val="4A4A4A"/>
          <w:sz w:val="21"/>
          <w:szCs w:val="21"/>
          <w:shd w:val="clear" w:color="auto" w:fill="FFFFFF"/>
        </w:rPr>
        <w:t>a number of</w:t>
      </w:r>
      <w:proofErr w:type="gramEnd"/>
      <w:r>
        <w:rPr>
          <w:rStyle w:val="normaltextrun"/>
          <w:rFonts w:ascii="Calibri" w:hAnsi="Calibri" w:cs="Calibri"/>
          <w:color w:val="4A4A4A"/>
          <w:sz w:val="21"/>
          <w:szCs w:val="21"/>
          <w:shd w:val="clear" w:color="auto" w:fill="FFFFFF"/>
        </w:rPr>
        <w:t xml:space="preserve"> flexibility clauses left to the discretion of the competent national authority in consultation (where relevant) with workers’ and employers’ organizations (e.g., minimum ages, scope of application).</w:t>
      </w:r>
      <w:r>
        <w:rPr>
          <w:rStyle w:val="superscript"/>
          <w:rFonts w:ascii="Calibri" w:hAnsi="Calibri" w:cs="Calibri"/>
          <w:color w:val="4A4A4A"/>
          <w:sz w:val="16"/>
          <w:szCs w:val="16"/>
          <w:shd w:val="clear" w:color="auto" w:fill="FFFFFF"/>
          <w:vertAlign w:val="superscript"/>
          <w:lang w:val="en-GB"/>
        </w:rPr>
        <w:t>3</w:t>
      </w:r>
      <w:r>
        <w:rPr>
          <w:rStyle w:val="normaltextrun"/>
          <w:rFonts w:ascii="Calibri" w:hAnsi="Calibri" w:cs="Calibri"/>
          <w:color w:val="4A4A4A"/>
          <w:sz w:val="21"/>
          <w:szCs w:val="21"/>
          <w:shd w:val="clear" w:color="auto" w:fill="FFFFFF"/>
        </w:rPr>
        <w:t> This means that there is no single legal definition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across countries, and thus, no single statistical measure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consistent with national legislation across countries.</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05AD70F"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5-17: Number of children aged 5-17 reported in child labour during the week prior to the survey divided by the total number of children aged 5-17 in the population, multiplied by 100. </w:t>
      </w:r>
      <w:r>
        <w:rPr>
          <w:rStyle w:val="eop"/>
          <w:rFonts w:ascii="Calibri" w:hAnsi="Calibri" w:cs="Calibri"/>
          <w:color w:val="4A4A4A"/>
          <w:sz w:val="21"/>
          <w:szCs w:val="21"/>
        </w:rPr>
        <w:t> </w:t>
      </w:r>
    </w:p>
    <w:p w14:paraId="67F93F4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5FFE59B1"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5-14: Number of children aged 5-14 reported in child labour during the week prior to the survey divided by the total number of children aged 5-14 in the population, multiplied by 100. </w:t>
      </w:r>
      <w:r>
        <w:rPr>
          <w:rStyle w:val="eop"/>
          <w:rFonts w:ascii="Calibri" w:hAnsi="Calibri" w:cs="Calibri"/>
          <w:color w:val="4A4A4A"/>
          <w:sz w:val="21"/>
          <w:szCs w:val="21"/>
        </w:rPr>
        <w:t> </w:t>
      </w:r>
    </w:p>
    <w:p w14:paraId="3BC3CAA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141F2A2"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15-17: Number of children aged 15-17 reported child labour during the week prior to the survey divided by the total number of children aged 15-17 in the population, multiplied by 100. </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5C5C202" w14:textId="5713CFC8" w:rsidR="006D3D44" w:rsidRDefault="006D3D44" w:rsidP="005E716E">
      <w:pPr>
        <w:pStyle w:val="MText"/>
      </w:pPr>
      <w:r>
        <w:t xml:space="preserve">A wide consultative process is undertaken to compile, assess and validate data from national sources. </w:t>
      </w:r>
    </w:p>
    <w:p w14:paraId="11235AFD" w14:textId="59081004" w:rsidR="006D3D44" w:rsidRDefault="006D3D44" w:rsidP="006D3D44">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and discussed between the co-custodian agencies, UNICEF and ILO. Once reviewed, feedback is made available to countries on </w:t>
      </w:r>
      <w:proofErr w:type="gramStart"/>
      <w:r>
        <w:t>whether or not</w:t>
      </w:r>
      <w:proofErr w:type="gramEnd"/>
      <w:r>
        <w:t xml:space="preserve"> specific data points are accepted, and if not, the reasons why. </w:t>
      </w:r>
    </w:p>
    <w:p w14:paraId="34313870" w14:textId="77777777" w:rsidR="006D3D44" w:rsidRPr="00A96255" w:rsidRDefault="006D3D44" w:rsidP="00576CFA">
      <w:pPr>
        <w:pStyle w:val="MText"/>
      </w:pPr>
    </w:p>
    <w:p w14:paraId="0025F830" w14:textId="37584881"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24CAB78" w14:textId="77777777" w:rsidR="006D3D44" w:rsidRDefault="006D3D44" w:rsidP="005E716E">
      <w:pPr>
        <w:pStyle w:val="MText"/>
      </w:pPr>
      <w:r>
        <w:t>While the concept of child labour includes working in activities that are hazardous in nature, to ensure</w:t>
      </w:r>
    </w:p>
    <w:p w14:paraId="5D4EAC13" w14:textId="6BFAC1A2" w:rsidR="006D3D44" w:rsidRDefault="006D3D44" w:rsidP="006D3D44">
      <w:pPr>
        <w:pStyle w:val="MText"/>
      </w:pPr>
      <w:r>
        <w:t xml:space="preserve">comparability of estimates over time and to minimize data quality issues, work beyond age-specific hourly thresholds are used as a proxy for hazardous work </w:t>
      </w:r>
      <w:proofErr w:type="gramStart"/>
      <w:r>
        <w:t>for the purpose of</w:t>
      </w:r>
      <w:proofErr w:type="gramEnd"/>
      <w:r>
        <w:t xml:space="preserve"> reporting on SDG indicator 8.7.1. </w:t>
      </w:r>
      <w:r w:rsidR="00147A2B">
        <w:t xml:space="preserve"> </w:t>
      </w:r>
      <w:r>
        <w:t>Similarly, while the worst forms of child labour other than hazardous also form part of the concept of child</w:t>
      </w:r>
      <w:r w:rsidR="00147A2B">
        <w:t xml:space="preserve"> </w:t>
      </w:r>
      <w:r>
        <w:t>labour more broadly, data on the worst forms of child labour are not currently captured in regular household</w:t>
      </w:r>
      <w:r w:rsidR="00147A2B">
        <w:t xml:space="preserve"> </w:t>
      </w:r>
      <w:r>
        <w:t>surveys given difficulties with accurately and reliably measuring it. Therefore, this element of child labour is not</w:t>
      </w:r>
      <w:r w:rsidR="00147A2B">
        <w:t xml:space="preserve"> </w:t>
      </w:r>
      <w:r>
        <w:t>captured by the indicators used for reporting on SDG 8.7.1.</w:t>
      </w:r>
      <w:r w:rsidR="00147A2B">
        <w:t xml:space="preserve"> </w:t>
      </w:r>
      <w:r>
        <w:t>In addition, ‘own use production of goods’, including activities such as fetching water and collecting firewood,</w:t>
      </w:r>
    </w:p>
    <w:p w14:paraId="44FE2204" w14:textId="0BACA3C8" w:rsidR="006D3D44" w:rsidRPr="00A96255" w:rsidRDefault="006D3D44" w:rsidP="006D3D44">
      <w:pPr>
        <w:pStyle w:val="MText"/>
      </w:pPr>
      <w:r>
        <w:lastRenderedPageBreak/>
        <w:t xml:space="preserve">falls within the production boundary set by the United Nations System of National Accounts (SNA). However, </w:t>
      </w:r>
      <w:proofErr w:type="gramStart"/>
      <w:r>
        <w:t>for</w:t>
      </w:r>
      <w:r w:rsidR="00147A2B">
        <w:t xml:space="preserve"> </w:t>
      </w:r>
      <w:r>
        <w:t>the purpose of</w:t>
      </w:r>
      <w:proofErr w:type="gramEnd"/>
      <w:r>
        <w:t xml:space="preserve"> SDG reporting of indicator 8.7.1, and with the goal of facilitating international comparability,</w:t>
      </w:r>
      <w:r w:rsidR="00147A2B">
        <w:t xml:space="preserve"> </w:t>
      </w:r>
      <w:r>
        <w:t>fetching water and collecting firewood have been classified as unpaid household services (i.e., household</w:t>
      </w:r>
      <w:r w:rsidR="00147A2B">
        <w:t xml:space="preserve"> </w:t>
      </w:r>
      <w:r>
        <w:t>chores), a form of production that lies outside the SNA production boundary.</w:t>
      </w:r>
    </w:p>
    <w:p w14:paraId="6C2FF14C" w14:textId="534B992B" w:rsidR="00D379F1" w:rsidRPr="00A96255" w:rsidRDefault="00D379F1"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38DCEF4" w14:textId="77777777" w:rsidR="00D379F1" w:rsidRDefault="00D379F1" w:rsidP="00D379F1">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it-IT"/>
        </w:rPr>
        <w:t>At country level</w:t>
      </w:r>
      <w:r>
        <w:rPr>
          <w:rStyle w:val="eop"/>
          <w:rFonts w:ascii="Calibri" w:hAnsi="Calibri" w:cs="Calibri"/>
          <w:color w:val="1C75BC"/>
          <w:sz w:val="21"/>
          <w:szCs w:val="21"/>
        </w:rPr>
        <w:t> </w:t>
      </w:r>
    </w:p>
    <w:p w14:paraId="62493577"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2D94F35E"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rPr>
        <w:t>Country data are not published when data for a country are entirely missing</w:t>
      </w:r>
      <w:r>
        <w:rPr>
          <w:rStyle w:val="normaltextrun"/>
          <w:color w:val="4A4A4A"/>
          <w:sz w:val="21"/>
          <w:szCs w:val="21"/>
        </w:rPr>
        <w:t>.</w:t>
      </w:r>
      <w:r>
        <w:rPr>
          <w:rStyle w:val="eop"/>
          <w:color w:val="4A4A4A"/>
          <w:sz w:val="21"/>
          <w:szCs w:val="21"/>
        </w:rPr>
        <w:t> </w:t>
      </w:r>
    </w:p>
    <w:p w14:paraId="46492E85"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008A8833" w14:textId="77777777" w:rsidR="00D379F1" w:rsidRDefault="00D379F1" w:rsidP="00D379F1">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it-IT"/>
        </w:rPr>
        <w:t>At regional and global levels</w:t>
      </w:r>
      <w:r>
        <w:rPr>
          <w:rStyle w:val="eop"/>
          <w:rFonts w:ascii="Calibri" w:hAnsi="Calibri" w:cs="Calibri"/>
          <w:color w:val="1C75BC"/>
          <w:sz w:val="21"/>
          <w:szCs w:val="21"/>
        </w:rPr>
        <w:t> </w:t>
      </w:r>
    </w:p>
    <w:p w14:paraId="5D97C4DF"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22688FA2"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rPr>
        <w:t>The methodology for calculation of regional and global aggregates is still being discussed among co-custodian agencies.</w:t>
      </w:r>
      <w:r>
        <w:rPr>
          <w:rStyle w:val="eop"/>
          <w:rFonts w:ascii="Calibri" w:hAnsi="Calibri" w:cs="Calibri"/>
          <w:color w:val="4A4A4A"/>
          <w:sz w:val="21"/>
          <w:szCs w:val="21"/>
        </w:rPr>
        <w:t> </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765041D1" w:rsidR="00EC2915" w:rsidRDefault="00D379F1" w:rsidP="00576CFA">
      <w:pPr>
        <w:pStyle w:val="MText"/>
        <w:rPr>
          <w:rStyle w:val="eop"/>
          <w:rFonts w:ascii="Calibri" w:hAnsi="Calibri" w:cs="Calibri"/>
        </w:rPr>
      </w:pPr>
      <w:r>
        <w:rPr>
          <w:rStyle w:val="normaltextrun"/>
          <w:rFonts w:ascii="Calibri" w:hAnsi="Calibri" w:cs="Calibri"/>
          <w:shd w:val="clear" w:color="auto" w:fill="FFFFFF"/>
        </w:rPr>
        <w:t>The methodology for calculation of regional aggregates is still being discussed among co-custodian agencies.</w:t>
      </w:r>
      <w:r>
        <w:rPr>
          <w:rStyle w:val="eop"/>
          <w:rFonts w:ascii="Calibri" w:hAnsi="Calibri" w:cs="Calibri"/>
        </w:rPr>
        <w:t> </w:t>
      </w:r>
    </w:p>
    <w:p w14:paraId="7FF9F2B9" w14:textId="77777777" w:rsidR="00D379F1" w:rsidRPr="00A96255" w:rsidRDefault="00D379F1"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4B01BDAC" w:rsidR="00EC2915" w:rsidRDefault="00D379F1" w:rsidP="00576CFA">
      <w:pPr>
        <w:pStyle w:val="MText"/>
        <w:rPr>
          <w:rStyle w:val="eop"/>
          <w:rFonts w:ascii="Calibri" w:hAnsi="Calibri" w:cs="Calibri"/>
        </w:rPr>
      </w:pPr>
      <w:r>
        <w:rPr>
          <w:rStyle w:val="normaltextrun"/>
          <w:rFonts w:ascii="Calibri" w:hAnsi="Calibri" w:cs="Calibri"/>
        </w:rPr>
        <w:t>Countries gather data on child labour through household surveys such as National Labour Force Surveys, National Multipurpose Household Surveys, UNICEF-supported Multiple Indicator Cluster Surveys (MICS), Demographic and Health Surveys (DHS), ILO-supported Statistical Information and Monitoring Programme on Child Labour (SIMPOC), and World Bank Living Standard Measurement surveys (LSMS).</w:t>
      </w:r>
      <w:r>
        <w:rPr>
          <w:rStyle w:val="eop"/>
          <w:rFonts w:ascii="Calibri" w:hAnsi="Calibri" w:cs="Calibri"/>
        </w:rPr>
        <w:t> </w:t>
      </w:r>
    </w:p>
    <w:p w14:paraId="1CD6413C" w14:textId="77777777" w:rsidR="00D379F1" w:rsidRPr="00A96255" w:rsidRDefault="00D379F1"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44A3AEA4" w14:textId="14776DA0" w:rsidR="002F59A7" w:rsidRPr="00A96255" w:rsidRDefault="002F59A7" w:rsidP="00AC4750">
      <w:pPr>
        <w:pStyle w:val="MText"/>
      </w:pPr>
      <w:r>
        <w:t xml:space="preserve">The process behind the production of reliable statistics on child labour is well established within UNICEF and the ILO. </w:t>
      </w:r>
      <w:r w:rsidR="000626E4">
        <w:t xml:space="preserve">The quality and process leading to the production of the SDG indicator 8.7.1 is ensured by working closely with the statistical offices and other relevant stakeholders through a consultative process.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9FDE119"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UNICEF and ILO maintain the global database on child </w:t>
      </w:r>
      <w:proofErr w:type="spellStart"/>
      <w:r>
        <w:rPr>
          <w:rStyle w:val="normaltextrun"/>
          <w:rFonts w:ascii="Calibri" w:hAnsi="Calibri" w:cs="Calibri"/>
          <w:color w:val="4A4A4A"/>
          <w:sz w:val="21"/>
          <w:szCs w:val="21"/>
        </w:rPr>
        <w:t>labour</w:t>
      </w:r>
      <w:proofErr w:type="spellEnd"/>
      <w:r>
        <w:rPr>
          <w:rStyle w:val="normaltextrun"/>
          <w:rFonts w:ascii="Calibri" w:hAnsi="Calibri" w:cs="Calibri"/>
          <w:color w:val="4A4A4A"/>
          <w:sz w:val="21"/>
          <w:szCs w:val="21"/>
        </w:rPr>
        <w:t> that is used for official SDG reporting. Before the inclusion of any data point in the database, it is reviewed by technical focal points at UNICEF and ILO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r>
        <w:rPr>
          <w:rStyle w:val="eop"/>
          <w:rFonts w:ascii="Calibri" w:hAnsi="Calibri" w:cs="Calibri"/>
          <w:color w:val="4A4A4A"/>
          <w:sz w:val="21"/>
          <w:szCs w:val="21"/>
        </w:rPr>
        <w:t> </w:t>
      </w:r>
    </w:p>
    <w:p w14:paraId="1BB18102"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lastRenderedPageBreak/>
        <w:t> </w:t>
      </w:r>
    </w:p>
    <w:p w14:paraId="03AEE633"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8.7.1. More details on the process for the country consultation are outlined below. </w:t>
      </w:r>
      <w:r>
        <w:rPr>
          <w:rStyle w:val="eop"/>
          <w:rFonts w:ascii="Calibri" w:hAnsi="Calibri" w:cs="Calibri"/>
          <w:color w:val="4A4A4A"/>
          <w:sz w:val="21"/>
          <w:szCs w:val="21"/>
        </w:rPr>
        <w:t> </w:t>
      </w:r>
    </w:p>
    <w:p w14:paraId="295EF4DC" w14:textId="685D9034" w:rsidR="00D379F1" w:rsidRPr="00A96255" w:rsidRDefault="00D379F1"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94AD14A" w14:textId="7171465E" w:rsidR="008169AC" w:rsidRPr="00A96255" w:rsidRDefault="007913EB" w:rsidP="005E716E">
      <w:pPr>
        <w:pStyle w:val="MText"/>
      </w:pPr>
      <w:r w:rsidRPr="007913EB">
        <w:t xml:space="preserve">Data consistency and quality checks are regularly conducted for validation of the data before dissemination </w:t>
      </w:r>
    </w:p>
    <w:p w14:paraId="5B7C52CE" w14:textId="07AB553F" w:rsidR="00576CFA" w:rsidRPr="00A96255" w:rsidRDefault="00576CFA" w:rsidP="00576CFA">
      <w:pPr>
        <w:pStyle w:val="MText"/>
      </w:pPr>
    </w:p>
    <w:p w14:paraId="4CD8F3EF" w14:textId="02B1588F" w:rsidR="00F719A8" w:rsidRPr="00113729" w:rsidRDefault="00576CFA" w:rsidP="00113729">
      <w:pPr>
        <w:pStyle w:val="MHeader"/>
        <w:spacing w:after="100"/>
      </w:pPr>
      <w:r w:rsidRPr="00A96255">
        <w:t>5. Data availability and disaggregation</w:t>
      </w:r>
    </w:p>
    <w:p w14:paraId="464A8CCF" w14:textId="632DA280" w:rsidR="00576CFA" w:rsidRDefault="00D51E7C" w:rsidP="00576CFA">
      <w:pPr>
        <w:pStyle w:val="MText"/>
      </w:pPr>
      <w:r w:rsidRPr="00113729">
        <w:t>Data availability:</w:t>
      </w:r>
    </w:p>
    <w:p w14:paraId="445EEAF5" w14:textId="77777777" w:rsidR="00113729" w:rsidRDefault="00113729" w:rsidP="00113729">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Nationally representative and comparable data are currently available for around 90 low-and middle-income countries.</w:t>
      </w:r>
      <w:r>
        <w:rPr>
          <w:rStyle w:val="eop"/>
          <w:rFonts w:ascii="Calibri" w:hAnsi="Calibri" w:cs="Calibri"/>
          <w:color w:val="4A4A4A"/>
          <w:sz w:val="21"/>
          <w:szCs w:val="21"/>
        </w:rPr>
        <w:t> </w:t>
      </w:r>
    </w:p>
    <w:p w14:paraId="2D0542F7" w14:textId="330BFC43" w:rsidR="00D51E7C" w:rsidRPr="00C019E5" w:rsidRDefault="00D51E7C" w:rsidP="00576CFA">
      <w:pPr>
        <w:pStyle w:val="MText"/>
        <w:rPr>
          <w:highlight w:val="cyan"/>
        </w:rPr>
      </w:pPr>
    </w:p>
    <w:p w14:paraId="5853D6F7" w14:textId="45C8C3F8" w:rsidR="00D51E7C" w:rsidRPr="00113729" w:rsidRDefault="00D51E7C" w:rsidP="00576CFA">
      <w:pPr>
        <w:pStyle w:val="MText"/>
      </w:pPr>
      <w:r w:rsidRPr="00113729">
        <w:t>Time series:</w:t>
      </w:r>
    </w:p>
    <w:p w14:paraId="4212CECB" w14:textId="4098E06F" w:rsidR="00113729" w:rsidRPr="00C019E5" w:rsidRDefault="00113729" w:rsidP="00576CFA">
      <w:pPr>
        <w:pStyle w:val="MText"/>
        <w:rPr>
          <w:highlight w:val="cyan"/>
        </w:rPr>
      </w:pPr>
      <w:r>
        <w:rPr>
          <w:rStyle w:val="normaltextrun"/>
          <w:rFonts w:ascii="Calibri" w:hAnsi="Calibri" w:cs="Calibri"/>
          <w:shd w:val="clear" w:color="auto" w:fill="FFFFFF"/>
        </w:rPr>
        <w:t>Not available.</w:t>
      </w:r>
      <w:r>
        <w:rPr>
          <w:rStyle w:val="eop"/>
          <w:rFonts w:ascii="Calibri" w:hAnsi="Calibri" w:cs="Calibri"/>
        </w:rPr>
        <w:t> </w:t>
      </w:r>
    </w:p>
    <w:p w14:paraId="760C013A" w14:textId="4597FCBD" w:rsidR="00D51E7C" w:rsidRPr="00C019E5" w:rsidRDefault="00D51E7C" w:rsidP="00576CFA">
      <w:pPr>
        <w:pStyle w:val="MText"/>
        <w:rPr>
          <w:highlight w:val="cyan"/>
        </w:rPr>
      </w:pPr>
    </w:p>
    <w:p w14:paraId="72C7C370" w14:textId="2DCE1FFE" w:rsidR="00D51E7C" w:rsidRDefault="00D51E7C" w:rsidP="00576CFA">
      <w:pPr>
        <w:pStyle w:val="MText"/>
      </w:pPr>
      <w:r w:rsidRPr="00D379F1">
        <w:t>Disaggregation:</w:t>
      </w:r>
    </w:p>
    <w:p w14:paraId="57AE197B" w14:textId="5551579C" w:rsidR="00D379F1" w:rsidRDefault="00D379F1" w:rsidP="00576CFA">
      <w:pPr>
        <w:pStyle w:val="MText"/>
      </w:pPr>
      <w:r>
        <w:rPr>
          <w:rStyle w:val="normaltextrun"/>
          <w:rFonts w:ascii="Calibri" w:hAnsi="Calibri" w:cs="Calibri"/>
          <w:shd w:val="clear" w:color="auto" w:fill="FFFFFF"/>
        </w:rPr>
        <w:t>Sex and age. </w:t>
      </w:r>
      <w:r>
        <w:rPr>
          <w:rStyle w:val="eop"/>
          <w:rFonts w:ascii="Calibri" w:hAnsi="Calibri" w:cs="Calibri"/>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C441AC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rPr>
        <w:t>Sources of discrepancies:</w:t>
      </w:r>
      <w:r>
        <w:rPr>
          <w:rStyle w:val="eop"/>
          <w:rFonts w:ascii="Calibri" w:hAnsi="Calibri" w:cs="Calibri"/>
          <w:color w:val="4A4A4A"/>
          <w:sz w:val="21"/>
          <w:szCs w:val="21"/>
        </w:rPr>
        <w:t> </w:t>
      </w:r>
    </w:p>
    <w:p w14:paraId="0BC49E43"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0F832F4"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rPr>
        <w:t>The country estimates compiled</w:t>
      </w:r>
      <w:r>
        <w:rPr>
          <w:rStyle w:val="normaltextrun"/>
          <w:color w:val="4A4A4A"/>
          <w:sz w:val="21"/>
          <w:szCs w:val="21"/>
        </w:rPr>
        <w:t> </w:t>
      </w:r>
      <w:r>
        <w:rPr>
          <w:rStyle w:val="normaltextrun"/>
          <w:rFonts w:ascii="Calibri" w:hAnsi="Calibri" w:cs="Calibri"/>
          <w:color w:val="4A4A4A"/>
          <w:sz w:val="21"/>
          <w:szCs w:val="21"/>
        </w:rPr>
        <w:t>and presented in the global SDG database have been re-analyzed by UNICEF and ILO</w:t>
      </w:r>
      <w:r>
        <w:rPr>
          <w:rStyle w:val="normaltextrun"/>
          <w:color w:val="4A4A4A"/>
          <w:sz w:val="21"/>
          <w:szCs w:val="21"/>
        </w:rPr>
        <w:t> </w:t>
      </w:r>
      <w:r>
        <w:rPr>
          <w:rStyle w:val="normaltextrun"/>
          <w:rFonts w:ascii="Calibri" w:hAnsi="Calibri" w:cs="Calibri"/>
          <w:color w:val="4A4A4A"/>
          <w:sz w:val="21"/>
          <w:szCs w:val="21"/>
        </w:rPr>
        <w:t>in accordance with the definitions and criteria detailed above (see ‘Concepts’)</w:t>
      </w:r>
      <w:r>
        <w:rPr>
          <w:rStyle w:val="normaltextrun"/>
          <w:color w:val="4A4A4A"/>
          <w:sz w:val="21"/>
          <w:szCs w:val="21"/>
        </w:rPr>
        <w:t>.</w:t>
      </w:r>
      <w:r>
        <w:rPr>
          <w:rStyle w:val="normaltextrun"/>
          <w:rFonts w:ascii="Calibri" w:hAnsi="Calibri" w:cs="Calibri"/>
          <w:color w:val="4A4A4A"/>
          <w:sz w:val="21"/>
          <w:szCs w:val="21"/>
        </w:rPr>
        <w:t> This means that the country data values included in the global SDG database will differ from those published and presented in national survey reports. </w:t>
      </w:r>
      <w:r>
        <w:rPr>
          <w:rStyle w:val="eop"/>
          <w:rFonts w:ascii="Calibri" w:hAnsi="Calibri" w:cs="Calibri"/>
          <w:color w:val="4A4A4A"/>
          <w:sz w:val="21"/>
          <w:szCs w:val="21"/>
        </w:rPr>
        <w:t>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5D6E514" w14:textId="77777777" w:rsidR="00113729" w:rsidRDefault="00113729" w:rsidP="00113729">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URL: </w:t>
      </w:r>
      <w:r>
        <w:rPr>
          <w:rStyle w:val="eop"/>
          <w:rFonts w:ascii="Calibri" w:hAnsi="Calibri" w:cs="Calibri"/>
          <w:b/>
          <w:bCs/>
          <w:color w:val="4A4A4A"/>
          <w:sz w:val="21"/>
          <w:szCs w:val="21"/>
        </w:rPr>
        <w:t> </w:t>
      </w:r>
    </w:p>
    <w:p w14:paraId="301F2408" w14:textId="77777777" w:rsidR="00113729" w:rsidRDefault="00113729" w:rsidP="001137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data.unicef.org  </w:t>
      </w:r>
      <w:r>
        <w:rPr>
          <w:rStyle w:val="eop"/>
          <w:rFonts w:ascii="Calibri" w:hAnsi="Calibri" w:cs="Calibri"/>
          <w:sz w:val="22"/>
          <w:szCs w:val="22"/>
        </w:rPr>
        <w:t> </w:t>
      </w:r>
    </w:p>
    <w:p w14:paraId="35B612BC" w14:textId="77777777" w:rsidR="00113729" w:rsidRDefault="00112A18" w:rsidP="00113729">
      <w:pPr>
        <w:pStyle w:val="paragraph"/>
        <w:spacing w:before="0" w:beforeAutospacing="0" w:after="0" w:afterAutospacing="0"/>
        <w:textAlignment w:val="baseline"/>
        <w:rPr>
          <w:rFonts w:ascii="Segoe UI" w:hAnsi="Segoe UI" w:cs="Segoe UI"/>
          <w:sz w:val="18"/>
          <w:szCs w:val="18"/>
        </w:rPr>
      </w:pPr>
      <w:hyperlink r:id="rId11" w:tgtFrame="_blank" w:history="1">
        <w:r w:rsidR="00113729">
          <w:rPr>
            <w:rStyle w:val="normaltextrun"/>
            <w:rFonts w:ascii="Calibri" w:hAnsi="Calibri" w:cs="Calibri"/>
            <w:color w:val="0000FF"/>
            <w:sz w:val="22"/>
            <w:szCs w:val="22"/>
            <w:u w:val="single"/>
          </w:rPr>
          <w:t>http://www.ilo.org/ipec/ChildlabourstatisticsSIMPOC/Questionnairessurveysandreports/lang--en/index.htm</w:t>
        </w:r>
      </w:hyperlink>
      <w:r w:rsidR="00113729">
        <w:rPr>
          <w:rStyle w:val="normaltextrun"/>
          <w:rFonts w:ascii="Calibri" w:hAnsi="Calibri" w:cs="Calibri"/>
          <w:sz w:val="22"/>
          <w:szCs w:val="22"/>
        </w:rPr>
        <w:t> </w:t>
      </w:r>
      <w:r w:rsidR="00113729">
        <w:rPr>
          <w:rStyle w:val="eop"/>
          <w:rFonts w:ascii="Calibri" w:hAnsi="Calibri" w:cs="Calibri"/>
          <w:sz w:val="22"/>
          <w:szCs w:val="22"/>
        </w:rPr>
        <w:t> </w:t>
      </w:r>
    </w:p>
    <w:p w14:paraId="24F9893F" w14:textId="77777777" w:rsidR="00113729" w:rsidRDefault="00112A18" w:rsidP="00113729">
      <w:pPr>
        <w:pStyle w:val="paragraph"/>
        <w:spacing w:before="0" w:beforeAutospacing="0" w:after="0" w:afterAutospacing="0"/>
        <w:textAlignment w:val="baseline"/>
        <w:rPr>
          <w:rFonts w:ascii="Segoe UI" w:hAnsi="Segoe UI" w:cs="Segoe UI"/>
          <w:sz w:val="18"/>
          <w:szCs w:val="18"/>
        </w:rPr>
      </w:pPr>
      <w:hyperlink r:id="rId12" w:tgtFrame="_blank" w:history="1">
        <w:r w:rsidR="00113729">
          <w:rPr>
            <w:rStyle w:val="normaltextrun"/>
            <w:rFonts w:ascii="Calibri" w:hAnsi="Calibri" w:cs="Calibri"/>
            <w:color w:val="0000FF"/>
            <w:sz w:val="22"/>
            <w:szCs w:val="22"/>
            <w:u w:val="single"/>
          </w:rPr>
          <w:t>www.ucw-project.org</w:t>
        </w:r>
      </w:hyperlink>
      <w:r w:rsidR="00113729">
        <w:rPr>
          <w:rStyle w:val="normaltextrun"/>
          <w:rFonts w:ascii="Calibri" w:hAnsi="Calibri" w:cs="Calibri"/>
          <w:sz w:val="22"/>
          <w:szCs w:val="22"/>
        </w:rPr>
        <w:t> </w:t>
      </w:r>
      <w:r w:rsidR="00113729">
        <w:rPr>
          <w:rStyle w:val="eop"/>
          <w:rFonts w:ascii="Calibri" w:hAnsi="Calibri" w:cs="Calibri"/>
          <w:sz w:val="22"/>
          <w:szCs w:val="22"/>
        </w:rPr>
        <w:t> </w:t>
      </w:r>
    </w:p>
    <w:p w14:paraId="1412EC4A" w14:textId="77777777" w:rsidR="00113729" w:rsidRDefault="00113729" w:rsidP="00113729">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References: </w:t>
      </w:r>
      <w:r>
        <w:rPr>
          <w:rStyle w:val="eop"/>
          <w:rFonts w:ascii="Calibri" w:hAnsi="Calibri" w:cs="Calibri"/>
          <w:b/>
          <w:bCs/>
          <w:color w:val="4A4A4A"/>
          <w:sz w:val="21"/>
          <w:szCs w:val="21"/>
        </w:rPr>
        <w:t> </w:t>
      </w:r>
    </w:p>
    <w:p w14:paraId="34FF816A" w14:textId="77777777" w:rsidR="00113729" w:rsidRDefault="00112A18" w:rsidP="00113729">
      <w:pPr>
        <w:pStyle w:val="paragraph"/>
        <w:spacing w:before="0" w:beforeAutospacing="0" w:after="0" w:afterAutospacing="0"/>
        <w:textAlignment w:val="baseline"/>
        <w:rPr>
          <w:rFonts w:ascii="Segoe UI" w:hAnsi="Segoe UI" w:cs="Segoe UI"/>
          <w:sz w:val="18"/>
          <w:szCs w:val="18"/>
        </w:rPr>
      </w:pPr>
      <w:hyperlink r:id="rId13" w:tgtFrame="_blank" w:history="1">
        <w:r w:rsidR="00113729">
          <w:rPr>
            <w:rStyle w:val="normaltextrun"/>
            <w:rFonts w:ascii="Calibri" w:hAnsi="Calibri" w:cs="Calibri"/>
            <w:color w:val="0000FF"/>
            <w:sz w:val="22"/>
            <w:szCs w:val="22"/>
            <w:u w:val="single"/>
          </w:rPr>
          <w:t>http://data.unicef.org/child-protection/child-labour.html</w:t>
        </w:r>
      </w:hyperlink>
      <w:r w:rsidR="00113729">
        <w:rPr>
          <w:rStyle w:val="normaltextrun"/>
          <w:rFonts w:ascii="Calibri" w:hAnsi="Calibri" w:cs="Calibri"/>
          <w:sz w:val="22"/>
          <w:szCs w:val="22"/>
        </w:rPr>
        <w:t> </w:t>
      </w:r>
      <w:r w:rsidR="00113729">
        <w:rPr>
          <w:rStyle w:val="eop"/>
          <w:rFonts w:ascii="Calibri" w:hAnsi="Calibri" w:cs="Calibri"/>
          <w:sz w:val="22"/>
          <w:szCs w:val="22"/>
        </w:rPr>
        <w:t> </w:t>
      </w:r>
    </w:p>
    <w:p w14:paraId="491491A1" w14:textId="77777777" w:rsidR="00113729" w:rsidRDefault="00112A18" w:rsidP="00113729">
      <w:pPr>
        <w:pStyle w:val="paragraph"/>
        <w:spacing w:before="0" w:beforeAutospacing="0" w:after="0" w:afterAutospacing="0"/>
        <w:textAlignment w:val="baseline"/>
        <w:rPr>
          <w:rFonts w:ascii="Segoe UI" w:hAnsi="Segoe UI" w:cs="Segoe UI"/>
          <w:sz w:val="18"/>
          <w:szCs w:val="18"/>
        </w:rPr>
      </w:pPr>
      <w:hyperlink r:id="rId14" w:tgtFrame="_blank" w:history="1">
        <w:r w:rsidR="00113729">
          <w:rPr>
            <w:rStyle w:val="normaltextrun"/>
            <w:rFonts w:ascii="Calibri" w:hAnsi="Calibri" w:cs="Calibri"/>
            <w:color w:val="0000FF"/>
            <w:sz w:val="22"/>
            <w:szCs w:val="22"/>
            <w:u w:val="single"/>
          </w:rPr>
          <w:t>http://www.ilo.org/ipec/ChildlabourstatisticsSIMPOC/lang--</w:t>
        </w:r>
        <w:proofErr w:type="spellStart"/>
        <w:r w:rsidR="00113729">
          <w:rPr>
            <w:rStyle w:val="normaltextrun"/>
            <w:rFonts w:ascii="Calibri" w:hAnsi="Calibri" w:cs="Calibri"/>
            <w:color w:val="0000FF"/>
            <w:sz w:val="22"/>
            <w:szCs w:val="22"/>
            <w:u w:val="single"/>
          </w:rPr>
          <w:t>en</w:t>
        </w:r>
        <w:proofErr w:type="spellEnd"/>
        <w:r w:rsidR="00113729">
          <w:rPr>
            <w:rStyle w:val="normaltextrun"/>
            <w:rFonts w:ascii="Calibri" w:hAnsi="Calibri" w:cs="Calibri"/>
            <w:color w:val="0000FF"/>
            <w:sz w:val="22"/>
            <w:szCs w:val="22"/>
            <w:u w:val="single"/>
          </w:rPr>
          <w:t>/index.htm</w:t>
        </w:r>
      </w:hyperlink>
      <w:r w:rsidR="00113729">
        <w:rPr>
          <w:rStyle w:val="normaltextrun"/>
          <w:rFonts w:ascii="Calibri" w:hAnsi="Calibri" w:cs="Calibri"/>
          <w:sz w:val="22"/>
          <w:szCs w:val="22"/>
        </w:rPr>
        <w:t> </w:t>
      </w:r>
      <w:r w:rsidR="00113729">
        <w:rPr>
          <w:rStyle w:val="eop"/>
          <w:rFonts w:ascii="Calibri" w:hAnsi="Calibri" w:cs="Calibri"/>
          <w:sz w:val="22"/>
          <w:szCs w:val="22"/>
        </w:rPr>
        <w:t> </w:t>
      </w:r>
    </w:p>
    <w:p w14:paraId="3523AA53" w14:textId="77777777" w:rsidR="00113729" w:rsidRDefault="00112A18" w:rsidP="00113729">
      <w:pPr>
        <w:pStyle w:val="paragraph"/>
        <w:spacing w:before="0" w:beforeAutospacing="0" w:after="0" w:afterAutospacing="0"/>
        <w:textAlignment w:val="baseline"/>
        <w:rPr>
          <w:rFonts w:ascii="Segoe UI" w:hAnsi="Segoe UI" w:cs="Segoe UI"/>
          <w:sz w:val="18"/>
          <w:szCs w:val="18"/>
        </w:rPr>
      </w:pPr>
      <w:hyperlink r:id="rId15" w:tgtFrame="_blank" w:history="1">
        <w:r w:rsidR="00113729">
          <w:rPr>
            <w:rStyle w:val="normaltextrun"/>
            <w:rFonts w:ascii="Calibri" w:hAnsi="Calibri" w:cs="Calibri"/>
            <w:color w:val="0000FF"/>
            <w:sz w:val="22"/>
            <w:szCs w:val="22"/>
            <w:u w:val="single"/>
          </w:rPr>
          <w:t>www.ucw-project.org</w:t>
        </w:r>
      </w:hyperlink>
      <w:r w:rsidR="00113729">
        <w:rPr>
          <w:rStyle w:val="normaltextrun"/>
          <w:rFonts w:ascii="Calibri" w:hAnsi="Calibri" w:cs="Calibri"/>
          <w:sz w:val="22"/>
          <w:szCs w:val="22"/>
        </w:rPr>
        <w:t> </w:t>
      </w:r>
      <w:r w:rsidR="00113729">
        <w:rPr>
          <w:rStyle w:val="eop"/>
          <w:rFonts w:ascii="Calibri" w:hAnsi="Calibri" w:cs="Calibri"/>
          <w:sz w:val="22"/>
          <w:szCs w:val="22"/>
        </w:rPr>
        <w:t> </w:t>
      </w: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7F12A" w14:textId="77777777" w:rsidR="000D39AC" w:rsidRDefault="000D39AC" w:rsidP="00573C0B">
      <w:pPr>
        <w:spacing w:after="0" w:line="240" w:lineRule="auto"/>
      </w:pPr>
      <w:r>
        <w:separator/>
      </w:r>
    </w:p>
  </w:endnote>
  <w:endnote w:type="continuationSeparator" w:id="0">
    <w:p w14:paraId="267C1126" w14:textId="77777777" w:rsidR="000D39AC" w:rsidRDefault="000D39AC" w:rsidP="00573C0B">
      <w:pPr>
        <w:spacing w:after="0" w:line="240" w:lineRule="auto"/>
      </w:pPr>
      <w:r>
        <w:continuationSeparator/>
      </w:r>
    </w:p>
  </w:endnote>
  <w:endnote w:type="continuationNotice" w:id="1">
    <w:p w14:paraId="2AFFA2BA" w14:textId="77777777" w:rsidR="000D39AC" w:rsidRDefault="000D3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928D" w14:textId="77777777" w:rsidR="000D39AC" w:rsidRDefault="000D39AC" w:rsidP="00573C0B">
      <w:pPr>
        <w:spacing w:after="0" w:line="240" w:lineRule="auto"/>
      </w:pPr>
      <w:r>
        <w:separator/>
      </w:r>
    </w:p>
  </w:footnote>
  <w:footnote w:type="continuationSeparator" w:id="0">
    <w:p w14:paraId="2F269139" w14:textId="77777777" w:rsidR="000D39AC" w:rsidRDefault="000D39AC" w:rsidP="00573C0B">
      <w:pPr>
        <w:spacing w:after="0" w:line="240" w:lineRule="auto"/>
      </w:pPr>
      <w:r>
        <w:continuationSeparator/>
      </w:r>
    </w:p>
  </w:footnote>
  <w:footnote w:type="continuationNotice" w:id="1">
    <w:p w14:paraId="4B14250A" w14:textId="77777777" w:rsidR="000D39AC" w:rsidRDefault="000D39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A28E2B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12A18">
      <w:rPr>
        <w:color w:val="404040" w:themeColor="text1" w:themeTint="BF"/>
        <w:sz w:val="18"/>
        <w:szCs w:val="18"/>
      </w:rPr>
      <w:t>February</w:t>
    </w:r>
    <w:r w:rsidR="00112A18">
      <w:rPr>
        <w:color w:val="404040" w:themeColor="text1" w:themeTint="BF"/>
        <w:sz w:val="18"/>
        <w:szCs w:val="18"/>
      </w:rPr>
      <w:t xml:space="preserve"> </w:t>
    </w:r>
    <w:r w:rsidR="00E222F5">
      <w:rPr>
        <w:color w:val="404040" w:themeColor="text1" w:themeTint="BF"/>
        <w:sz w:val="18"/>
        <w:szCs w:val="18"/>
      </w:rPr>
      <w:t>20</w:t>
    </w:r>
    <w:r w:rsidR="00A40784">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5DB"/>
    <w:multiLevelType w:val="multilevel"/>
    <w:tmpl w:val="A3B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8F9"/>
    <w:multiLevelType w:val="multilevel"/>
    <w:tmpl w:val="DAF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80AB0"/>
    <w:multiLevelType w:val="multilevel"/>
    <w:tmpl w:val="67CE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858B6"/>
    <w:multiLevelType w:val="multilevel"/>
    <w:tmpl w:val="022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626E4"/>
    <w:rsid w:val="00071F07"/>
    <w:rsid w:val="0007759D"/>
    <w:rsid w:val="000777AB"/>
    <w:rsid w:val="00077F46"/>
    <w:rsid w:val="00090FB1"/>
    <w:rsid w:val="00096186"/>
    <w:rsid w:val="000A72E4"/>
    <w:rsid w:val="000B0E2F"/>
    <w:rsid w:val="000B2430"/>
    <w:rsid w:val="000C14BD"/>
    <w:rsid w:val="000D0B30"/>
    <w:rsid w:val="000D39AC"/>
    <w:rsid w:val="000E21F1"/>
    <w:rsid w:val="000F703E"/>
    <w:rsid w:val="00112A18"/>
    <w:rsid w:val="00113729"/>
    <w:rsid w:val="00120E86"/>
    <w:rsid w:val="00125DE9"/>
    <w:rsid w:val="001332E0"/>
    <w:rsid w:val="00134DE7"/>
    <w:rsid w:val="00147A2B"/>
    <w:rsid w:val="00185354"/>
    <w:rsid w:val="001854DC"/>
    <w:rsid w:val="00186795"/>
    <w:rsid w:val="00194D09"/>
    <w:rsid w:val="001A7D5C"/>
    <w:rsid w:val="001B60AA"/>
    <w:rsid w:val="001B63C8"/>
    <w:rsid w:val="001C1972"/>
    <w:rsid w:val="001C421F"/>
    <w:rsid w:val="001D360D"/>
    <w:rsid w:val="001E4EA9"/>
    <w:rsid w:val="002427DA"/>
    <w:rsid w:val="00246C97"/>
    <w:rsid w:val="00261A8D"/>
    <w:rsid w:val="00277E70"/>
    <w:rsid w:val="00283C1C"/>
    <w:rsid w:val="00291A00"/>
    <w:rsid w:val="00291A11"/>
    <w:rsid w:val="002A315C"/>
    <w:rsid w:val="002A3342"/>
    <w:rsid w:val="002A3DB5"/>
    <w:rsid w:val="002A64BA"/>
    <w:rsid w:val="002B4989"/>
    <w:rsid w:val="002C2510"/>
    <w:rsid w:val="002C71C9"/>
    <w:rsid w:val="002D714E"/>
    <w:rsid w:val="002E53C3"/>
    <w:rsid w:val="002F1468"/>
    <w:rsid w:val="002F59A7"/>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4F60C0"/>
    <w:rsid w:val="004F60DA"/>
    <w:rsid w:val="00502DBA"/>
    <w:rsid w:val="005040C4"/>
    <w:rsid w:val="00507637"/>
    <w:rsid w:val="00507852"/>
    <w:rsid w:val="00514DBF"/>
    <w:rsid w:val="005174AF"/>
    <w:rsid w:val="00534636"/>
    <w:rsid w:val="00550921"/>
    <w:rsid w:val="00563712"/>
    <w:rsid w:val="00573631"/>
    <w:rsid w:val="00573C0B"/>
    <w:rsid w:val="005768D7"/>
    <w:rsid w:val="00576CFA"/>
    <w:rsid w:val="0058556D"/>
    <w:rsid w:val="00592AF2"/>
    <w:rsid w:val="005947AD"/>
    <w:rsid w:val="00597748"/>
    <w:rsid w:val="005979E8"/>
    <w:rsid w:val="005D0AF4"/>
    <w:rsid w:val="005E54BD"/>
    <w:rsid w:val="005E716E"/>
    <w:rsid w:val="005F6CCA"/>
    <w:rsid w:val="006104AF"/>
    <w:rsid w:val="00621893"/>
    <w:rsid w:val="006351E1"/>
    <w:rsid w:val="006447B1"/>
    <w:rsid w:val="00662775"/>
    <w:rsid w:val="006852FC"/>
    <w:rsid w:val="006B40AB"/>
    <w:rsid w:val="006B5DC5"/>
    <w:rsid w:val="006C4BFD"/>
    <w:rsid w:val="006C7D30"/>
    <w:rsid w:val="006D3D44"/>
    <w:rsid w:val="006E3C08"/>
    <w:rsid w:val="00700ACF"/>
    <w:rsid w:val="00712487"/>
    <w:rsid w:val="007530CA"/>
    <w:rsid w:val="00756D68"/>
    <w:rsid w:val="007578D9"/>
    <w:rsid w:val="00757E8A"/>
    <w:rsid w:val="00763E43"/>
    <w:rsid w:val="00764EB5"/>
    <w:rsid w:val="00777A95"/>
    <w:rsid w:val="00782416"/>
    <w:rsid w:val="00786477"/>
    <w:rsid w:val="007913EB"/>
    <w:rsid w:val="007A147A"/>
    <w:rsid w:val="007B0364"/>
    <w:rsid w:val="007D0981"/>
    <w:rsid w:val="007D1929"/>
    <w:rsid w:val="00803CF1"/>
    <w:rsid w:val="00807071"/>
    <w:rsid w:val="008104BB"/>
    <w:rsid w:val="008169AC"/>
    <w:rsid w:val="008249C5"/>
    <w:rsid w:val="008526F9"/>
    <w:rsid w:val="0085285E"/>
    <w:rsid w:val="00853023"/>
    <w:rsid w:val="008534D4"/>
    <w:rsid w:val="00881BAA"/>
    <w:rsid w:val="00881E28"/>
    <w:rsid w:val="00894C4B"/>
    <w:rsid w:val="008A12E3"/>
    <w:rsid w:val="008A42FA"/>
    <w:rsid w:val="008B0AC7"/>
    <w:rsid w:val="008C2335"/>
    <w:rsid w:val="008C67C1"/>
    <w:rsid w:val="008D1D39"/>
    <w:rsid w:val="008E02DC"/>
    <w:rsid w:val="008F07D2"/>
    <w:rsid w:val="008F2C16"/>
    <w:rsid w:val="00911CC7"/>
    <w:rsid w:val="00917851"/>
    <w:rsid w:val="00917F65"/>
    <w:rsid w:val="009311E7"/>
    <w:rsid w:val="00942694"/>
    <w:rsid w:val="009A7E3A"/>
    <w:rsid w:val="009B1265"/>
    <w:rsid w:val="009B4A15"/>
    <w:rsid w:val="009B5693"/>
    <w:rsid w:val="009C61A2"/>
    <w:rsid w:val="009C78E4"/>
    <w:rsid w:val="009D687E"/>
    <w:rsid w:val="009F6DE7"/>
    <w:rsid w:val="00A10583"/>
    <w:rsid w:val="00A372D0"/>
    <w:rsid w:val="00A37FCB"/>
    <w:rsid w:val="00A40784"/>
    <w:rsid w:val="00A54863"/>
    <w:rsid w:val="00A61D74"/>
    <w:rsid w:val="00A8688B"/>
    <w:rsid w:val="00A91163"/>
    <w:rsid w:val="00A9286F"/>
    <w:rsid w:val="00A96255"/>
    <w:rsid w:val="00AB285B"/>
    <w:rsid w:val="00AC4750"/>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53DBA"/>
    <w:rsid w:val="00CB4371"/>
    <w:rsid w:val="00CC516D"/>
    <w:rsid w:val="00D24330"/>
    <w:rsid w:val="00D379F1"/>
    <w:rsid w:val="00D40056"/>
    <w:rsid w:val="00D51E7C"/>
    <w:rsid w:val="00D54F29"/>
    <w:rsid w:val="00D7020C"/>
    <w:rsid w:val="00D70AD9"/>
    <w:rsid w:val="00D72152"/>
    <w:rsid w:val="00D7354B"/>
    <w:rsid w:val="00D94BA5"/>
    <w:rsid w:val="00D9510F"/>
    <w:rsid w:val="00DA615C"/>
    <w:rsid w:val="00DD1BC6"/>
    <w:rsid w:val="00DE5DC3"/>
    <w:rsid w:val="00E00D8A"/>
    <w:rsid w:val="00E1050F"/>
    <w:rsid w:val="00E11604"/>
    <w:rsid w:val="00E11D92"/>
    <w:rsid w:val="00E130A0"/>
    <w:rsid w:val="00E210C4"/>
    <w:rsid w:val="00E222F5"/>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77BE9"/>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379F1"/>
  </w:style>
  <w:style w:type="character" w:customStyle="1" w:styleId="eop">
    <w:name w:val="eop"/>
    <w:basedOn w:val="DefaultParagraphFont"/>
    <w:rsid w:val="00D379F1"/>
  </w:style>
  <w:style w:type="paragraph" w:customStyle="1" w:styleId="paragraph">
    <w:name w:val="paragraph"/>
    <w:basedOn w:val="Normal"/>
    <w:rsid w:val="00D379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D3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1965">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0">
          <w:marLeft w:val="0"/>
          <w:marRight w:val="0"/>
          <w:marTop w:val="0"/>
          <w:marBottom w:val="0"/>
          <w:divBdr>
            <w:top w:val="none" w:sz="0" w:space="0" w:color="auto"/>
            <w:left w:val="none" w:sz="0" w:space="0" w:color="auto"/>
            <w:bottom w:val="none" w:sz="0" w:space="0" w:color="auto"/>
            <w:right w:val="none" w:sz="0" w:space="0" w:color="auto"/>
          </w:divBdr>
        </w:div>
        <w:div w:id="558636636">
          <w:marLeft w:val="0"/>
          <w:marRight w:val="0"/>
          <w:marTop w:val="0"/>
          <w:marBottom w:val="0"/>
          <w:divBdr>
            <w:top w:val="none" w:sz="0" w:space="0" w:color="auto"/>
            <w:left w:val="none" w:sz="0" w:space="0" w:color="auto"/>
            <w:bottom w:val="none" w:sz="0" w:space="0" w:color="auto"/>
            <w:right w:val="none" w:sz="0" w:space="0" w:color="auto"/>
          </w:divBdr>
        </w:div>
        <w:div w:id="859204174">
          <w:marLeft w:val="0"/>
          <w:marRight w:val="0"/>
          <w:marTop w:val="0"/>
          <w:marBottom w:val="0"/>
          <w:divBdr>
            <w:top w:val="none" w:sz="0" w:space="0" w:color="auto"/>
            <w:left w:val="none" w:sz="0" w:space="0" w:color="auto"/>
            <w:bottom w:val="none" w:sz="0" w:space="0" w:color="auto"/>
            <w:right w:val="none" w:sz="0" w:space="0" w:color="auto"/>
          </w:divBdr>
        </w:div>
        <w:div w:id="1605108513">
          <w:marLeft w:val="0"/>
          <w:marRight w:val="0"/>
          <w:marTop w:val="0"/>
          <w:marBottom w:val="0"/>
          <w:divBdr>
            <w:top w:val="none" w:sz="0" w:space="0" w:color="auto"/>
            <w:left w:val="none" w:sz="0" w:space="0" w:color="auto"/>
            <w:bottom w:val="none" w:sz="0" w:space="0" w:color="auto"/>
            <w:right w:val="none" w:sz="0" w:space="0" w:color="auto"/>
          </w:divBdr>
        </w:div>
        <w:div w:id="187840823">
          <w:marLeft w:val="0"/>
          <w:marRight w:val="0"/>
          <w:marTop w:val="0"/>
          <w:marBottom w:val="0"/>
          <w:divBdr>
            <w:top w:val="none" w:sz="0" w:space="0" w:color="auto"/>
            <w:left w:val="none" w:sz="0" w:space="0" w:color="auto"/>
            <w:bottom w:val="none" w:sz="0" w:space="0" w:color="auto"/>
            <w:right w:val="none" w:sz="0" w:space="0" w:color="auto"/>
          </w:divBdr>
        </w:div>
      </w:divsChild>
    </w:div>
    <w:div w:id="59209255">
      <w:bodyDiv w:val="1"/>
      <w:marLeft w:val="0"/>
      <w:marRight w:val="0"/>
      <w:marTop w:val="0"/>
      <w:marBottom w:val="0"/>
      <w:divBdr>
        <w:top w:val="none" w:sz="0" w:space="0" w:color="auto"/>
        <w:left w:val="none" w:sz="0" w:space="0" w:color="auto"/>
        <w:bottom w:val="none" w:sz="0" w:space="0" w:color="auto"/>
        <w:right w:val="none" w:sz="0" w:space="0" w:color="auto"/>
      </w:divBdr>
      <w:divsChild>
        <w:div w:id="962350571">
          <w:marLeft w:val="0"/>
          <w:marRight w:val="0"/>
          <w:marTop w:val="0"/>
          <w:marBottom w:val="0"/>
          <w:divBdr>
            <w:top w:val="none" w:sz="0" w:space="0" w:color="auto"/>
            <w:left w:val="none" w:sz="0" w:space="0" w:color="auto"/>
            <w:bottom w:val="none" w:sz="0" w:space="0" w:color="auto"/>
            <w:right w:val="none" w:sz="0" w:space="0" w:color="auto"/>
          </w:divBdr>
        </w:div>
        <w:div w:id="1218858867">
          <w:marLeft w:val="0"/>
          <w:marRight w:val="0"/>
          <w:marTop w:val="0"/>
          <w:marBottom w:val="0"/>
          <w:divBdr>
            <w:top w:val="none" w:sz="0" w:space="0" w:color="auto"/>
            <w:left w:val="none" w:sz="0" w:space="0" w:color="auto"/>
            <w:bottom w:val="none" w:sz="0" w:space="0" w:color="auto"/>
            <w:right w:val="none" w:sz="0" w:space="0" w:color="auto"/>
          </w:divBdr>
        </w:div>
      </w:divsChild>
    </w:div>
    <w:div w:id="114836987">
      <w:bodyDiv w:val="1"/>
      <w:marLeft w:val="0"/>
      <w:marRight w:val="0"/>
      <w:marTop w:val="0"/>
      <w:marBottom w:val="0"/>
      <w:divBdr>
        <w:top w:val="none" w:sz="0" w:space="0" w:color="auto"/>
        <w:left w:val="none" w:sz="0" w:space="0" w:color="auto"/>
        <w:bottom w:val="none" w:sz="0" w:space="0" w:color="auto"/>
        <w:right w:val="none" w:sz="0" w:space="0" w:color="auto"/>
      </w:divBdr>
      <w:divsChild>
        <w:div w:id="722601946">
          <w:marLeft w:val="0"/>
          <w:marRight w:val="0"/>
          <w:marTop w:val="0"/>
          <w:marBottom w:val="0"/>
          <w:divBdr>
            <w:top w:val="none" w:sz="0" w:space="0" w:color="auto"/>
            <w:left w:val="none" w:sz="0" w:space="0" w:color="auto"/>
            <w:bottom w:val="none" w:sz="0" w:space="0" w:color="auto"/>
            <w:right w:val="none" w:sz="0" w:space="0" w:color="auto"/>
          </w:divBdr>
        </w:div>
        <w:div w:id="776213403">
          <w:marLeft w:val="0"/>
          <w:marRight w:val="0"/>
          <w:marTop w:val="0"/>
          <w:marBottom w:val="0"/>
          <w:divBdr>
            <w:top w:val="none" w:sz="0" w:space="0" w:color="auto"/>
            <w:left w:val="none" w:sz="0" w:space="0" w:color="auto"/>
            <w:bottom w:val="none" w:sz="0" w:space="0" w:color="auto"/>
            <w:right w:val="none" w:sz="0" w:space="0" w:color="auto"/>
          </w:divBdr>
        </w:div>
        <w:div w:id="834226498">
          <w:marLeft w:val="0"/>
          <w:marRight w:val="0"/>
          <w:marTop w:val="0"/>
          <w:marBottom w:val="0"/>
          <w:divBdr>
            <w:top w:val="none" w:sz="0" w:space="0" w:color="auto"/>
            <w:left w:val="none" w:sz="0" w:space="0" w:color="auto"/>
            <w:bottom w:val="none" w:sz="0" w:space="0" w:color="auto"/>
            <w:right w:val="none" w:sz="0" w:space="0" w:color="auto"/>
          </w:divBdr>
        </w:div>
      </w:divsChild>
    </w:div>
    <w:div w:id="217325569">
      <w:bodyDiv w:val="1"/>
      <w:marLeft w:val="0"/>
      <w:marRight w:val="0"/>
      <w:marTop w:val="0"/>
      <w:marBottom w:val="0"/>
      <w:divBdr>
        <w:top w:val="none" w:sz="0" w:space="0" w:color="auto"/>
        <w:left w:val="none" w:sz="0" w:space="0" w:color="auto"/>
        <w:bottom w:val="none" w:sz="0" w:space="0" w:color="auto"/>
        <w:right w:val="none" w:sz="0" w:space="0" w:color="auto"/>
      </w:divBdr>
      <w:divsChild>
        <w:div w:id="1076827480">
          <w:marLeft w:val="0"/>
          <w:marRight w:val="0"/>
          <w:marTop w:val="0"/>
          <w:marBottom w:val="0"/>
          <w:divBdr>
            <w:top w:val="none" w:sz="0" w:space="0" w:color="auto"/>
            <w:left w:val="none" w:sz="0" w:space="0" w:color="auto"/>
            <w:bottom w:val="none" w:sz="0" w:space="0" w:color="auto"/>
            <w:right w:val="none" w:sz="0" w:space="0" w:color="auto"/>
          </w:divBdr>
        </w:div>
        <w:div w:id="1293905092">
          <w:marLeft w:val="0"/>
          <w:marRight w:val="0"/>
          <w:marTop w:val="0"/>
          <w:marBottom w:val="0"/>
          <w:divBdr>
            <w:top w:val="none" w:sz="0" w:space="0" w:color="auto"/>
            <w:left w:val="none" w:sz="0" w:space="0" w:color="auto"/>
            <w:bottom w:val="none" w:sz="0" w:space="0" w:color="auto"/>
            <w:right w:val="none" w:sz="0" w:space="0" w:color="auto"/>
          </w:divBdr>
        </w:div>
        <w:div w:id="939723644">
          <w:marLeft w:val="0"/>
          <w:marRight w:val="0"/>
          <w:marTop w:val="0"/>
          <w:marBottom w:val="0"/>
          <w:divBdr>
            <w:top w:val="none" w:sz="0" w:space="0" w:color="auto"/>
            <w:left w:val="none" w:sz="0" w:space="0" w:color="auto"/>
            <w:bottom w:val="none" w:sz="0" w:space="0" w:color="auto"/>
            <w:right w:val="none" w:sz="0" w:space="0" w:color="auto"/>
          </w:divBdr>
        </w:div>
      </w:divsChild>
    </w:div>
    <w:div w:id="430971387">
      <w:bodyDiv w:val="1"/>
      <w:marLeft w:val="0"/>
      <w:marRight w:val="0"/>
      <w:marTop w:val="0"/>
      <w:marBottom w:val="0"/>
      <w:divBdr>
        <w:top w:val="none" w:sz="0" w:space="0" w:color="auto"/>
        <w:left w:val="none" w:sz="0" w:space="0" w:color="auto"/>
        <w:bottom w:val="none" w:sz="0" w:space="0" w:color="auto"/>
        <w:right w:val="none" w:sz="0" w:space="0" w:color="auto"/>
      </w:divBdr>
      <w:divsChild>
        <w:div w:id="1947468019">
          <w:marLeft w:val="0"/>
          <w:marRight w:val="0"/>
          <w:marTop w:val="0"/>
          <w:marBottom w:val="0"/>
          <w:divBdr>
            <w:top w:val="none" w:sz="0" w:space="0" w:color="auto"/>
            <w:left w:val="none" w:sz="0" w:space="0" w:color="auto"/>
            <w:bottom w:val="none" w:sz="0" w:space="0" w:color="auto"/>
            <w:right w:val="none" w:sz="0" w:space="0" w:color="auto"/>
          </w:divBdr>
        </w:div>
        <w:div w:id="784883673">
          <w:marLeft w:val="0"/>
          <w:marRight w:val="0"/>
          <w:marTop w:val="0"/>
          <w:marBottom w:val="0"/>
          <w:divBdr>
            <w:top w:val="none" w:sz="0" w:space="0" w:color="auto"/>
            <w:left w:val="none" w:sz="0" w:space="0" w:color="auto"/>
            <w:bottom w:val="none" w:sz="0" w:space="0" w:color="auto"/>
            <w:right w:val="none" w:sz="0" w:space="0" w:color="auto"/>
          </w:divBdr>
        </w:div>
        <w:div w:id="555431704">
          <w:marLeft w:val="0"/>
          <w:marRight w:val="0"/>
          <w:marTop w:val="0"/>
          <w:marBottom w:val="0"/>
          <w:divBdr>
            <w:top w:val="none" w:sz="0" w:space="0" w:color="auto"/>
            <w:left w:val="none" w:sz="0" w:space="0" w:color="auto"/>
            <w:bottom w:val="none" w:sz="0" w:space="0" w:color="auto"/>
            <w:right w:val="none" w:sz="0" w:space="0" w:color="auto"/>
          </w:divBdr>
        </w:div>
      </w:divsChild>
    </w:div>
    <w:div w:id="587889921">
      <w:bodyDiv w:val="1"/>
      <w:marLeft w:val="0"/>
      <w:marRight w:val="0"/>
      <w:marTop w:val="0"/>
      <w:marBottom w:val="0"/>
      <w:divBdr>
        <w:top w:val="none" w:sz="0" w:space="0" w:color="auto"/>
        <w:left w:val="none" w:sz="0" w:space="0" w:color="auto"/>
        <w:bottom w:val="none" w:sz="0" w:space="0" w:color="auto"/>
        <w:right w:val="none" w:sz="0" w:space="0" w:color="auto"/>
      </w:divBdr>
      <w:divsChild>
        <w:div w:id="866716779">
          <w:marLeft w:val="0"/>
          <w:marRight w:val="0"/>
          <w:marTop w:val="0"/>
          <w:marBottom w:val="0"/>
          <w:divBdr>
            <w:top w:val="none" w:sz="0" w:space="0" w:color="auto"/>
            <w:left w:val="none" w:sz="0" w:space="0" w:color="auto"/>
            <w:bottom w:val="none" w:sz="0" w:space="0" w:color="auto"/>
            <w:right w:val="none" w:sz="0" w:space="0" w:color="auto"/>
          </w:divBdr>
        </w:div>
        <w:div w:id="2068840534">
          <w:marLeft w:val="0"/>
          <w:marRight w:val="0"/>
          <w:marTop w:val="0"/>
          <w:marBottom w:val="0"/>
          <w:divBdr>
            <w:top w:val="none" w:sz="0" w:space="0" w:color="auto"/>
            <w:left w:val="none" w:sz="0" w:space="0" w:color="auto"/>
            <w:bottom w:val="none" w:sz="0" w:space="0" w:color="auto"/>
            <w:right w:val="none" w:sz="0" w:space="0" w:color="auto"/>
          </w:divBdr>
        </w:div>
        <w:div w:id="1853566592">
          <w:marLeft w:val="0"/>
          <w:marRight w:val="0"/>
          <w:marTop w:val="0"/>
          <w:marBottom w:val="0"/>
          <w:divBdr>
            <w:top w:val="none" w:sz="0" w:space="0" w:color="auto"/>
            <w:left w:val="none" w:sz="0" w:space="0" w:color="auto"/>
            <w:bottom w:val="none" w:sz="0" w:space="0" w:color="auto"/>
            <w:right w:val="none" w:sz="0" w:space="0" w:color="auto"/>
          </w:divBdr>
        </w:div>
        <w:div w:id="2035572351">
          <w:marLeft w:val="0"/>
          <w:marRight w:val="0"/>
          <w:marTop w:val="0"/>
          <w:marBottom w:val="0"/>
          <w:divBdr>
            <w:top w:val="none" w:sz="0" w:space="0" w:color="auto"/>
            <w:left w:val="none" w:sz="0" w:space="0" w:color="auto"/>
            <w:bottom w:val="none" w:sz="0" w:space="0" w:color="auto"/>
            <w:right w:val="none" w:sz="0" w:space="0" w:color="auto"/>
          </w:divBdr>
        </w:div>
        <w:div w:id="1135873858">
          <w:marLeft w:val="0"/>
          <w:marRight w:val="0"/>
          <w:marTop w:val="0"/>
          <w:marBottom w:val="0"/>
          <w:divBdr>
            <w:top w:val="none" w:sz="0" w:space="0" w:color="auto"/>
            <w:left w:val="none" w:sz="0" w:space="0" w:color="auto"/>
            <w:bottom w:val="none" w:sz="0" w:space="0" w:color="auto"/>
            <w:right w:val="none" w:sz="0" w:space="0" w:color="auto"/>
          </w:divBdr>
        </w:div>
        <w:div w:id="1461873911">
          <w:marLeft w:val="0"/>
          <w:marRight w:val="0"/>
          <w:marTop w:val="0"/>
          <w:marBottom w:val="0"/>
          <w:divBdr>
            <w:top w:val="none" w:sz="0" w:space="0" w:color="auto"/>
            <w:left w:val="none" w:sz="0" w:space="0" w:color="auto"/>
            <w:bottom w:val="none" w:sz="0" w:space="0" w:color="auto"/>
            <w:right w:val="none" w:sz="0" w:space="0" w:color="auto"/>
          </w:divBdr>
        </w:div>
        <w:div w:id="1822648964">
          <w:marLeft w:val="0"/>
          <w:marRight w:val="0"/>
          <w:marTop w:val="0"/>
          <w:marBottom w:val="0"/>
          <w:divBdr>
            <w:top w:val="none" w:sz="0" w:space="0" w:color="auto"/>
            <w:left w:val="none" w:sz="0" w:space="0" w:color="auto"/>
            <w:bottom w:val="none" w:sz="0" w:space="0" w:color="auto"/>
            <w:right w:val="none" w:sz="0" w:space="0" w:color="auto"/>
          </w:divBdr>
        </w:div>
        <w:div w:id="1609385087">
          <w:marLeft w:val="0"/>
          <w:marRight w:val="0"/>
          <w:marTop w:val="0"/>
          <w:marBottom w:val="0"/>
          <w:divBdr>
            <w:top w:val="none" w:sz="0" w:space="0" w:color="auto"/>
            <w:left w:val="none" w:sz="0" w:space="0" w:color="auto"/>
            <w:bottom w:val="none" w:sz="0" w:space="0" w:color="auto"/>
            <w:right w:val="none" w:sz="0" w:space="0" w:color="auto"/>
          </w:divBdr>
        </w:div>
        <w:div w:id="1695305612">
          <w:marLeft w:val="0"/>
          <w:marRight w:val="0"/>
          <w:marTop w:val="0"/>
          <w:marBottom w:val="0"/>
          <w:divBdr>
            <w:top w:val="none" w:sz="0" w:space="0" w:color="auto"/>
            <w:left w:val="none" w:sz="0" w:space="0" w:color="auto"/>
            <w:bottom w:val="none" w:sz="0" w:space="0" w:color="auto"/>
            <w:right w:val="none" w:sz="0" w:space="0" w:color="auto"/>
          </w:divBdr>
        </w:div>
        <w:div w:id="1577665800">
          <w:marLeft w:val="0"/>
          <w:marRight w:val="0"/>
          <w:marTop w:val="0"/>
          <w:marBottom w:val="0"/>
          <w:divBdr>
            <w:top w:val="none" w:sz="0" w:space="0" w:color="auto"/>
            <w:left w:val="none" w:sz="0" w:space="0" w:color="auto"/>
            <w:bottom w:val="none" w:sz="0" w:space="0" w:color="auto"/>
            <w:right w:val="none" w:sz="0" w:space="0" w:color="auto"/>
          </w:divBdr>
        </w:div>
        <w:div w:id="1920362199">
          <w:marLeft w:val="0"/>
          <w:marRight w:val="0"/>
          <w:marTop w:val="0"/>
          <w:marBottom w:val="0"/>
          <w:divBdr>
            <w:top w:val="none" w:sz="0" w:space="0" w:color="auto"/>
            <w:left w:val="none" w:sz="0" w:space="0" w:color="auto"/>
            <w:bottom w:val="none" w:sz="0" w:space="0" w:color="auto"/>
            <w:right w:val="none" w:sz="0" w:space="0" w:color="auto"/>
          </w:divBdr>
        </w:div>
        <w:div w:id="1743990267">
          <w:marLeft w:val="0"/>
          <w:marRight w:val="0"/>
          <w:marTop w:val="0"/>
          <w:marBottom w:val="0"/>
          <w:divBdr>
            <w:top w:val="none" w:sz="0" w:space="0" w:color="auto"/>
            <w:left w:val="none" w:sz="0" w:space="0" w:color="auto"/>
            <w:bottom w:val="none" w:sz="0" w:space="0" w:color="auto"/>
            <w:right w:val="none" w:sz="0" w:space="0" w:color="auto"/>
          </w:divBdr>
        </w:div>
        <w:div w:id="181823336">
          <w:marLeft w:val="0"/>
          <w:marRight w:val="0"/>
          <w:marTop w:val="0"/>
          <w:marBottom w:val="0"/>
          <w:divBdr>
            <w:top w:val="none" w:sz="0" w:space="0" w:color="auto"/>
            <w:left w:val="none" w:sz="0" w:space="0" w:color="auto"/>
            <w:bottom w:val="none" w:sz="0" w:space="0" w:color="auto"/>
            <w:right w:val="none" w:sz="0" w:space="0" w:color="auto"/>
          </w:divBdr>
        </w:div>
        <w:div w:id="425619578">
          <w:marLeft w:val="0"/>
          <w:marRight w:val="0"/>
          <w:marTop w:val="0"/>
          <w:marBottom w:val="0"/>
          <w:divBdr>
            <w:top w:val="none" w:sz="0" w:space="0" w:color="auto"/>
            <w:left w:val="none" w:sz="0" w:space="0" w:color="auto"/>
            <w:bottom w:val="none" w:sz="0" w:space="0" w:color="auto"/>
            <w:right w:val="none" w:sz="0" w:space="0" w:color="auto"/>
          </w:divBdr>
        </w:div>
        <w:div w:id="848645723">
          <w:marLeft w:val="0"/>
          <w:marRight w:val="0"/>
          <w:marTop w:val="0"/>
          <w:marBottom w:val="0"/>
          <w:divBdr>
            <w:top w:val="none" w:sz="0" w:space="0" w:color="auto"/>
            <w:left w:val="none" w:sz="0" w:space="0" w:color="auto"/>
            <w:bottom w:val="none" w:sz="0" w:space="0" w:color="auto"/>
            <w:right w:val="none" w:sz="0" w:space="0" w:color="auto"/>
          </w:divBdr>
        </w:div>
        <w:div w:id="509948948">
          <w:marLeft w:val="0"/>
          <w:marRight w:val="0"/>
          <w:marTop w:val="0"/>
          <w:marBottom w:val="0"/>
          <w:divBdr>
            <w:top w:val="none" w:sz="0" w:space="0" w:color="auto"/>
            <w:left w:val="none" w:sz="0" w:space="0" w:color="auto"/>
            <w:bottom w:val="none" w:sz="0" w:space="0" w:color="auto"/>
            <w:right w:val="none" w:sz="0" w:space="0" w:color="auto"/>
          </w:divBdr>
        </w:div>
        <w:div w:id="105152315">
          <w:marLeft w:val="0"/>
          <w:marRight w:val="0"/>
          <w:marTop w:val="0"/>
          <w:marBottom w:val="0"/>
          <w:divBdr>
            <w:top w:val="none" w:sz="0" w:space="0" w:color="auto"/>
            <w:left w:val="none" w:sz="0" w:space="0" w:color="auto"/>
            <w:bottom w:val="none" w:sz="0" w:space="0" w:color="auto"/>
            <w:right w:val="none" w:sz="0" w:space="0" w:color="auto"/>
          </w:divBdr>
        </w:div>
        <w:div w:id="740753999">
          <w:marLeft w:val="0"/>
          <w:marRight w:val="0"/>
          <w:marTop w:val="0"/>
          <w:marBottom w:val="0"/>
          <w:divBdr>
            <w:top w:val="none" w:sz="0" w:space="0" w:color="auto"/>
            <w:left w:val="none" w:sz="0" w:space="0" w:color="auto"/>
            <w:bottom w:val="none" w:sz="0" w:space="0" w:color="auto"/>
            <w:right w:val="none" w:sz="0" w:space="0" w:color="auto"/>
          </w:divBdr>
        </w:div>
        <w:div w:id="205143765">
          <w:marLeft w:val="0"/>
          <w:marRight w:val="0"/>
          <w:marTop w:val="0"/>
          <w:marBottom w:val="0"/>
          <w:divBdr>
            <w:top w:val="none" w:sz="0" w:space="0" w:color="auto"/>
            <w:left w:val="none" w:sz="0" w:space="0" w:color="auto"/>
            <w:bottom w:val="none" w:sz="0" w:space="0" w:color="auto"/>
            <w:right w:val="none" w:sz="0" w:space="0" w:color="auto"/>
          </w:divBdr>
        </w:div>
        <w:div w:id="2033073395">
          <w:marLeft w:val="0"/>
          <w:marRight w:val="0"/>
          <w:marTop w:val="0"/>
          <w:marBottom w:val="0"/>
          <w:divBdr>
            <w:top w:val="none" w:sz="0" w:space="0" w:color="auto"/>
            <w:left w:val="none" w:sz="0" w:space="0" w:color="auto"/>
            <w:bottom w:val="none" w:sz="0" w:space="0" w:color="auto"/>
            <w:right w:val="none" w:sz="0" w:space="0" w:color="auto"/>
          </w:divBdr>
        </w:div>
        <w:div w:id="1499886066">
          <w:marLeft w:val="0"/>
          <w:marRight w:val="0"/>
          <w:marTop w:val="0"/>
          <w:marBottom w:val="0"/>
          <w:divBdr>
            <w:top w:val="none" w:sz="0" w:space="0" w:color="auto"/>
            <w:left w:val="none" w:sz="0" w:space="0" w:color="auto"/>
            <w:bottom w:val="none" w:sz="0" w:space="0" w:color="auto"/>
            <w:right w:val="none" w:sz="0" w:space="0" w:color="auto"/>
          </w:divBdr>
        </w:div>
        <w:div w:id="81685760">
          <w:marLeft w:val="0"/>
          <w:marRight w:val="0"/>
          <w:marTop w:val="0"/>
          <w:marBottom w:val="0"/>
          <w:divBdr>
            <w:top w:val="none" w:sz="0" w:space="0" w:color="auto"/>
            <w:left w:val="none" w:sz="0" w:space="0" w:color="auto"/>
            <w:bottom w:val="none" w:sz="0" w:space="0" w:color="auto"/>
            <w:right w:val="none" w:sz="0" w:space="0" w:color="auto"/>
          </w:divBdr>
        </w:div>
        <w:div w:id="1198008997">
          <w:marLeft w:val="0"/>
          <w:marRight w:val="0"/>
          <w:marTop w:val="0"/>
          <w:marBottom w:val="0"/>
          <w:divBdr>
            <w:top w:val="none" w:sz="0" w:space="0" w:color="auto"/>
            <w:left w:val="none" w:sz="0" w:space="0" w:color="auto"/>
            <w:bottom w:val="none" w:sz="0" w:space="0" w:color="auto"/>
            <w:right w:val="none" w:sz="0" w:space="0" w:color="auto"/>
          </w:divBdr>
        </w:div>
        <w:div w:id="112213217">
          <w:marLeft w:val="0"/>
          <w:marRight w:val="0"/>
          <w:marTop w:val="0"/>
          <w:marBottom w:val="0"/>
          <w:divBdr>
            <w:top w:val="none" w:sz="0" w:space="0" w:color="auto"/>
            <w:left w:val="none" w:sz="0" w:space="0" w:color="auto"/>
            <w:bottom w:val="none" w:sz="0" w:space="0" w:color="auto"/>
            <w:right w:val="none" w:sz="0" w:space="0" w:color="auto"/>
          </w:divBdr>
        </w:div>
        <w:div w:id="611401303">
          <w:marLeft w:val="0"/>
          <w:marRight w:val="0"/>
          <w:marTop w:val="0"/>
          <w:marBottom w:val="0"/>
          <w:divBdr>
            <w:top w:val="none" w:sz="0" w:space="0" w:color="auto"/>
            <w:left w:val="none" w:sz="0" w:space="0" w:color="auto"/>
            <w:bottom w:val="none" w:sz="0" w:space="0" w:color="auto"/>
            <w:right w:val="none" w:sz="0" w:space="0" w:color="auto"/>
          </w:divBdr>
        </w:div>
        <w:div w:id="408160303">
          <w:marLeft w:val="0"/>
          <w:marRight w:val="0"/>
          <w:marTop w:val="0"/>
          <w:marBottom w:val="0"/>
          <w:divBdr>
            <w:top w:val="none" w:sz="0" w:space="0" w:color="auto"/>
            <w:left w:val="none" w:sz="0" w:space="0" w:color="auto"/>
            <w:bottom w:val="none" w:sz="0" w:space="0" w:color="auto"/>
            <w:right w:val="none" w:sz="0" w:space="0" w:color="auto"/>
          </w:divBdr>
        </w:div>
        <w:div w:id="1889145444">
          <w:marLeft w:val="0"/>
          <w:marRight w:val="0"/>
          <w:marTop w:val="0"/>
          <w:marBottom w:val="0"/>
          <w:divBdr>
            <w:top w:val="none" w:sz="0" w:space="0" w:color="auto"/>
            <w:left w:val="none" w:sz="0" w:space="0" w:color="auto"/>
            <w:bottom w:val="none" w:sz="0" w:space="0" w:color="auto"/>
            <w:right w:val="none" w:sz="0" w:space="0" w:color="auto"/>
          </w:divBdr>
        </w:div>
        <w:div w:id="397943030">
          <w:marLeft w:val="0"/>
          <w:marRight w:val="0"/>
          <w:marTop w:val="0"/>
          <w:marBottom w:val="0"/>
          <w:divBdr>
            <w:top w:val="none" w:sz="0" w:space="0" w:color="auto"/>
            <w:left w:val="none" w:sz="0" w:space="0" w:color="auto"/>
            <w:bottom w:val="none" w:sz="0" w:space="0" w:color="auto"/>
            <w:right w:val="none" w:sz="0" w:space="0" w:color="auto"/>
          </w:divBdr>
        </w:div>
        <w:div w:id="355929642">
          <w:marLeft w:val="0"/>
          <w:marRight w:val="0"/>
          <w:marTop w:val="0"/>
          <w:marBottom w:val="0"/>
          <w:divBdr>
            <w:top w:val="none" w:sz="0" w:space="0" w:color="auto"/>
            <w:left w:val="none" w:sz="0" w:space="0" w:color="auto"/>
            <w:bottom w:val="none" w:sz="0" w:space="0" w:color="auto"/>
            <w:right w:val="none" w:sz="0" w:space="0" w:color="auto"/>
          </w:divBdr>
        </w:div>
        <w:div w:id="1939560887">
          <w:marLeft w:val="0"/>
          <w:marRight w:val="0"/>
          <w:marTop w:val="0"/>
          <w:marBottom w:val="0"/>
          <w:divBdr>
            <w:top w:val="none" w:sz="0" w:space="0" w:color="auto"/>
            <w:left w:val="none" w:sz="0" w:space="0" w:color="auto"/>
            <w:bottom w:val="none" w:sz="0" w:space="0" w:color="auto"/>
            <w:right w:val="none" w:sz="0" w:space="0" w:color="auto"/>
          </w:divBdr>
        </w:div>
        <w:div w:id="1468737405">
          <w:marLeft w:val="0"/>
          <w:marRight w:val="0"/>
          <w:marTop w:val="0"/>
          <w:marBottom w:val="0"/>
          <w:divBdr>
            <w:top w:val="none" w:sz="0" w:space="0" w:color="auto"/>
            <w:left w:val="none" w:sz="0" w:space="0" w:color="auto"/>
            <w:bottom w:val="none" w:sz="0" w:space="0" w:color="auto"/>
            <w:right w:val="none" w:sz="0" w:space="0" w:color="auto"/>
          </w:divBdr>
        </w:div>
        <w:div w:id="1790200500">
          <w:marLeft w:val="0"/>
          <w:marRight w:val="0"/>
          <w:marTop w:val="0"/>
          <w:marBottom w:val="0"/>
          <w:divBdr>
            <w:top w:val="none" w:sz="0" w:space="0" w:color="auto"/>
            <w:left w:val="none" w:sz="0" w:space="0" w:color="auto"/>
            <w:bottom w:val="none" w:sz="0" w:space="0" w:color="auto"/>
            <w:right w:val="none" w:sz="0" w:space="0" w:color="auto"/>
          </w:divBdr>
        </w:div>
        <w:div w:id="1768427192">
          <w:marLeft w:val="0"/>
          <w:marRight w:val="0"/>
          <w:marTop w:val="0"/>
          <w:marBottom w:val="0"/>
          <w:divBdr>
            <w:top w:val="none" w:sz="0" w:space="0" w:color="auto"/>
            <w:left w:val="none" w:sz="0" w:space="0" w:color="auto"/>
            <w:bottom w:val="none" w:sz="0" w:space="0" w:color="auto"/>
            <w:right w:val="none" w:sz="0" w:space="0" w:color="auto"/>
          </w:divBdr>
        </w:div>
        <w:div w:id="624191529">
          <w:marLeft w:val="0"/>
          <w:marRight w:val="0"/>
          <w:marTop w:val="0"/>
          <w:marBottom w:val="0"/>
          <w:divBdr>
            <w:top w:val="none" w:sz="0" w:space="0" w:color="auto"/>
            <w:left w:val="none" w:sz="0" w:space="0" w:color="auto"/>
            <w:bottom w:val="none" w:sz="0" w:space="0" w:color="auto"/>
            <w:right w:val="none" w:sz="0" w:space="0" w:color="auto"/>
          </w:divBdr>
        </w:div>
        <w:div w:id="283467439">
          <w:marLeft w:val="0"/>
          <w:marRight w:val="0"/>
          <w:marTop w:val="0"/>
          <w:marBottom w:val="0"/>
          <w:divBdr>
            <w:top w:val="none" w:sz="0" w:space="0" w:color="auto"/>
            <w:left w:val="none" w:sz="0" w:space="0" w:color="auto"/>
            <w:bottom w:val="none" w:sz="0" w:space="0" w:color="auto"/>
            <w:right w:val="none" w:sz="0" w:space="0" w:color="auto"/>
          </w:divBdr>
        </w:div>
        <w:div w:id="1933737564">
          <w:marLeft w:val="0"/>
          <w:marRight w:val="0"/>
          <w:marTop w:val="0"/>
          <w:marBottom w:val="0"/>
          <w:divBdr>
            <w:top w:val="none" w:sz="0" w:space="0" w:color="auto"/>
            <w:left w:val="none" w:sz="0" w:space="0" w:color="auto"/>
            <w:bottom w:val="none" w:sz="0" w:space="0" w:color="auto"/>
            <w:right w:val="none" w:sz="0" w:space="0" w:color="auto"/>
          </w:divBdr>
        </w:div>
        <w:div w:id="748313954">
          <w:marLeft w:val="0"/>
          <w:marRight w:val="0"/>
          <w:marTop w:val="0"/>
          <w:marBottom w:val="0"/>
          <w:divBdr>
            <w:top w:val="none" w:sz="0" w:space="0" w:color="auto"/>
            <w:left w:val="none" w:sz="0" w:space="0" w:color="auto"/>
            <w:bottom w:val="none" w:sz="0" w:space="0" w:color="auto"/>
            <w:right w:val="none" w:sz="0" w:space="0" w:color="auto"/>
          </w:divBdr>
        </w:div>
        <w:div w:id="444736199">
          <w:marLeft w:val="0"/>
          <w:marRight w:val="0"/>
          <w:marTop w:val="0"/>
          <w:marBottom w:val="0"/>
          <w:divBdr>
            <w:top w:val="none" w:sz="0" w:space="0" w:color="auto"/>
            <w:left w:val="none" w:sz="0" w:space="0" w:color="auto"/>
            <w:bottom w:val="none" w:sz="0" w:space="0" w:color="auto"/>
            <w:right w:val="none" w:sz="0" w:space="0" w:color="auto"/>
          </w:divBdr>
        </w:div>
        <w:div w:id="1147865961">
          <w:marLeft w:val="0"/>
          <w:marRight w:val="0"/>
          <w:marTop w:val="0"/>
          <w:marBottom w:val="0"/>
          <w:divBdr>
            <w:top w:val="none" w:sz="0" w:space="0" w:color="auto"/>
            <w:left w:val="none" w:sz="0" w:space="0" w:color="auto"/>
            <w:bottom w:val="none" w:sz="0" w:space="0" w:color="auto"/>
            <w:right w:val="none" w:sz="0" w:space="0" w:color="auto"/>
          </w:divBdr>
        </w:div>
        <w:div w:id="1086920229">
          <w:marLeft w:val="0"/>
          <w:marRight w:val="0"/>
          <w:marTop w:val="0"/>
          <w:marBottom w:val="0"/>
          <w:divBdr>
            <w:top w:val="none" w:sz="0" w:space="0" w:color="auto"/>
            <w:left w:val="none" w:sz="0" w:space="0" w:color="auto"/>
            <w:bottom w:val="none" w:sz="0" w:space="0" w:color="auto"/>
            <w:right w:val="none" w:sz="0" w:space="0" w:color="auto"/>
          </w:divBdr>
        </w:div>
        <w:div w:id="390274146">
          <w:marLeft w:val="0"/>
          <w:marRight w:val="0"/>
          <w:marTop w:val="0"/>
          <w:marBottom w:val="0"/>
          <w:divBdr>
            <w:top w:val="none" w:sz="0" w:space="0" w:color="auto"/>
            <w:left w:val="none" w:sz="0" w:space="0" w:color="auto"/>
            <w:bottom w:val="none" w:sz="0" w:space="0" w:color="auto"/>
            <w:right w:val="none" w:sz="0" w:space="0" w:color="auto"/>
          </w:divBdr>
        </w:div>
        <w:div w:id="2102950448">
          <w:marLeft w:val="0"/>
          <w:marRight w:val="0"/>
          <w:marTop w:val="0"/>
          <w:marBottom w:val="0"/>
          <w:divBdr>
            <w:top w:val="none" w:sz="0" w:space="0" w:color="auto"/>
            <w:left w:val="none" w:sz="0" w:space="0" w:color="auto"/>
            <w:bottom w:val="none" w:sz="0" w:space="0" w:color="auto"/>
            <w:right w:val="none" w:sz="0" w:space="0" w:color="auto"/>
          </w:divBdr>
        </w:div>
        <w:div w:id="801726833">
          <w:marLeft w:val="0"/>
          <w:marRight w:val="0"/>
          <w:marTop w:val="0"/>
          <w:marBottom w:val="0"/>
          <w:divBdr>
            <w:top w:val="none" w:sz="0" w:space="0" w:color="auto"/>
            <w:left w:val="none" w:sz="0" w:space="0" w:color="auto"/>
            <w:bottom w:val="none" w:sz="0" w:space="0" w:color="auto"/>
            <w:right w:val="none" w:sz="0" w:space="0" w:color="auto"/>
          </w:divBdr>
        </w:div>
        <w:div w:id="1346901793">
          <w:marLeft w:val="0"/>
          <w:marRight w:val="0"/>
          <w:marTop w:val="0"/>
          <w:marBottom w:val="0"/>
          <w:divBdr>
            <w:top w:val="none" w:sz="0" w:space="0" w:color="auto"/>
            <w:left w:val="none" w:sz="0" w:space="0" w:color="auto"/>
            <w:bottom w:val="none" w:sz="0" w:space="0" w:color="auto"/>
            <w:right w:val="none" w:sz="0" w:space="0" w:color="auto"/>
          </w:divBdr>
        </w:div>
        <w:div w:id="1341808099">
          <w:marLeft w:val="0"/>
          <w:marRight w:val="0"/>
          <w:marTop w:val="0"/>
          <w:marBottom w:val="0"/>
          <w:divBdr>
            <w:top w:val="none" w:sz="0" w:space="0" w:color="auto"/>
            <w:left w:val="none" w:sz="0" w:space="0" w:color="auto"/>
            <w:bottom w:val="none" w:sz="0" w:space="0" w:color="auto"/>
            <w:right w:val="none" w:sz="0" w:space="0" w:color="auto"/>
          </w:divBdr>
        </w:div>
        <w:div w:id="1588417911">
          <w:marLeft w:val="0"/>
          <w:marRight w:val="0"/>
          <w:marTop w:val="0"/>
          <w:marBottom w:val="0"/>
          <w:divBdr>
            <w:top w:val="none" w:sz="0" w:space="0" w:color="auto"/>
            <w:left w:val="none" w:sz="0" w:space="0" w:color="auto"/>
            <w:bottom w:val="none" w:sz="0" w:space="0" w:color="auto"/>
            <w:right w:val="none" w:sz="0" w:space="0" w:color="auto"/>
          </w:divBdr>
        </w:div>
        <w:div w:id="1678921247">
          <w:marLeft w:val="0"/>
          <w:marRight w:val="0"/>
          <w:marTop w:val="0"/>
          <w:marBottom w:val="0"/>
          <w:divBdr>
            <w:top w:val="none" w:sz="0" w:space="0" w:color="auto"/>
            <w:left w:val="none" w:sz="0" w:space="0" w:color="auto"/>
            <w:bottom w:val="none" w:sz="0" w:space="0" w:color="auto"/>
            <w:right w:val="none" w:sz="0" w:space="0" w:color="auto"/>
          </w:divBdr>
        </w:div>
        <w:div w:id="501046345">
          <w:marLeft w:val="0"/>
          <w:marRight w:val="0"/>
          <w:marTop w:val="0"/>
          <w:marBottom w:val="0"/>
          <w:divBdr>
            <w:top w:val="none" w:sz="0" w:space="0" w:color="auto"/>
            <w:left w:val="none" w:sz="0" w:space="0" w:color="auto"/>
            <w:bottom w:val="none" w:sz="0" w:space="0" w:color="auto"/>
            <w:right w:val="none" w:sz="0" w:space="0" w:color="auto"/>
          </w:divBdr>
        </w:div>
        <w:div w:id="161970784">
          <w:marLeft w:val="0"/>
          <w:marRight w:val="0"/>
          <w:marTop w:val="0"/>
          <w:marBottom w:val="0"/>
          <w:divBdr>
            <w:top w:val="none" w:sz="0" w:space="0" w:color="auto"/>
            <w:left w:val="none" w:sz="0" w:space="0" w:color="auto"/>
            <w:bottom w:val="none" w:sz="0" w:space="0" w:color="auto"/>
            <w:right w:val="none" w:sz="0" w:space="0" w:color="auto"/>
          </w:divBdr>
        </w:div>
        <w:div w:id="1483233704">
          <w:marLeft w:val="0"/>
          <w:marRight w:val="0"/>
          <w:marTop w:val="0"/>
          <w:marBottom w:val="0"/>
          <w:divBdr>
            <w:top w:val="none" w:sz="0" w:space="0" w:color="auto"/>
            <w:left w:val="none" w:sz="0" w:space="0" w:color="auto"/>
            <w:bottom w:val="none" w:sz="0" w:space="0" w:color="auto"/>
            <w:right w:val="none" w:sz="0" w:space="0" w:color="auto"/>
          </w:divBdr>
        </w:div>
      </w:divsChild>
    </w:div>
    <w:div w:id="636567700">
      <w:bodyDiv w:val="1"/>
      <w:marLeft w:val="0"/>
      <w:marRight w:val="0"/>
      <w:marTop w:val="0"/>
      <w:marBottom w:val="0"/>
      <w:divBdr>
        <w:top w:val="none" w:sz="0" w:space="0" w:color="auto"/>
        <w:left w:val="none" w:sz="0" w:space="0" w:color="auto"/>
        <w:bottom w:val="none" w:sz="0" w:space="0" w:color="auto"/>
        <w:right w:val="none" w:sz="0" w:space="0" w:color="auto"/>
      </w:divBdr>
      <w:divsChild>
        <w:div w:id="1235969778">
          <w:marLeft w:val="0"/>
          <w:marRight w:val="0"/>
          <w:marTop w:val="0"/>
          <w:marBottom w:val="0"/>
          <w:divBdr>
            <w:top w:val="none" w:sz="0" w:space="0" w:color="auto"/>
            <w:left w:val="none" w:sz="0" w:space="0" w:color="auto"/>
            <w:bottom w:val="none" w:sz="0" w:space="0" w:color="auto"/>
            <w:right w:val="none" w:sz="0" w:space="0" w:color="auto"/>
          </w:divBdr>
        </w:div>
        <w:div w:id="1776363671">
          <w:marLeft w:val="0"/>
          <w:marRight w:val="0"/>
          <w:marTop w:val="0"/>
          <w:marBottom w:val="0"/>
          <w:divBdr>
            <w:top w:val="none" w:sz="0" w:space="0" w:color="auto"/>
            <w:left w:val="none" w:sz="0" w:space="0" w:color="auto"/>
            <w:bottom w:val="none" w:sz="0" w:space="0" w:color="auto"/>
            <w:right w:val="none" w:sz="0" w:space="0" w:color="auto"/>
          </w:divBdr>
        </w:div>
        <w:div w:id="707216646">
          <w:marLeft w:val="0"/>
          <w:marRight w:val="0"/>
          <w:marTop w:val="0"/>
          <w:marBottom w:val="0"/>
          <w:divBdr>
            <w:top w:val="none" w:sz="0" w:space="0" w:color="auto"/>
            <w:left w:val="none" w:sz="0" w:space="0" w:color="auto"/>
            <w:bottom w:val="none" w:sz="0" w:space="0" w:color="auto"/>
            <w:right w:val="none" w:sz="0" w:space="0" w:color="auto"/>
          </w:divBdr>
        </w:div>
      </w:divsChild>
    </w:div>
    <w:div w:id="723724794">
      <w:bodyDiv w:val="1"/>
      <w:marLeft w:val="0"/>
      <w:marRight w:val="0"/>
      <w:marTop w:val="0"/>
      <w:marBottom w:val="0"/>
      <w:divBdr>
        <w:top w:val="none" w:sz="0" w:space="0" w:color="auto"/>
        <w:left w:val="none" w:sz="0" w:space="0" w:color="auto"/>
        <w:bottom w:val="none" w:sz="0" w:space="0" w:color="auto"/>
        <w:right w:val="none" w:sz="0" w:space="0" w:color="auto"/>
      </w:divBdr>
      <w:divsChild>
        <w:div w:id="686834678">
          <w:marLeft w:val="0"/>
          <w:marRight w:val="0"/>
          <w:marTop w:val="0"/>
          <w:marBottom w:val="0"/>
          <w:divBdr>
            <w:top w:val="none" w:sz="0" w:space="0" w:color="auto"/>
            <w:left w:val="none" w:sz="0" w:space="0" w:color="auto"/>
            <w:bottom w:val="none" w:sz="0" w:space="0" w:color="auto"/>
            <w:right w:val="none" w:sz="0" w:space="0" w:color="auto"/>
          </w:divBdr>
        </w:div>
        <w:div w:id="1038628761">
          <w:marLeft w:val="0"/>
          <w:marRight w:val="0"/>
          <w:marTop w:val="0"/>
          <w:marBottom w:val="0"/>
          <w:divBdr>
            <w:top w:val="none" w:sz="0" w:space="0" w:color="auto"/>
            <w:left w:val="none" w:sz="0" w:space="0" w:color="auto"/>
            <w:bottom w:val="none" w:sz="0" w:space="0" w:color="auto"/>
            <w:right w:val="none" w:sz="0" w:space="0" w:color="auto"/>
          </w:divBdr>
        </w:div>
        <w:div w:id="180630573">
          <w:marLeft w:val="0"/>
          <w:marRight w:val="0"/>
          <w:marTop w:val="0"/>
          <w:marBottom w:val="0"/>
          <w:divBdr>
            <w:top w:val="none" w:sz="0" w:space="0" w:color="auto"/>
            <w:left w:val="none" w:sz="0" w:space="0" w:color="auto"/>
            <w:bottom w:val="none" w:sz="0" w:space="0" w:color="auto"/>
            <w:right w:val="none" w:sz="0" w:space="0" w:color="auto"/>
          </w:divBdr>
        </w:div>
        <w:div w:id="945884738">
          <w:marLeft w:val="0"/>
          <w:marRight w:val="0"/>
          <w:marTop w:val="0"/>
          <w:marBottom w:val="0"/>
          <w:divBdr>
            <w:top w:val="none" w:sz="0" w:space="0" w:color="auto"/>
            <w:left w:val="none" w:sz="0" w:space="0" w:color="auto"/>
            <w:bottom w:val="none" w:sz="0" w:space="0" w:color="auto"/>
            <w:right w:val="none" w:sz="0" w:space="0" w:color="auto"/>
          </w:divBdr>
        </w:div>
        <w:div w:id="1951357362">
          <w:marLeft w:val="0"/>
          <w:marRight w:val="0"/>
          <w:marTop w:val="0"/>
          <w:marBottom w:val="0"/>
          <w:divBdr>
            <w:top w:val="none" w:sz="0" w:space="0" w:color="auto"/>
            <w:left w:val="none" w:sz="0" w:space="0" w:color="auto"/>
            <w:bottom w:val="none" w:sz="0" w:space="0" w:color="auto"/>
            <w:right w:val="none" w:sz="0" w:space="0" w:color="auto"/>
          </w:divBdr>
        </w:div>
        <w:div w:id="345210645">
          <w:marLeft w:val="0"/>
          <w:marRight w:val="0"/>
          <w:marTop w:val="0"/>
          <w:marBottom w:val="0"/>
          <w:divBdr>
            <w:top w:val="none" w:sz="0" w:space="0" w:color="auto"/>
            <w:left w:val="none" w:sz="0" w:space="0" w:color="auto"/>
            <w:bottom w:val="none" w:sz="0" w:space="0" w:color="auto"/>
            <w:right w:val="none" w:sz="0" w:space="0" w:color="auto"/>
          </w:divBdr>
        </w:div>
        <w:div w:id="154882135">
          <w:marLeft w:val="0"/>
          <w:marRight w:val="0"/>
          <w:marTop w:val="0"/>
          <w:marBottom w:val="0"/>
          <w:divBdr>
            <w:top w:val="none" w:sz="0" w:space="0" w:color="auto"/>
            <w:left w:val="none" w:sz="0" w:space="0" w:color="auto"/>
            <w:bottom w:val="none" w:sz="0" w:space="0" w:color="auto"/>
            <w:right w:val="none" w:sz="0" w:space="0" w:color="auto"/>
          </w:divBdr>
        </w:div>
      </w:divsChild>
    </w:div>
    <w:div w:id="949507563">
      <w:bodyDiv w:val="1"/>
      <w:marLeft w:val="0"/>
      <w:marRight w:val="0"/>
      <w:marTop w:val="0"/>
      <w:marBottom w:val="0"/>
      <w:divBdr>
        <w:top w:val="none" w:sz="0" w:space="0" w:color="auto"/>
        <w:left w:val="none" w:sz="0" w:space="0" w:color="auto"/>
        <w:bottom w:val="none" w:sz="0" w:space="0" w:color="auto"/>
        <w:right w:val="none" w:sz="0" w:space="0" w:color="auto"/>
      </w:divBdr>
      <w:divsChild>
        <w:div w:id="421150278">
          <w:marLeft w:val="0"/>
          <w:marRight w:val="0"/>
          <w:marTop w:val="0"/>
          <w:marBottom w:val="0"/>
          <w:divBdr>
            <w:top w:val="none" w:sz="0" w:space="0" w:color="auto"/>
            <w:left w:val="none" w:sz="0" w:space="0" w:color="auto"/>
            <w:bottom w:val="none" w:sz="0" w:space="0" w:color="auto"/>
            <w:right w:val="none" w:sz="0" w:space="0" w:color="auto"/>
          </w:divBdr>
        </w:div>
        <w:div w:id="576475787">
          <w:marLeft w:val="0"/>
          <w:marRight w:val="0"/>
          <w:marTop w:val="0"/>
          <w:marBottom w:val="0"/>
          <w:divBdr>
            <w:top w:val="none" w:sz="0" w:space="0" w:color="auto"/>
            <w:left w:val="none" w:sz="0" w:space="0" w:color="auto"/>
            <w:bottom w:val="none" w:sz="0" w:space="0" w:color="auto"/>
            <w:right w:val="none" w:sz="0" w:space="0" w:color="auto"/>
          </w:divBdr>
        </w:div>
        <w:div w:id="107585528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1015050">
      <w:bodyDiv w:val="1"/>
      <w:marLeft w:val="0"/>
      <w:marRight w:val="0"/>
      <w:marTop w:val="0"/>
      <w:marBottom w:val="0"/>
      <w:divBdr>
        <w:top w:val="none" w:sz="0" w:space="0" w:color="auto"/>
        <w:left w:val="none" w:sz="0" w:space="0" w:color="auto"/>
        <w:bottom w:val="none" w:sz="0" w:space="0" w:color="auto"/>
        <w:right w:val="none" w:sz="0" w:space="0" w:color="auto"/>
      </w:divBdr>
      <w:divsChild>
        <w:div w:id="1213688207">
          <w:marLeft w:val="0"/>
          <w:marRight w:val="0"/>
          <w:marTop w:val="0"/>
          <w:marBottom w:val="0"/>
          <w:divBdr>
            <w:top w:val="none" w:sz="0" w:space="0" w:color="auto"/>
            <w:left w:val="none" w:sz="0" w:space="0" w:color="auto"/>
            <w:bottom w:val="none" w:sz="0" w:space="0" w:color="auto"/>
            <w:right w:val="none" w:sz="0" w:space="0" w:color="auto"/>
          </w:divBdr>
        </w:div>
        <w:div w:id="819468375">
          <w:marLeft w:val="0"/>
          <w:marRight w:val="0"/>
          <w:marTop w:val="0"/>
          <w:marBottom w:val="0"/>
          <w:divBdr>
            <w:top w:val="none" w:sz="0" w:space="0" w:color="auto"/>
            <w:left w:val="none" w:sz="0" w:space="0" w:color="auto"/>
            <w:bottom w:val="none" w:sz="0" w:space="0" w:color="auto"/>
            <w:right w:val="none" w:sz="0" w:space="0" w:color="auto"/>
          </w:divBdr>
        </w:div>
      </w:divsChild>
    </w:div>
    <w:div w:id="1409035529">
      <w:bodyDiv w:val="1"/>
      <w:marLeft w:val="0"/>
      <w:marRight w:val="0"/>
      <w:marTop w:val="0"/>
      <w:marBottom w:val="0"/>
      <w:divBdr>
        <w:top w:val="none" w:sz="0" w:space="0" w:color="auto"/>
        <w:left w:val="none" w:sz="0" w:space="0" w:color="auto"/>
        <w:bottom w:val="none" w:sz="0" w:space="0" w:color="auto"/>
        <w:right w:val="none" w:sz="0" w:space="0" w:color="auto"/>
      </w:divBdr>
      <w:divsChild>
        <w:div w:id="715396069">
          <w:marLeft w:val="0"/>
          <w:marRight w:val="0"/>
          <w:marTop w:val="0"/>
          <w:marBottom w:val="0"/>
          <w:divBdr>
            <w:top w:val="none" w:sz="0" w:space="0" w:color="auto"/>
            <w:left w:val="none" w:sz="0" w:space="0" w:color="auto"/>
            <w:bottom w:val="none" w:sz="0" w:space="0" w:color="auto"/>
            <w:right w:val="none" w:sz="0" w:space="0" w:color="auto"/>
          </w:divBdr>
        </w:div>
        <w:div w:id="1355225021">
          <w:marLeft w:val="0"/>
          <w:marRight w:val="0"/>
          <w:marTop w:val="0"/>
          <w:marBottom w:val="0"/>
          <w:divBdr>
            <w:top w:val="none" w:sz="0" w:space="0" w:color="auto"/>
            <w:left w:val="none" w:sz="0" w:space="0" w:color="auto"/>
            <w:bottom w:val="none" w:sz="0" w:space="0" w:color="auto"/>
            <w:right w:val="none" w:sz="0" w:space="0" w:color="auto"/>
          </w:divBdr>
        </w:div>
        <w:div w:id="835924121">
          <w:marLeft w:val="0"/>
          <w:marRight w:val="0"/>
          <w:marTop w:val="0"/>
          <w:marBottom w:val="0"/>
          <w:divBdr>
            <w:top w:val="none" w:sz="0" w:space="0" w:color="auto"/>
            <w:left w:val="none" w:sz="0" w:space="0" w:color="auto"/>
            <w:bottom w:val="none" w:sz="0" w:space="0" w:color="auto"/>
            <w:right w:val="none" w:sz="0" w:space="0" w:color="auto"/>
          </w:divBdr>
        </w:div>
        <w:div w:id="1997799623">
          <w:marLeft w:val="0"/>
          <w:marRight w:val="0"/>
          <w:marTop w:val="0"/>
          <w:marBottom w:val="0"/>
          <w:divBdr>
            <w:top w:val="none" w:sz="0" w:space="0" w:color="auto"/>
            <w:left w:val="none" w:sz="0" w:space="0" w:color="auto"/>
            <w:bottom w:val="none" w:sz="0" w:space="0" w:color="auto"/>
            <w:right w:val="none" w:sz="0" w:space="0" w:color="auto"/>
          </w:divBdr>
        </w:div>
        <w:div w:id="1820657558">
          <w:marLeft w:val="0"/>
          <w:marRight w:val="0"/>
          <w:marTop w:val="0"/>
          <w:marBottom w:val="0"/>
          <w:divBdr>
            <w:top w:val="none" w:sz="0" w:space="0" w:color="auto"/>
            <w:left w:val="none" w:sz="0" w:space="0" w:color="auto"/>
            <w:bottom w:val="none" w:sz="0" w:space="0" w:color="auto"/>
            <w:right w:val="none" w:sz="0" w:space="0" w:color="auto"/>
          </w:divBdr>
        </w:div>
        <w:div w:id="429276830">
          <w:marLeft w:val="0"/>
          <w:marRight w:val="0"/>
          <w:marTop w:val="0"/>
          <w:marBottom w:val="0"/>
          <w:divBdr>
            <w:top w:val="none" w:sz="0" w:space="0" w:color="auto"/>
            <w:left w:val="none" w:sz="0" w:space="0" w:color="auto"/>
            <w:bottom w:val="none" w:sz="0" w:space="0" w:color="auto"/>
            <w:right w:val="none" w:sz="0" w:space="0" w:color="auto"/>
          </w:divBdr>
        </w:div>
        <w:div w:id="1449548613">
          <w:marLeft w:val="0"/>
          <w:marRight w:val="0"/>
          <w:marTop w:val="0"/>
          <w:marBottom w:val="0"/>
          <w:divBdr>
            <w:top w:val="none" w:sz="0" w:space="0" w:color="auto"/>
            <w:left w:val="none" w:sz="0" w:space="0" w:color="auto"/>
            <w:bottom w:val="none" w:sz="0" w:space="0" w:color="auto"/>
            <w:right w:val="none" w:sz="0" w:space="0" w:color="auto"/>
          </w:divBdr>
        </w:div>
        <w:div w:id="2095738910">
          <w:marLeft w:val="0"/>
          <w:marRight w:val="0"/>
          <w:marTop w:val="0"/>
          <w:marBottom w:val="0"/>
          <w:divBdr>
            <w:top w:val="none" w:sz="0" w:space="0" w:color="auto"/>
            <w:left w:val="none" w:sz="0" w:space="0" w:color="auto"/>
            <w:bottom w:val="none" w:sz="0" w:space="0" w:color="auto"/>
            <w:right w:val="none" w:sz="0" w:space="0" w:color="auto"/>
          </w:divBdr>
        </w:div>
      </w:divsChild>
    </w:div>
    <w:div w:id="2103405759">
      <w:bodyDiv w:val="1"/>
      <w:marLeft w:val="0"/>
      <w:marRight w:val="0"/>
      <w:marTop w:val="0"/>
      <w:marBottom w:val="0"/>
      <w:divBdr>
        <w:top w:val="none" w:sz="0" w:space="0" w:color="auto"/>
        <w:left w:val="none" w:sz="0" w:space="0" w:color="auto"/>
        <w:bottom w:val="none" w:sz="0" w:space="0" w:color="auto"/>
        <w:right w:val="none" w:sz="0" w:space="0" w:color="auto"/>
      </w:divBdr>
      <w:divsChild>
        <w:div w:id="1054618316">
          <w:marLeft w:val="0"/>
          <w:marRight w:val="0"/>
          <w:marTop w:val="0"/>
          <w:marBottom w:val="0"/>
          <w:divBdr>
            <w:top w:val="none" w:sz="0" w:space="0" w:color="auto"/>
            <w:left w:val="none" w:sz="0" w:space="0" w:color="auto"/>
            <w:bottom w:val="none" w:sz="0" w:space="0" w:color="auto"/>
            <w:right w:val="none" w:sz="0" w:space="0" w:color="auto"/>
          </w:divBdr>
        </w:div>
        <w:div w:id="1272670129">
          <w:marLeft w:val="0"/>
          <w:marRight w:val="0"/>
          <w:marTop w:val="0"/>
          <w:marBottom w:val="0"/>
          <w:divBdr>
            <w:top w:val="none" w:sz="0" w:space="0" w:color="auto"/>
            <w:left w:val="none" w:sz="0" w:space="0" w:color="auto"/>
            <w:bottom w:val="none" w:sz="0" w:space="0" w:color="auto"/>
            <w:right w:val="none" w:sz="0" w:space="0" w:color="auto"/>
          </w:divBdr>
        </w:div>
        <w:div w:id="57089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nicef.org/child-protection/child-labou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cw-project.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ipec/ChildlabourstatisticsSIMPOC/Questionnairessurveysandreports/lang--en/index.htm" TargetMode="External"/><Relationship Id="rId5" Type="http://schemas.openxmlformats.org/officeDocument/2006/relationships/numbering" Target="numbering.xml"/><Relationship Id="rId15" Type="http://schemas.openxmlformats.org/officeDocument/2006/relationships/hyperlink" Target="http://www.ucw-project.or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ipec/ChildlabourstatisticsSIMPOC/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s>
</ds:datastoreItem>
</file>

<file path=customXml/itemProps4.xml><?xml version="1.0" encoding="utf-8"?>
<ds:datastoreItem xmlns:ds="http://schemas.openxmlformats.org/officeDocument/2006/customXml" ds:itemID="{09B30D60-1A20-4C21-AD52-053A10BF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2021-03-22T03:51:00Z</dcterms:created>
  <dcterms:modified xsi:type="dcterms:W3CDTF">2021-05-27T17:43:00Z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