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C87131" w:rsidRDefault="006C4BFD" w:rsidP="006C4BFD">
      <w:pPr>
        <w:spacing w:after="0"/>
        <w:jc w:val="center"/>
        <w:rPr>
          <w:rFonts w:cstheme="minorHAnsi"/>
        </w:rPr>
      </w:pPr>
      <w:bookmarkStart w:id="0" w:name="_GoBack"/>
      <w:bookmarkEnd w:id="0"/>
      <w:r w:rsidRPr="00C87131">
        <w:rPr>
          <w:rFonts w:eastAsia="Times New Roman" w:cstheme="minorHAnsi"/>
          <w:color w:val="1C75BC"/>
          <w:sz w:val="36"/>
          <w:szCs w:val="36"/>
          <w:lang w:eastAsia="en-GB"/>
        </w:rPr>
        <w:t>SDG indicator metadata</w:t>
      </w:r>
    </w:p>
    <w:p w14:paraId="129054E9" w14:textId="2E583254" w:rsidR="006C4BFD" w:rsidRPr="00C87131" w:rsidRDefault="002C2510" w:rsidP="006C4BFD">
      <w:pPr>
        <w:spacing w:after="0"/>
        <w:jc w:val="center"/>
        <w:rPr>
          <w:rFonts w:eastAsia="Times New Roman" w:cstheme="minorHAnsi"/>
          <w:b/>
          <w:bCs/>
          <w:color w:val="4A4A4A"/>
          <w:sz w:val="21"/>
          <w:szCs w:val="21"/>
          <w:lang w:eastAsia="en-GB"/>
        </w:rPr>
      </w:pPr>
      <w:r w:rsidRPr="00C87131">
        <w:rPr>
          <w:rFonts w:eastAsia="Times New Roman" w:cstheme="minorHAnsi"/>
          <w:b/>
          <w:bCs/>
          <w:color w:val="4A4A4A"/>
          <w:sz w:val="21"/>
          <w:szCs w:val="21"/>
          <w:lang w:eastAsia="en-GB"/>
        </w:rPr>
        <w:t xml:space="preserve">(Harmonized </w:t>
      </w:r>
      <w:r w:rsidR="00942694" w:rsidRPr="00C87131">
        <w:rPr>
          <w:rFonts w:eastAsia="Times New Roman" w:cstheme="minorHAnsi"/>
          <w:b/>
          <w:bCs/>
          <w:color w:val="4A4A4A"/>
          <w:sz w:val="21"/>
          <w:szCs w:val="21"/>
          <w:lang w:eastAsia="en-GB"/>
        </w:rPr>
        <w:t xml:space="preserve">metadata </w:t>
      </w:r>
      <w:r w:rsidRPr="00C87131">
        <w:rPr>
          <w:rFonts w:eastAsia="Times New Roman" w:cstheme="minorHAnsi"/>
          <w:b/>
          <w:bCs/>
          <w:color w:val="4A4A4A"/>
          <w:sz w:val="21"/>
          <w:szCs w:val="21"/>
          <w:lang w:eastAsia="en-GB"/>
        </w:rPr>
        <w:t>template - format version 1.0)</w:t>
      </w:r>
    </w:p>
    <w:p w14:paraId="773F63CF" w14:textId="77777777" w:rsidR="006C4BFD" w:rsidRPr="00C87131" w:rsidRDefault="006C4BFD" w:rsidP="006C4BFD">
      <w:pPr>
        <w:spacing w:after="0"/>
        <w:rPr>
          <w:rFonts w:eastAsia="Times New Roman" w:cstheme="minorHAnsi"/>
          <w:b/>
          <w:bCs/>
          <w:color w:val="4A4A4A"/>
          <w:sz w:val="21"/>
          <w:szCs w:val="21"/>
          <w:lang w:eastAsia="en-GB"/>
        </w:rPr>
      </w:pPr>
    </w:p>
    <w:p w14:paraId="6AEAC6DA" w14:textId="6C7C2D3A" w:rsidR="00B31E2C" w:rsidRPr="00C87131" w:rsidRDefault="00B31E2C" w:rsidP="00EA05D3">
      <w:pPr>
        <w:pStyle w:val="MIndHeader2"/>
        <w:rPr>
          <w:rFonts w:cstheme="minorHAnsi"/>
        </w:rPr>
      </w:pPr>
      <w:r w:rsidRPr="00C87131">
        <w:rPr>
          <w:rFonts w:cstheme="minorHAnsi"/>
        </w:rPr>
        <w:t>0. Indicator information</w:t>
      </w:r>
    </w:p>
    <w:p w14:paraId="043ED752" w14:textId="28D7692E" w:rsidR="00D24330" w:rsidRPr="00C87131" w:rsidRDefault="00D24330" w:rsidP="00EA05D3">
      <w:pPr>
        <w:pStyle w:val="MIndHeader"/>
        <w:rPr>
          <w:rFonts w:cstheme="minorHAnsi"/>
        </w:rPr>
      </w:pPr>
      <w:r w:rsidRPr="00C87131">
        <w:rPr>
          <w:rFonts w:cstheme="minorHAnsi"/>
        </w:rPr>
        <w:t>0.a. Goal</w:t>
      </w:r>
    </w:p>
    <w:p w14:paraId="36853237" w14:textId="77777777" w:rsidR="00171DA2" w:rsidRPr="00C87131" w:rsidRDefault="00171DA2" w:rsidP="00D24330">
      <w:pPr>
        <w:pStyle w:val="MIndHeader"/>
        <w:rPr>
          <w:rFonts w:cstheme="minorHAnsi"/>
          <w:color w:val="333333"/>
          <w:sz w:val="21"/>
          <w:szCs w:val="21"/>
        </w:rPr>
      </w:pPr>
      <w:r w:rsidRPr="00C87131">
        <w:rPr>
          <w:rFonts w:cstheme="minorHAnsi"/>
          <w:color w:val="333333"/>
          <w:sz w:val="21"/>
          <w:szCs w:val="21"/>
        </w:rPr>
        <w:t xml:space="preserve">Goal 8: Promote sustained, inclusive and sustainable economic growth, full and productive employment and decent work for all </w:t>
      </w:r>
    </w:p>
    <w:p w14:paraId="084142D2" w14:textId="333FED73" w:rsidR="00D24330" w:rsidRPr="00C87131" w:rsidRDefault="00D24330" w:rsidP="00D24330">
      <w:pPr>
        <w:pStyle w:val="MIndHeader"/>
        <w:rPr>
          <w:rFonts w:cstheme="minorHAnsi"/>
        </w:rPr>
      </w:pPr>
      <w:r w:rsidRPr="00C87131">
        <w:rPr>
          <w:rFonts w:cstheme="minorHAnsi"/>
        </w:rPr>
        <w:t>0.b. Target</w:t>
      </w:r>
    </w:p>
    <w:p w14:paraId="3032E87B" w14:textId="77777777" w:rsidR="00171DA2" w:rsidRPr="00C87131" w:rsidRDefault="00171DA2" w:rsidP="00D24330">
      <w:pPr>
        <w:pStyle w:val="MIndHeader"/>
        <w:rPr>
          <w:rFonts w:cstheme="minorHAnsi"/>
          <w:color w:val="333333"/>
          <w:sz w:val="21"/>
          <w:szCs w:val="21"/>
        </w:rPr>
      </w:pPr>
      <w:r w:rsidRPr="00C87131">
        <w:rPr>
          <w:rFonts w:cstheme="minorHAnsi"/>
          <w:color w:val="333333"/>
          <w:sz w:val="21"/>
          <w:szCs w:val="21"/>
        </w:rPr>
        <w:t xml:space="preserve">Target 8.8: Protect labour rights and promote safe and secure working environments for all workers, including migrant workers, in particular women migrants, and those in precarious employment </w:t>
      </w:r>
    </w:p>
    <w:p w14:paraId="3E67E7E0" w14:textId="3A3F79DD" w:rsidR="00D24330" w:rsidRPr="00C87131" w:rsidRDefault="00D24330" w:rsidP="00D24330">
      <w:pPr>
        <w:pStyle w:val="MIndHeader"/>
        <w:rPr>
          <w:rFonts w:cstheme="minorHAnsi"/>
        </w:rPr>
      </w:pPr>
      <w:r w:rsidRPr="00C87131">
        <w:rPr>
          <w:rFonts w:cstheme="minorHAnsi"/>
        </w:rPr>
        <w:t>0.c. Indicator</w:t>
      </w:r>
    </w:p>
    <w:p w14:paraId="4357C744" w14:textId="77777777" w:rsidR="00A4061C" w:rsidRDefault="00865A38" w:rsidP="00A4061C">
      <w:pPr>
        <w:pStyle w:val="MGTHeader"/>
        <w:rPr>
          <w:rFonts w:cstheme="minorHAnsi"/>
        </w:rPr>
      </w:pPr>
      <w:r>
        <w:t xml:space="preserve">Indicator 8.8.1: </w:t>
      </w:r>
      <w:r w:rsidRPr="00CA1CFF">
        <w:t>Fatal and non-fatal occupational injuries per 100'000 workers</w:t>
      </w:r>
      <w:r>
        <w:t>, by sex and migrant status</w:t>
      </w:r>
    </w:p>
    <w:p w14:paraId="37E5E4F6" w14:textId="7C36233A" w:rsidR="00D24330" w:rsidRDefault="00D24330" w:rsidP="00D24330">
      <w:pPr>
        <w:pStyle w:val="MIndHeader"/>
        <w:rPr>
          <w:rFonts w:cstheme="minorHAnsi"/>
        </w:rPr>
      </w:pPr>
      <w:r w:rsidRPr="00C87131">
        <w:rPr>
          <w:rFonts w:cstheme="minorHAnsi"/>
        </w:rPr>
        <w:t>0.d. Series</w:t>
      </w:r>
    </w:p>
    <w:p w14:paraId="43F25E3B" w14:textId="77777777" w:rsidR="0047560D" w:rsidRPr="00C87131" w:rsidRDefault="0047560D" w:rsidP="00D24330">
      <w:pPr>
        <w:pStyle w:val="MIndHeader"/>
        <w:rPr>
          <w:rFonts w:cstheme="minorHAnsi"/>
        </w:rPr>
      </w:pPr>
    </w:p>
    <w:p w14:paraId="157DACE7" w14:textId="77777777" w:rsidR="00D24330" w:rsidRPr="00C87131" w:rsidRDefault="00D24330" w:rsidP="00D24330">
      <w:pPr>
        <w:pStyle w:val="MIndHeader"/>
        <w:rPr>
          <w:rFonts w:cstheme="minorHAnsi"/>
        </w:rPr>
      </w:pPr>
      <w:r w:rsidRPr="00C87131">
        <w:rPr>
          <w:rFonts w:cstheme="minorHAnsi"/>
        </w:rPr>
        <w:t>0.e. Metadata update</w:t>
      </w:r>
    </w:p>
    <w:p w14:paraId="03424B60" w14:textId="54B804BB" w:rsidR="00D24330" w:rsidRPr="00C87131" w:rsidRDefault="009559E9" w:rsidP="00D24330">
      <w:pPr>
        <w:pStyle w:val="MGTHeader"/>
        <w:rPr>
          <w:rFonts w:cstheme="minorHAnsi"/>
        </w:rPr>
      </w:pPr>
      <w:r>
        <w:rPr>
          <w:rFonts w:cstheme="minorHAnsi"/>
        </w:rPr>
        <w:t>January 2021</w:t>
      </w:r>
    </w:p>
    <w:p w14:paraId="415C9FF1" w14:textId="77777777" w:rsidR="00D24330" w:rsidRPr="00C87131" w:rsidRDefault="00D24330" w:rsidP="00D24330">
      <w:pPr>
        <w:pStyle w:val="MIndHeader"/>
        <w:rPr>
          <w:rFonts w:cstheme="minorHAnsi"/>
        </w:rPr>
      </w:pPr>
      <w:r w:rsidRPr="00C87131">
        <w:rPr>
          <w:rFonts w:cstheme="minorHAnsi"/>
        </w:rPr>
        <w:t>0.f. Related indicators</w:t>
      </w:r>
    </w:p>
    <w:p w14:paraId="58CEC425" w14:textId="6447D337" w:rsidR="0048142E" w:rsidRPr="00C87131" w:rsidRDefault="00A27F7F" w:rsidP="00D24330">
      <w:pPr>
        <w:pStyle w:val="MIndHeader"/>
        <w:rPr>
          <w:rFonts w:cstheme="minorHAnsi"/>
          <w:color w:val="333333"/>
          <w:sz w:val="21"/>
          <w:szCs w:val="21"/>
        </w:rPr>
      </w:pPr>
      <w:r>
        <w:rPr>
          <w:rFonts w:cstheme="minorHAnsi"/>
          <w:color w:val="333333"/>
          <w:sz w:val="21"/>
          <w:szCs w:val="21"/>
        </w:rPr>
        <w:t>1.3.1</w:t>
      </w:r>
    </w:p>
    <w:p w14:paraId="077BC49E" w14:textId="01A2ACE0" w:rsidR="00D24330" w:rsidRPr="00C87131" w:rsidRDefault="00D24330" w:rsidP="00D24330">
      <w:pPr>
        <w:pStyle w:val="MIndHeader"/>
        <w:rPr>
          <w:rFonts w:cstheme="minorHAnsi"/>
        </w:rPr>
      </w:pPr>
      <w:r w:rsidRPr="00C87131">
        <w:rPr>
          <w:rFonts w:cstheme="minorHAnsi"/>
        </w:rPr>
        <w:t>0.g. International organisations(s) responsible for global monitoring</w:t>
      </w:r>
    </w:p>
    <w:p w14:paraId="19F29921" w14:textId="0F4F1514" w:rsidR="008D1D39" w:rsidRPr="00C87131" w:rsidRDefault="00171DA2" w:rsidP="0051190A">
      <w:pPr>
        <w:pStyle w:val="MGTHeader"/>
        <w:rPr>
          <w:rFonts w:cstheme="minorHAnsi"/>
        </w:rPr>
      </w:pPr>
      <w:r w:rsidRPr="00C87131">
        <w:rPr>
          <w:rFonts w:cstheme="minorHAnsi"/>
        </w:rPr>
        <w:t>ILO</w:t>
      </w:r>
    </w:p>
    <w:p w14:paraId="67E85610" w14:textId="77777777" w:rsidR="0051190A" w:rsidRPr="00C87131" w:rsidRDefault="0051190A" w:rsidP="00573631">
      <w:pPr>
        <w:shd w:val="clear" w:color="auto" w:fill="FFFFFF"/>
        <w:spacing w:after="0"/>
        <w:rPr>
          <w:rFonts w:eastAsia="Times New Roman" w:cstheme="minorHAnsi"/>
          <w:color w:val="4A4A4A"/>
          <w:sz w:val="21"/>
          <w:szCs w:val="21"/>
          <w:lang w:eastAsia="en-GB"/>
        </w:rPr>
      </w:pPr>
    </w:p>
    <w:p w14:paraId="12E0D73A" w14:textId="48126E58" w:rsidR="00B31E2C" w:rsidRPr="00C87131" w:rsidRDefault="00B31E2C" w:rsidP="00EA05D3">
      <w:pPr>
        <w:pStyle w:val="MHeader"/>
        <w:rPr>
          <w:rFonts w:cstheme="minorHAnsi"/>
        </w:rPr>
      </w:pPr>
      <w:bookmarkStart w:id="1" w:name="_Toc37932744"/>
      <w:bookmarkStart w:id="2" w:name="_Toc36813072"/>
      <w:bookmarkStart w:id="3" w:name="_Toc36812685"/>
      <w:bookmarkStart w:id="4" w:name="_Toc36812572"/>
      <w:bookmarkStart w:id="5" w:name="_Toc36655609"/>
      <w:r w:rsidRPr="00C87131">
        <w:rPr>
          <w:rFonts w:cstheme="minorHAnsi"/>
        </w:rPr>
        <w:t>1. Data reporter</w:t>
      </w:r>
      <w:bookmarkEnd w:id="1"/>
      <w:bookmarkEnd w:id="2"/>
      <w:bookmarkEnd w:id="3"/>
      <w:bookmarkEnd w:id="4"/>
      <w:bookmarkEnd w:id="5"/>
    </w:p>
    <w:p w14:paraId="0BD77982" w14:textId="72DFE854" w:rsidR="00576CFA" w:rsidRPr="00C87131" w:rsidRDefault="00576CFA" w:rsidP="00F719A8">
      <w:pPr>
        <w:pStyle w:val="MHeader2"/>
        <w:rPr>
          <w:rFonts w:cstheme="minorHAnsi"/>
        </w:rPr>
      </w:pPr>
      <w:r w:rsidRPr="00C87131">
        <w:rPr>
          <w:rFonts w:cstheme="minorHAnsi"/>
        </w:rPr>
        <w:t>1.a. Organisation</w:t>
      </w:r>
    </w:p>
    <w:p w14:paraId="6E829FD0" w14:textId="6493A386" w:rsidR="00F719A8" w:rsidRDefault="00171DA2" w:rsidP="00576CFA">
      <w:pPr>
        <w:pStyle w:val="MText"/>
        <w:rPr>
          <w:rFonts w:cstheme="minorHAnsi"/>
        </w:rPr>
      </w:pPr>
      <w:r w:rsidRPr="00C87131">
        <w:rPr>
          <w:rFonts w:cstheme="minorHAnsi"/>
        </w:rPr>
        <w:t>ILO</w:t>
      </w:r>
    </w:p>
    <w:p w14:paraId="0EF543B8" w14:textId="77777777" w:rsidR="00047697" w:rsidRPr="00C87131" w:rsidRDefault="00047697" w:rsidP="00576CFA">
      <w:pPr>
        <w:pStyle w:val="MText"/>
        <w:rPr>
          <w:rFonts w:cstheme="minorHAnsi"/>
        </w:rPr>
      </w:pPr>
    </w:p>
    <w:p w14:paraId="14915AC8" w14:textId="7D506133" w:rsidR="00B31E2C" w:rsidRPr="00C87131" w:rsidRDefault="00B31E2C" w:rsidP="008B0AC7">
      <w:pPr>
        <w:pStyle w:val="MHeader"/>
        <w:rPr>
          <w:rFonts w:cstheme="minorHAnsi"/>
        </w:rPr>
      </w:pPr>
      <w:r w:rsidRPr="00C87131">
        <w:rPr>
          <w:rFonts w:cstheme="minorHAnsi"/>
        </w:rPr>
        <w:t>2. Definition, concepts, and classifications</w:t>
      </w:r>
    </w:p>
    <w:p w14:paraId="2AC373EA" w14:textId="44236363" w:rsidR="008B0AC7" w:rsidRPr="00C87131" w:rsidRDefault="008B0AC7" w:rsidP="00F719A8">
      <w:pPr>
        <w:pStyle w:val="MHeader2"/>
        <w:rPr>
          <w:rFonts w:cstheme="minorHAnsi"/>
        </w:rPr>
      </w:pPr>
      <w:r w:rsidRPr="00C87131">
        <w:rPr>
          <w:rFonts w:cstheme="minorHAnsi"/>
        </w:rPr>
        <w:t>2.a. Definition and concepts</w:t>
      </w:r>
    </w:p>
    <w:p w14:paraId="688F5BB4"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b/>
          <w:bCs/>
          <w:color w:val="4A4A4A"/>
          <w:sz w:val="21"/>
          <w:szCs w:val="21"/>
          <w:lang w:val="en-GB"/>
        </w:rPr>
        <w:t>Definition:</w:t>
      </w:r>
      <w:r w:rsidRPr="00C87131">
        <w:rPr>
          <w:rStyle w:val="eop"/>
          <w:rFonts w:asciiTheme="minorHAnsi" w:hAnsiTheme="minorHAnsi" w:cstheme="minorHAnsi"/>
          <w:color w:val="4A4A4A"/>
          <w:sz w:val="21"/>
          <w:szCs w:val="21"/>
        </w:rPr>
        <w:t> </w:t>
      </w:r>
    </w:p>
    <w:p w14:paraId="5EBDFFF0"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This indicator provides information on the number of fatal and non-fatal occupational injuries per 100,000 workers in the reference group during the reference period. It is a measure of the personal likelihood or risk of having a fatal or a non-fatal occupational injury for each worker in the reference group.</w:t>
      </w:r>
      <w:r w:rsidRPr="00C87131">
        <w:rPr>
          <w:rStyle w:val="eop"/>
          <w:rFonts w:asciiTheme="minorHAnsi" w:hAnsiTheme="minorHAnsi" w:cstheme="minorHAnsi"/>
          <w:color w:val="4A4A4A"/>
          <w:sz w:val="21"/>
          <w:szCs w:val="21"/>
        </w:rPr>
        <w:t> </w:t>
      </w:r>
    </w:p>
    <w:p w14:paraId="3A107FCA"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26034DEA"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The number of occupational injuries expressed per a given number of workers in the reference group is also known as the incidence rate of occupational injuries</w:t>
      </w:r>
      <w:r w:rsidRPr="00C87131">
        <w:rPr>
          <w:rStyle w:val="eop"/>
          <w:rFonts w:asciiTheme="minorHAnsi" w:hAnsiTheme="minorHAnsi" w:cstheme="minorHAnsi"/>
          <w:color w:val="4A4A4A"/>
          <w:sz w:val="21"/>
          <w:szCs w:val="21"/>
        </w:rPr>
        <w:t> </w:t>
      </w:r>
    </w:p>
    <w:p w14:paraId="67D0C234"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3E458BCC"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b/>
          <w:bCs/>
          <w:color w:val="4A4A4A"/>
          <w:sz w:val="21"/>
          <w:szCs w:val="21"/>
          <w:lang w:val="en-GB"/>
        </w:rPr>
        <w:t>Concepts:</w:t>
      </w:r>
      <w:r w:rsidRPr="00C87131">
        <w:rPr>
          <w:rStyle w:val="eop"/>
          <w:rFonts w:asciiTheme="minorHAnsi" w:hAnsiTheme="minorHAnsi" w:cstheme="minorHAnsi"/>
          <w:color w:val="4A4A4A"/>
          <w:sz w:val="21"/>
          <w:szCs w:val="21"/>
        </w:rPr>
        <w:t> </w:t>
      </w:r>
    </w:p>
    <w:p w14:paraId="0D10E52F"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Definitions of the main concepts presented below are derived from the Resolution concerning statistics of occupational injuries (resulting from occupational accidents), adopted by the 16th ICLS in 1998</w:t>
      </w:r>
      <w:r w:rsidRPr="00C87131">
        <w:rPr>
          <w:rStyle w:val="eop"/>
          <w:rFonts w:asciiTheme="minorHAnsi" w:hAnsiTheme="minorHAnsi" w:cstheme="minorHAnsi"/>
          <w:color w:val="4A4A4A"/>
          <w:sz w:val="21"/>
          <w:szCs w:val="21"/>
        </w:rPr>
        <w:t> </w:t>
      </w:r>
    </w:p>
    <w:p w14:paraId="5C34E7E8"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lastRenderedPageBreak/>
        <w:t>(</w:t>
      </w:r>
      <w:hyperlink r:id="rId11" w:tgtFrame="_blank" w:history="1">
        <w:r w:rsidRPr="00C87131">
          <w:rPr>
            <w:rStyle w:val="normaltextrun"/>
            <w:rFonts w:asciiTheme="minorHAnsi" w:hAnsiTheme="minorHAnsi" w:cstheme="minorHAnsi"/>
            <w:color w:val="0000FF"/>
            <w:sz w:val="21"/>
            <w:szCs w:val="21"/>
            <w:u w:val="single"/>
            <w:lang w:val="en-GB"/>
          </w:rPr>
          <w:t>http://www.ilo.org/global/statistics-and-databases/standards-and-guidelines/resolutions-adopted-byinternational-conferences-of-labour-statisticians/WCMS_087528/lang--en/index.htm</w:t>
        </w:r>
      </w:hyperlink>
      <w:r w:rsidRPr="00C87131">
        <w:rPr>
          <w:rStyle w:val="normaltextrun"/>
          <w:rFonts w:asciiTheme="minorHAnsi" w:hAnsiTheme="minorHAnsi" w:cstheme="minorHAnsi"/>
          <w:color w:val="4A4A4A"/>
          <w:sz w:val="21"/>
          <w:szCs w:val="21"/>
          <w:lang w:val="en-GB"/>
        </w:rPr>
        <w:t>).</w:t>
      </w:r>
      <w:r w:rsidRPr="00C87131">
        <w:rPr>
          <w:rStyle w:val="eop"/>
          <w:rFonts w:asciiTheme="minorHAnsi" w:hAnsiTheme="minorHAnsi" w:cstheme="minorHAnsi"/>
          <w:color w:val="4A4A4A"/>
          <w:sz w:val="21"/>
          <w:szCs w:val="21"/>
        </w:rPr>
        <w:t> </w:t>
      </w:r>
    </w:p>
    <w:p w14:paraId="74B19315"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5B648ABB"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Occupational accident: an unexpected and unplanned occurrence, including acts of violence, arising out of or in connection with work which results in one or more workers incurring a personal injury, disease or death. Occupational accidents are to be considered travel, transport or road traffic accidents in which workers are injured and which arise out of or in the course of work; that is, while engaged in an economic activity, or at work, or carrying out the business of the employer.</w:t>
      </w:r>
      <w:r w:rsidRPr="00C87131">
        <w:rPr>
          <w:rStyle w:val="eop"/>
          <w:rFonts w:asciiTheme="minorHAnsi" w:hAnsiTheme="minorHAnsi" w:cstheme="minorHAnsi"/>
          <w:color w:val="4A4A4A"/>
          <w:sz w:val="21"/>
          <w:szCs w:val="21"/>
        </w:rPr>
        <w:t> </w:t>
      </w:r>
    </w:p>
    <w:p w14:paraId="3B2B1CBF"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7FFAAC0A"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Occupational injury: any personal injury, disease or death resulting from an occupational accident. An occupational injury is different from an occupational disease, which comes as a result of an exposure over a period of time to risk factors linked to the work activity. Diseases are included only in cases where the disease arose as a direct result of an accident. An occupational injury can be fatal or non-fatal (and non-fatal injuries could entail the loss of work days).</w:t>
      </w:r>
      <w:r w:rsidRPr="00C87131">
        <w:rPr>
          <w:rStyle w:val="eop"/>
          <w:rFonts w:asciiTheme="minorHAnsi" w:hAnsiTheme="minorHAnsi" w:cstheme="minorHAnsi"/>
          <w:color w:val="4A4A4A"/>
          <w:sz w:val="21"/>
          <w:szCs w:val="21"/>
        </w:rPr>
        <w:t> </w:t>
      </w:r>
    </w:p>
    <w:p w14:paraId="4EA707F9"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78E9BD89"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Fatal occupational injury: an occupational injury leading to death within one year of the day of the occupational accident.</w:t>
      </w:r>
      <w:r w:rsidRPr="00C87131">
        <w:rPr>
          <w:rStyle w:val="eop"/>
          <w:rFonts w:asciiTheme="minorHAnsi" w:hAnsiTheme="minorHAnsi" w:cstheme="minorHAnsi"/>
          <w:color w:val="4A4A4A"/>
          <w:sz w:val="21"/>
          <w:szCs w:val="21"/>
        </w:rPr>
        <w:t> </w:t>
      </w:r>
    </w:p>
    <w:p w14:paraId="3A19280E"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72228184"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Case of occupational injury: the case of one worker incurring one or more occupational injuries as a result of one occupational accident. </w:t>
      </w:r>
      <w:r w:rsidRPr="00C87131">
        <w:rPr>
          <w:rStyle w:val="eop"/>
          <w:rFonts w:asciiTheme="minorHAnsi" w:hAnsiTheme="minorHAnsi" w:cstheme="minorHAnsi"/>
          <w:color w:val="4A4A4A"/>
          <w:sz w:val="21"/>
          <w:szCs w:val="21"/>
        </w:rPr>
        <w:t> </w:t>
      </w:r>
    </w:p>
    <w:p w14:paraId="30CF9C64"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27AF707C"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Workers in the reference group: workers in the reference group refer to the average number of workers in the particular group under consideration and who are covered by the source of the statistics on occupational injuries (for example, those of a specific sex or in a specific economic activity, occupation, region, age group, or any combination of these, or those covered by a particular insurance scheme, accident notification systems, or household or establishment survey).</w:t>
      </w:r>
      <w:r w:rsidRPr="00C87131">
        <w:rPr>
          <w:rStyle w:val="eop"/>
          <w:rFonts w:asciiTheme="minorHAnsi" w:hAnsiTheme="minorHAnsi" w:cstheme="minorHAnsi"/>
          <w:color w:val="4A4A4A"/>
          <w:sz w:val="21"/>
          <w:szCs w:val="21"/>
        </w:rPr>
        <w:t> </w:t>
      </w:r>
    </w:p>
    <w:p w14:paraId="6E54D3D6" w14:textId="77777777" w:rsidR="00EC2915" w:rsidRPr="00C87131" w:rsidRDefault="00EC2915" w:rsidP="00576CFA">
      <w:pPr>
        <w:pStyle w:val="MText"/>
        <w:rPr>
          <w:rFonts w:cstheme="minorHAnsi"/>
        </w:rPr>
      </w:pPr>
    </w:p>
    <w:p w14:paraId="7932F8BD" w14:textId="3869C451" w:rsidR="008B0AC7" w:rsidRPr="00C87131" w:rsidRDefault="00576CFA" w:rsidP="00F719A8">
      <w:pPr>
        <w:pStyle w:val="MHeader2"/>
        <w:rPr>
          <w:rFonts w:cstheme="minorHAnsi"/>
        </w:rPr>
      </w:pPr>
      <w:r w:rsidRPr="00C87131">
        <w:rPr>
          <w:rFonts w:cstheme="minorHAnsi"/>
        </w:rPr>
        <w:t>2.b.</w:t>
      </w:r>
      <w:r w:rsidR="008B0AC7" w:rsidRPr="00C87131">
        <w:rPr>
          <w:rFonts w:cstheme="minorHAnsi"/>
        </w:rPr>
        <w:t xml:space="preserve"> Unit of measure</w:t>
      </w:r>
    </w:p>
    <w:p w14:paraId="1CAE3771" w14:textId="06C84CA7" w:rsidR="00576CFA" w:rsidRPr="00C87131" w:rsidRDefault="009559E9" w:rsidP="00576CFA">
      <w:pPr>
        <w:pStyle w:val="MText"/>
        <w:rPr>
          <w:rFonts w:cstheme="minorHAnsi"/>
        </w:rPr>
      </w:pPr>
      <w:r>
        <w:rPr>
          <w:rFonts w:cstheme="minorHAnsi"/>
        </w:rPr>
        <w:t>Ratio of cases per 100’000 workers</w:t>
      </w:r>
    </w:p>
    <w:p w14:paraId="548E9AAA" w14:textId="77777777" w:rsidR="00EC2915" w:rsidRPr="00C87131" w:rsidRDefault="00EC2915" w:rsidP="00576CFA">
      <w:pPr>
        <w:pStyle w:val="MText"/>
        <w:rPr>
          <w:rFonts w:cstheme="minorHAnsi"/>
        </w:rPr>
      </w:pPr>
    </w:p>
    <w:p w14:paraId="651AA7AC" w14:textId="5144B8C4" w:rsidR="00DA615C" w:rsidRPr="00C87131" w:rsidRDefault="008B0AC7" w:rsidP="00F719A8">
      <w:pPr>
        <w:pStyle w:val="MHeader2"/>
        <w:rPr>
          <w:rFonts w:cstheme="minorHAnsi"/>
        </w:rPr>
      </w:pPr>
      <w:r w:rsidRPr="00C87131">
        <w:rPr>
          <w:rFonts w:cstheme="minorHAnsi"/>
        </w:rPr>
        <w:t>2.c. Classifications</w:t>
      </w:r>
    </w:p>
    <w:p w14:paraId="6291A7DD" w14:textId="4D3162E2" w:rsidR="00576CFA" w:rsidRPr="00C87131" w:rsidRDefault="009559E9" w:rsidP="00576CFA">
      <w:pPr>
        <w:pStyle w:val="MText"/>
        <w:rPr>
          <w:rFonts w:cstheme="minorHAnsi"/>
        </w:rPr>
      </w:pPr>
      <w:r>
        <w:rPr>
          <w:rFonts w:cstheme="minorHAnsi"/>
        </w:rPr>
        <w:t xml:space="preserve">Migrant status is determined according to country of birth (native-born or foreign-born) or country of citizenship (citizen or non-citizen). </w:t>
      </w:r>
    </w:p>
    <w:p w14:paraId="123172F4" w14:textId="77777777" w:rsidR="00F719A8" w:rsidRPr="00C87131" w:rsidRDefault="00F719A8" w:rsidP="00576CFA">
      <w:pPr>
        <w:pStyle w:val="MText"/>
        <w:rPr>
          <w:rFonts w:cstheme="minorHAnsi"/>
        </w:rPr>
      </w:pPr>
    </w:p>
    <w:p w14:paraId="1D3AEECA" w14:textId="4C5EC949" w:rsidR="00B31E2C" w:rsidRPr="00C87131" w:rsidRDefault="00B31E2C" w:rsidP="00F719A8">
      <w:pPr>
        <w:pStyle w:val="MHeader"/>
        <w:rPr>
          <w:rFonts w:cstheme="minorHAnsi"/>
        </w:rPr>
      </w:pPr>
      <w:r w:rsidRPr="00C87131">
        <w:rPr>
          <w:rFonts w:cstheme="minorHAnsi"/>
        </w:rPr>
        <w:t>3. Data source type and data collection method</w:t>
      </w:r>
    </w:p>
    <w:p w14:paraId="340B050E" w14:textId="31C09E5F" w:rsidR="008B0AC7" w:rsidRPr="00C87131" w:rsidRDefault="008B0AC7" w:rsidP="00F719A8">
      <w:pPr>
        <w:pStyle w:val="MHeader2"/>
        <w:rPr>
          <w:rFonts w:cstheme="minorHAnsi"/>
        </w:rPr>
      </w:pPr>
      <w:r w:rsidRPr="00C87131">
        <w:rPr>
          <w:rFonts w:cstheme="minorHAnsi"/>
        </w:rPr>
        <w:t>3.a. Data sources</w:t>
      </w:r>
    </w:p>
    <w:p w14:paraId="299155FB" w14:textId="789D9342" w:rsidR="0048142E" w:rsidRDefault="0048142E" w:rsidP="0048142E">
      <w:pPr>
        <w:shd w:val="clear" w:color="auto" w:fill="FFFFFF"/>
        <w:spacing w:after="0" w:line="240" w:lineRule="auto"/>
        <w:textAlignment w:val="baseline"/>
        <w:rPr>
          <w:rFonts w:eastAsia="Times New Roman" w:cstheme="minorHAnsi"/>
          <w:color w:val="4A4A4A"/>
          <w:sz w:val="21"/>
          <w:szCs w:val="21"/>
          <w:lang w:val="en-US" w:eastAsia="en-US"/>
        </w:rPr>
      </w:pPr>
      <w:r w:rsidRPr="00C87131">
        <w:rPr>
          <w:rFonts w:eastAsia="Times New Roman" w:cstheme="minorHAnsi"/>
          <w:color w:val="4A4A4A"/>
          <w:sz w:val="21"/>
          <w:szCs w:val="21"/>
          <w:lang w:eastAsia="en-US"/>
        </w:rPr>
        <w:t>The recommended data sources are different types of administrative records, such as records of national systems for the notification of occupational injuries (labour inspection records and annual reports; insurance and compensation records, death registers), supplemented by household surveys (especially in order to cover informal sector enterprises and the self-employed) and/or establishment surveys.</w:t>
      </w:r>
      <w:r w:rsidRPr="00C87131">
        <w:rPr>
          <w:rFonts w:eastAsia="Times New Roman" w:cstheme="minorHAnsi"/>
          <w:color w:val="4A4A4A"/>
          <w:sz w:val="21"/>
          <w:szCs w:val="21"/>
          <w:lang w:val="en-US" w:eastAsia="en-US"/>
        </w:rPr>
        <w:t> </w:t>
      </w:r>
    </w:p>
    <w:p w14:paraId="50274C61" w14:textId="77777777" w:rsidR="00A27F7F" w:rsidRPr="00C87131" w:rsidRDefault="00A27F7F" w:rsidP="0048142E">
      <w:pPr>
        <w:shd w:val="clear" w:color="auto" w:fill="FFFFFF"/>
        <w:spacing w:after="0" w:line="240" w:lineRule="auto"/>
        <w:textAlignment w:val="baseline"/>
        <w:rPr>
          <w:rFonts w:eastAsia="Times New Roman" w:cstheme="minorHAnsi"/>
          <w:sz w:val="18"/>
          <w:szCs w:val="18"/>
          <w:lang w:val="en-US" w:eastAsia="en-US"/>
        </w:rPr>
      </w:pPr>
    </w:p>
    <w:p w14:paraId="479C3841" w14:textId="77777777" w:rsidR="0048142E" w:rsidRPr="00C87131" w:rsidRDefault="0048142E" w:rsidP="0048142E">
      <w:pPr>
        <w:shd w:val="clear" w:color="auto" w:fill="FFFFFF"/>
        <w:spacing w:after="0" w:line="240" w:lineRule="auto"/>
        <w:textAlignment w:val="baseline"/>
        <w:rPr>
          <w:rFonts w:eastAsia="Times New Roman" w:cstheme="minorHAnsi"/>
          <w:sz w:val="18"/>
          <w:szCs w:val="18"/>
          <w:lang w:val="en-US" w:eastAsia="en-US"/>
        </w:rPr>
      </w:pPr>
      <w:r w:rsidRPr="00C87131">
        <w:rPr>
          <w:rFonts w:eastAsia="Times New Roman" w:cstheme="minorHAnsi"/>
          <w:color w:val="4A4A4A"/>
          <w:sz w:val="21"/>
          <w:szCs w:val="21"/>
          <w:lang w:eastAsia="en-US"/>
        </w:rPr>
        <w:t>The metadata should clearly specify (</w:t>
      </w:r>
      <w:proofErr w:type="spellStart"/>
      <w:r w:rsidRPr="00C87131">
        <w:rPr>
          <w:rFonts w:eastAsia="Times New Roman" w:cstheme="minorHAnsi"/>
          <w:color w:val="4A4A4A"/>
          <w:sz w:val="21"/>
          <w:szCs w:val="21"/>
          <w:lang w:eastAsia="en-US"/>
        </w:rPr>
        <w:t>i</w:t>
      </w:r>
      <w:proofErr w:type="spellEnd"/>
      <w:r w:rsidRPr="00C87131">
        <w:rPr>
          <w:rFonts w:eastAsia="Times New Roman" w:cstheme="minorHAnsi"/>
          <w:color w:val="4A4A4A"/>
          <w:sz w:val="21"/>
          <w:szCs w:val="21"/>
          <w:lang w:eastAsia="en-US"/>
        </w:rPr>
        <w:t>) whether the statistics relate to cases of occupational injury which have been reported (to an accident notification system or to an accident compensation scheme), compensated (by an accident insurance scheme) or identified in some other way (for example through a survey of households or establishments) and (ii) whether cases of occupational disease and cases of injury due to commuting accidents are excluded from the statistics, as recommended.</w:t>
      </w:r>
      <w:r w:rsidRPr="00C87131">
        <w:rPr>
          <w:rFonts w:eastAsia="Times New Roman" w:cstheme="minorHAnsi"/>
          <w:color w:val="4A4A4A"/>
          <w:sz w:val="21"/>
          <w:szCs w:val="21"/>
          <w:lang w:val="en-US" w:eastAsia="en-US"/>
        </w:rPr>
        <w:t> </w:t>
      </w:r>
    </w:p>
    <w:p w14:paraId="3018A8D8" w14:textId="77777777" w:rsidR="00EC2915" w:rsidRPr="00C87131" w:rsidRDefault="00EC2915" w:rsidP="00576CFA">
      <w:pPr>
        <w:pStyle w:val="MText"/>
        <w:rPr>
          <w:rFonts w:cstheme="minorHAnsi"/>
        </w:rPr>
      </w:pPr>
    </w:p>
    <w:p w14:paraId="79368080" w14:textId="32CB9C2E" w:rsidR="008B0AC7" w:rsidRPr="00C87131" w:rsidRDefault="00576CFA" w:rsidP="00F719A8">
      <w:pPr>
        <w:pStyle w:val="MHeader2"/>
        <w:rPr>
          <w:rFonts w:cstheme="minorHAnsi"/>
        </w:rPr>
      </w:pPr>
      <w:r w:rsidRPr="00C87131">
        <w:rPr>
          <w:rFonts w:cstheme="minorHAnsi"/>
        </w:rPr>
        <w:lastRenderedPageBreak/>
        <w:t>3.b</w:t>
      </w:r>
      <w:r w:rsidR="008B0AC7" w:rsidRPr="00C87131">
        <w:rPr>
          <w:rFonts w:cstheme="minorHAnsi"/>
        </w:rPr>
        <w:t>. Data collection method</w:t>
      </w:r>
    </w:p>
    <w:p w14:paraId="5823FBC8" w14:textId="509D14DE" w:rsidR="00576CFA" w:rsidRPr="00C87131" w:rsidRDefault="009559E9" w:rsidP="00576CFA">
      <w:pPr>
        <w:pStyle w:val="MText"/>
        <w:rPr>
          <w:rFonts w:cstheme="minorHAnsi"/>
        </w:rPr>
      </w:pPr>
      <w:r w:rsidRPr="009559E9">
        <w:rPr>
          <w:rStyle w:val="normaltextrun"/>
          <w:rFonts w:cstheme="minorHAnsi"/>
        </w:rPr>
        <w:t xml:space="preserve">The ILO Department of Statistics processes national household survey </w:t>
      </w:r>
      <w:proofErr w:type="spellStart"/>
      <w:r w:rsidRPr="009559E9">
        <w:rPr>
          <w:rStyle w:val="normaltextrun"/>
          <w:rFonts w:cstheme="minorHAnsi"/>
        </w:rPr>
        <w:t>microdatasets</w:t>
      </w:r>
      <w:proofErr w:type="spellEnd"/>
      <w:r w:rsidRPr="009559E9">
        <w:rPr>
          <w:rStyle w:val="normaltextrun"/>
          <w:rFonts w:cstheme="minorHAnsi"/>
        </w:rPr>
        <w:t xml:space="preserve"> in line with internationally-agreed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r w:rsidR="00576CFA" w:rsidRPr="00C87131">
        <w:rPr>
          <w:rFonts w:cstheme="minorHAnsi"/>
        </w:rPr>
        <w:tab/>
      </w:r>
    </w:p>
    <w:p w14:paraId="7D9F065F" w14:textId="77777777" w:rsidR="00EC2915" w:rsidRPr="00C87131" w:rsidRDefault="00EC2915" w:rsidP="00576CFA">
      <w:pPr>
        <w:pStyle w:val="MText"/>
        <w:rPr>
          <w:rFonts w:cstheme="minorHAnsi"/>
        </w:rPr>
      </w:pPr>
    </w:p>
    <w:p w14:paraId="170A2C05" w14:textId="34873ECA" w:rsidR="00E46D96" w:rsidRPr="00C87131" w:rsidRDefault="00E46D96" w:rsidP="00F719A8">
      <w:pPr>
        <w:pStyle w:val="MHeader2"/>
        <w:rPr>
          <w:rFonts w:cstheme="minorHAnsi"/>
        </w:rPr>
      </w:pPr>
      <w:r w:rsidRPr="00C87131">
        <w:rPr>
          <w:rFonts w:cstheme="minorHAnsi"/>
        </w:rPr>
        <w:t>3.c. Data collection calendar</w:t>
      </w:r>
    </w:p>
    <w:p w14:paraId="01BA862E" w14:textId="47EF6C52" w:rsidR="00EC2915" w:rsidRDefault="009559E9" w:rsidP="00576CFA">
      <w:pPr>
        <w:pStyle w:val="MText"/>
        <w:rPr>
          <w:rStyle w:val="normaltextrun"/>
          <w:rFonts w:cstheme="minorHAnsi"/>
        </w:rPr>
      </w:pPr>
      <w:r>
        <w:rPr>
          <w:rStyle w:val="normaltextrun"/>
          <w:rFonts w:cstheme="minorHAnsi"/>
        </w:rPr>
        <w:t>Continuous</w:t>
      </w:r>
    </w:p>
    <w:p w14:paraId="251C6B21" w14:textId="77777777" w:rsidR="009559E9" w:rsidRPr="00C87131" w:rsidRDefault="009559E9" w:rsidP="00576CFA">
      <w:pPr>
        <w:pStyle w:val="MText"/>
        <w:rPr>
          <w:rFonts w:cstheme="minorHAnsi"/>
        </w:rPr>
      </w:pPr>
    </w:p>
    <w:p w14:paraId="7D466604" w14:textId="674844F0" w:rsidR="00E46D96" w:rsidRPr="00C87131" w:rsidRDefault="00E46D96" w:rsidP="00F719A8">
      <w:pPr>
        <w:pStyle w:val="MHeader2"/>
        <w:rPr>
          <w:rFonts w:cstheme="minorHAnsi"/>
        </w:rPr>
      </w:pPr>
      <w:r w:rsidRPr="00C87131">
        <w:rPr>
          <w:rFonts w:cstheme="minorHAnsi"/>
        </w:rPr>
        <w:t>3.d. Data release calendar</w:t>
      </w:r>
    </w:p>
    <w:p w14:paraId="64C749BD" w14:textId="7EB5063A" w:rsidR="00EC2915" w:rsidRDefault="009559E9" w:rsidP="00576CFA">
      <w:pPr>
        <w:pStyle w:val="MText"/>
        <w:rPr>
          <w:rStyle w:val="normaltextrun"/>
          <w:rFonts w:cstheme="minorHAnsi"/>
        </w:rPr>
      </w:pPr>
      <w:r>
        <w:rPr>
          <w:rStyle w:val="normaltextrun"/>
          <w:rFonts w:cstheme="minorHAnsi"/>
        </w:rPr>
        <w:t>Continuous</w:t>
      </w:r>
    </w:p>
    <w:p w14:paraId="0AF5BB23" w14:textId="77777777" w:rsidR="009559E9" w:rsidRPr="00C87131" w:rsidRDefault="009559E9" w:rsidP="00576CFA">
      <w:pPr>
        <w:pStyle w:val="MText"/>
        <w:rPr>
          <w:rFonts w:cstheme="minorHAnsi"/>
        </w:rPr>
      </w:pPr>
    </w:p>
    <w:p w14:paraId="3A4F3065" w14:textId="3AD52F9D" w:rsidR="00E46D96" w:rsidRPr="00C87131" w:rsidRDefault="00E46D96" w:rsidP="00F719A8">
      <w:pPr>
        <w:pStyle w:val="MHeader2"/>
        <w:rPr>
          <w:rFonts w:cstheme="minorHAnsi"/>
        </w:rPr>
      </w:pPr>
      <w:r w:rsidRPr="00C87131">
        <w:rPr>
          <w:rFonts w:cstheme="minorHAnsi"/>
        </w:rPr>
        <w:t>3.e. Data providers</w:t>
      </w:r>
    </w:p>
    <w:p w14:paraId="50A66E64" w14:textId="7F6F12F3" w:rsidR="00EC2915" w:rsidRPr="00C87131" w:rsidRDefault="0048142E" w:rsidP="00576CFA">
      <w:pPr>
        <w:pStyle w:val="MText"/>
        <w:rPr>
          <w:rStyle w:val="eop"/>
          <w:rFonts w:cstheme="minorHAnsi"/>
        </w:rPr>
      </w:pPr>
      <w:r w:rsidRPr="00C87131">
        <w:rPr>
          <w:rStyle w:val="normaltextrun"/>
          <w:rFonts w:cstheme="minorHAnsi"/>
        </w:rPr>
        <w:t>Labour ministries, labour inspection, national insurance, and/or national statistical offices</w:t>
      </w:r>
      <w:r w:rsidRPr="00C87131">
        <w:rPr>
          <w:rStyle w:val="eop"/>
          <w:rFonts w:cstheme="minorHAnsi"/>
        </w:rPr>
        <w:t> </w:t>
      </w:r>
    </w:p>
    <w:p w14:paraId="6336F441" w14:textId="77777777" w:rsidR="0048142E" w:rsidRPr="00C87131" w:rsidRDefault="0048142E" w:rsidP="00576CFA">
      <w:pPr>
        <w:pStyle w:val="MText"/>
        <w:rPr>
          <w:rFonts w:cstheme="minorHAnsi"/>
        </w:rPr>
      </w:pPr>
    </w:p>
    <w:p w14:paraId="30DC8E05" w14:textId="484D6EC2" w:rsidR="00E46D96" w:rsidRPr="00C87131" w:rsidRDefault="00E46D96" w:rsidP="00F719A8">
      <w:pPr>
        <w:pStyle w:val="MHeader2"/>
        <w:rPr>
          <w:rFonts w:cstheme="minorHAnsi"/>
        </w:rPr>
      </w:pPr>
      <w:r w:rsidRPr="00C87131">
        <w:rPr>
          <w:rFonts w:cstheme="minorHAnsi"/>
        </w:rPr>
        <w:t>3.f. Data compilers</w:t>
      </w:r>
    </w:p>
    <w:p w14:paraId="5C43435B" w14:textId="7C7D98F7" w:rsidR="00EC2915" w:rsidRPr="00C87131" w:rsidRDefault="0048142E" w:rsidP="00576CFA">
      <w:pPr>
        <w:pStyle w:val="MText"/>
        <w:rPr>
          <w:rStyle w:val="eop"/>
          <w:rFonts w:cstheme="minorHAnsi"/>
        </w:rPr>
      </w:pPr>
      <w:r w:rsidRPr="00C87131">
        <w:rPr>
          <w:rStyle w:val="normaltextrun"/>
          <w:rFonts w:cstheme="minorHAnsi"/>
        </w:rPr>
        <w:t>ILO</w:t>
      </w:r>
      <w:r w:rsidRPr="00C87131">
        <w:rPr>
          <w:rStyle w:val="eop"/>
          <w:rFonts w:cstheme="minorHAnsi"/>
        </w:rPr>
        <w:t> </w:t>
      </w:r>
    </w:p>
    <w:p w14:paraId="79623BA1" w14:textId="77777777" w:rsidR="0048142E" w:rsidRPr="00C87131" w:rsidRDefault="0048142E" w:rsidP="00576CFA">
      <w:pPr>
        <w:pStyle w:val="MText"/>
        <w:rPr>
          <w:rFonts w:cstheme="minorHAnsi"/>
        </w:rPr>
      </w:pPr>
    </w:p>
    <w:p w14:paraId="5655E768" w14:textId="5429F32E" w:rsidR="00E46D96" w:rsidRPr="00C87131" w:rsidRDefault="00E46D96" w:rsidP="00F719A8">
      <w:pPr>
        <w:pStyle w:val="MHeader2"/>
        <w:rPr>
          <w:rFonts w:cstheme="minorHAnsi"/>
        </w:rPr>
      </w:pPr>
      <w:r w:rsidRPr="00C87131">
        <w:rPr>
          <w:rFonts w:cstheme="minorHAnsi"/>
        </w:rPr>
        <w:t>3.g. Institutional mandate</w:t>
      </w:r>
    </w:p>
    <w:p w14:paraId="7D007C3C" w14:textId="45E7BA4D" w:rsidR="00EC2915" w:rsidRPr="00C87131" w:rsidRDefault="009559E9" w:rsidP="00576CFA">
      <w:pPr>
        <w:pStyle w:val="MText"/>
        <w:rPr>
          <w:rFonts w:cstheme="minorHAnsi"/>
        </w:rPr>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 xml:space="preserve">with the goal of disseminating </w:t>
      </w:r>
      <w:proofErr w:type="gramStart"/>
      <w:r w:rsidRPr="001F5661">
        <w:t>internationally-comparable</w:t>
      </w:r>
      <w:proofErr w:type="gramEnd"/>
      <w:r w:rsidRPr="001F5661">
        <w:t xml:space="preserve"> datasets</w:t>
      </w:r>
      <w:r>
        <w:t>, and p</w:t>
      </w:r>
      <w:r w:rsidRPr="001F5661">
        <w:t>rovide</w:t>
      </w:r>
      <w:r>
        <w:t>s</w:t>
      </w:r>
      <w:r w:rsidRPr="001F5661">
        <w:t xml:space="preserve"> technical assistance and training </w:t>
      </w:r>
      <w:r>
        <w:t>to ILO member States to support their efforts to produce high quality labour market data.</w:t>
      </w:r>
    </w:p>
    <w:p w14:paraId="3D063F4C" w14:textId="77777777" w:rsidR="00F719A8" w:rsidRPr="00C87131" w:rsidRDefault="00F719A8" w:rsidP="00576CFA">
      <w:pPr>
        <w:pStyle w:val="MText"/>
        <w:rPr>
          <w:rFonts w:cstheme="minorHAnsi"/>
        </w:rPr>
      </w:pPr>
    </w:p>
    <w:p w14:paraId="6149DC94" w14:textId="05781947" w:rsidR="00B31E2C" w:rsidRPr="00C87131" w:rsidRDefault="00B31E2C" w:rsidP="00AF5ED1">
      <w:pPr>
        <w:pStyle w:val="MHeader"/>
        <w:rPr>
          <w:rFonts w:cstheme="minorHAnsi"/>
        </w:rPr>
      </w:pPr>
      <w:r w:rsidRPr="00C87131">
        <w:rPr>
          <w:rFonts w:cstheme="minorHAnsi"/>
        </w:rPr>
        <w:t>4. Other methodological considerations</w:t>
      </w:r>
    </w:p>
    <w:p w14:paraId="1AFA5517" w14:textId="54FD9B10" w:rsidR="00AF5ED1" w:rsidRPr="00C87131" w:rsidRDefault="00576CFA" w:rsidP="00F719A8">
      <w:pPr>
        <w:pStyle w:val="MHeader2"/>
        <w:rPr>
          <w:rFonts w:cstheme="minorHAnsi"/>
        </w:rPr>
      </w:pPr>
      <w:r w:rsidRPr="00C87131">
        <w:rPr>
          <w:rFonts w:cstheme="minorHAnsi"/>
        </w:rPr>
        <w:t>4.a. Rationale</w:t>
      </w:r>
    </w:p>
    <w:p w14:paraId="7BEA1216"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This indicator provides valuable information that could be used to formulate policies and programmes for the prevention of occupational injuries, diseases and deaths. It could also be used to monitor the implementation of these programmes and to signal particular areas of increasing risk such as a particular occupation, industry or location. Although the principal objective of this indicator is to provide information for prevention purposes, it may be used for a number of other purposes, such as to identify the occupations and economic activities with the highest risk of occupational injuries; to detect changes in the pattern and occurrence of occupational injuries, so as to monitor improvements in safety and reveal any new areas of risk; to inform employers, employers’ organizations, workers and workers’ organizations of the risks associated with their work and workplaces, so that they can take an active part in their own safety; to evaluate the effectiveness of preventive measures; to estimate the consequences of occupational injuries, particularly in terms of days lost or costs; and to provide a basis for policymaking aimed at encouraging employers, employers’ organizations, workers and workers’ organizations to introduce accident prevention measures.</w:t>
      </w:r>
      <w:r w:rsidRPr="00C87131">
        <w:rPr>
          <w:rStyle w:val="eop"/>
          <w:rFonts w:asciiTheme="minorHAnsi" w:hAnsiTheme="minorHAnsi" w:cstheme="minorHAnsi"/>
          <w:color w:val="4A4A4A"/>
          <w:sz w:val="21"/>
          <w:szCs w:val="21"/>
        </w:rPr>
        <w:t> </w:t>
      </w:r>
    </w:p>
    <w:p w14:paraId="18EA7892" w14:textId="77777777" w:rsidR="00576CFA" w:rsidRPr="00C87131" w:rsidRDefault="00576CFA" w:rsidP="00576CFA">
      <w:pPr>
        <w:pStyle w:val="MText"/>
        <w:rPr>
          <w:rFonts w:cstheme="minorHAnsi"/>
        </w:rPr>
      </w:pPr>
    </w:p>
    <w:p w14:paraId="2529B069" w14:textId="618DCD10" w:rsidR="00E1050F" w:rsidRPr="00C87131" w:rsidRDefault="00E1050F" w:rsidP="00F719A8">
      <w:pPr>
        <w:pStyle w:val="MHeader2"/>
        <w:rPr>
          <w:rFonts w:cstheme="minorHAnsi"/>
        </w:rPr>
      </w:pPr>
      <w:r w:rsidRPr="00C87131">
        <w:rPr>
          <w:rFonts w:cstheme="minorHAnsi"/>
        </w:rPr>
        <w:lastRenderedPageBreak/>
        <w:t>4.b. Comment and limitations</w:t>
      </w:r>
    </w:p>
    <w:p w14:paraId="79DAB2C9"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There may be problems of under reporting of occupational injuries, and proper systems should be put in place to ensure the best reporting and data quality. Under reporting is thought to be present in countries at all levels of development, but may be particularly problematic in some developing countries. Data users should be aware of this issue when analysing the data. Double-counting of cases of occupational injury may also happen in cases where data from several registries (records kept by different agencies, for example) are consolidated to have more comprehensive statistics.</w:t>
      </w:r>
      <w:r w:rsidRPr="00C87131">
        <w:rPr>
          <w:rStyle w:val="eop"/>
          <w:rFonts w:asciiTheme="minorHAnsi" w:hAnsiTheme="minorHAnsi" w:cstheme="minorHAnsi"/>
          <w:color w:val="4A4A4A"/>
          <w:sz w:val="21"/>
          <w:szCs w:val="21"/>
        </w:rPr>
        <w:t> </w:t>
      </w:r>
    </w:p>
    <w:p w14:paraId="5609CBD8"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50DDFD00"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Because data quality issues may be present, it may be more relevant to analyse indicator trends rather than levels. When measured over a period of time, the data can reveal progress or deterioration in occupational safety and health, and thus point to the effectiveness of prevention measures. This indicator is volatile and strong annual fluctuations may occur due to unexpected but significant accidents or national calamities. The underlying trend should therefore be analysed.</w:t>
      </w:r>
      <w:r w:rsidRPr="00C87131">
        <w:rPr>
          <w:rStyle w:val="eop"/>
          <w:rFonts w:asciiTheme="minorHAnsi" w:hAnsiTheme="minorHAnsi" w:cstheme="minorHAnsi"/>
          <w:color w:val="4A4A4A"/>
          <w:sz w:val="21"/>
          <w:szCs w:val="21"/>
        </w:rPr>
        <w:t> </w:t>
      </w:r>
    </w:p>
    <w:p w14:paraId="398C00AE" w14:textId="77777777" w:rsidR="00EC2915" w:rsidRPr="00C87131" w:rsidRDefault="00EC2915" w:rsidP="00576CFA">
      <w:pPr>
        <w:pStyle w:val="MText"/>
        <w:rPr>
          <w:rFonts w:cstheme="minorHAnsi"/>
        </w:rPr>
      </w:pPr>
    </w:p>
    <w:p w14:paraId="79EEEE38" w14:textId="75AB172D" w:rsidR="00E1050F" w:rsidRPr="00C87131" w:rsidRDefault="00E1050F" w:rsidP="00F719A8">
      <w:pPr>
        <w:pStyle w:val="MHeader2"/>
        <w:rPr>
          <w:rFonts w:cstheme="minorHAnsi"/>
        </w:rPr>
      </w:pPr>
      <w:r w:rsidRPr="00C87131">
        <w:rPr>
          <w:rFonts w:cstheme="minorHAnsi"/>
        </w:rPr>
        <w:t>4.c. Method of computation</w:t>
      </w:r>
    </w:p>
    <w:p w14:paraId="34F73EBD" w14:textId="77777777" w:rsidR="0048142E" w:rsidRPr="00C87131" w:rsidRDefault="0048142E" w:rsidP="0048142E">
      <w:pPr>
        <w:shd w:val="clear" w:color="auto" w:fill="FFFFFF"/>
        <w:spacing w:after="0"/>
        <w:rPr>
          <w:rFonts w:eastAsia="Times New Roman" w:cstheme="minorHAnsi"/>
          <w:color w:val="4A4A4A"/>
          <w:sz w:val="21"/>
          <w:szCs w:val="21"/>
          <w:lang w:eastAsia="en-GB"/>
        </w:rPr>
      </w:pPr>
      <w:r w:rsidRPr="00C87131">
        <w:rPr>
          <w:rFonts w:eastAsia="Times New Roman" w:cstheme="minorHAnsi"/>
          <w:color w:val="4A4A4A"/>
          <w:sz w:val="21"/>
          <w:szCs w:val="21"/>
          <w:lang w:eastAsia="en-GB"/>
        </w:rPr>
        <w:t>The incidence rates of fatal and non-fatal occupational injuries will be calculated separately, since statistics on fatal injuries tend to come from a different source than those on non-fatal injuries, which would make their sum into total occupational accidents inaccurate.</w:t>
      </w:r>
    </w:p>
    <w:p w14:paraId="651BCF64" w14:textId="790FA3B0" w:rsidR="0048142E" w:rsidRPr="00C87131" w:rsidRDefault="0048142E" w:rsidP="0048142E">
      <w:pPr>
        <w:shd w:val="clear" w:color="auto" w:fill="FFFFFF"/>
        <w:spacing w:after="0"/>
        <w:rPr>
          <w:rFonts w:eastAsia="Times New Roman" w:cstheme="minorHAnsi"/>
          <w:color w:val="4A4A4A"/>
          <w:sz w:val="21"/>
          <w:szCs w:val="21"/>
          <w:lang w:eastAsia="en-GB"/>
        </w:rPr>
      </w:pPr>
    </w:p>
    <w:p w14:paraId="76F00DF6" w14:textId="77777777" w:rsidR="0048142E" w:rsidRPr="00C87131" w:rsidRDefault="0048142E" w:rsidP="0048142E">
      <w:pPr>
        <w:shd w:val="clear" w:color="auto" w:fill="FFFFFF"/>
        <w:spacing w:after="0"/>
        <w:rPr>
          <w:rFonts w:eastAsia="Times New Roman" w:cstheme="minorHAnsi"/>
          <w:color w:val="4A4A4A"/>
          <w:sz w:val="21"/>
          <w:szCs w:val="21"/>
          <w:lang w:eastAsia="en-GB"/>
        </w:rPr>
      </w:pPr>
      <w:r w:rsidRPr="00C87131">
        <w:rPr>
          <w:rFonts w:eastAsia="Times New Roman" w:cstheme="minorHAnsi"/>
          <w:color w:val="4A4A4A"/>
          <w:sz w:val="21"/>
          <w:szCs w:val="21"/>
          <w:lang w:eastAsia="en-GB"/>
        </w:rPr>
        <w:t>The fatal occupational injury incidence rate is expressed per 100,000 workers in the reference group, and thus, is calculated as follows:</w:t>
      </w:r>
    </w:p>
    <w:p w14:paraId="72548003"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2EBFF7CA" w14:textId="77777777" w:rsidR="0048142E" w:rsidRPr="00C87131" w:rsidRDefault="0048142E" w:rsidP="0048142E">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Fatal occupational injury incidence rate =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New cases of fatal injury during the reference year</m:t>
              </m:r>
            </m:num>
            <m:den>
              <m:r>
                <m:rPr>
                  <m:sty m:val="p"/>
                </m:rPr>
                <w:rPr>
                  <w:rFonts w:ascii="Cambria Math" w:eastAsia="Times New Roman" w:hAnsi="Cambria Math" w:cstheme="minorHAnsi"/>
                  <w:color w:val="4A4A4A"/>
                  <w:sz w:val="21"/>
                  <w:szCs w:val="21"/>
                  <w:lang w:eastAsia="en-GB"/>
                </w:rPr>
                <m:t>Workers in the reference group during the reference year</m:t>
              </m:r>
            </m:den>
          </m:f>
          <m:r>
            <w:rPr>
              <w:rFonts w:ascii="Cambria Math" w:eastAsia="Times New Roman" w:hAnsi="Cambria Math" w:cstheme="minorHAnsi"/>
              <w:color w:val="4A4A4A"/>
              <w:sz w:val="21"/>
              <w:szCs w:val="21"/>
              <w:lang w:eastAsia="en-GB"/>
            </w:rPr>
            <m:t xml:space="preserve"> ×100,000</m:t>
          </m:r>
        </m:oMath>
      </m:oMathPara>
    </w:p>
    <w:p w14:paraId="1591CE3C"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15A1A313"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74F9CA1E" w14:textId="77777777" w:rsidR="0048142E" w:rsidRPr="00C87131" w:rsidRDefault="0048142E" w:rsidP="0048142E">
      <w:pPr>
        <w:shd w:val="clear" w:color="auto" w:fill="FFFFFF"/>
        <w:spacing w:after="0"/>
        <w:rPr>
          <w:rFonts w:eastAsia="Times New Roman" w:cstheme="minorHAnsi"/>
          <w:color w:val="4A4A4A"/>
          <w:sz w:val="21"/>
          <w:szCs w:val="21"/>
          <w:lang w:eastAsia="en-GB"/>
        </w:rPr>
      </w:pPr>
      <w:r w:rsidRPr="00C87131">
        <w:rPr>
          <w:rFonts w:eastAsia="Times New Roman" w:cstheme="minorHAnsi"/>
          <w:color w:val="4A4A4A"/>
          <w:sz w:val="21"/>
          <w:szCs w:val="21"/>
          <w:lang w:eastAsia="en-GB"/>
        </w:rPr>
        <w:t>Similarly, the non-fatal occupational injury incidence rate is calculated as follows:</w:t>
      </w:r>
    </w:p>
    <w:p w14:paraId="2DCBE646"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024DCB33" w14:textId="17EA51B1" w:rsidR="0048142E" w:rsidRPr="00C87131" w:rsidRDefault="0048142E" w:rsidP="0048142E">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Non fatal occupational injury incidence rate =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New cases of non fatal injury during the reference year</m:t>
              </m:r>
            </m:num>
            <m:den>
              <m:r>
                <m:rPr>
                  <m:sty m:val="p"/>
                </m:rPr>
                <w:rPr>
                  <w:rFonts w:ascii="Cambria Math" w:eastAsia="Times New Roman" w:hAnsi="Cambria Math" w:cstheme="minorHAnsi"/>
                  <w:color w:val="4A4A4A"/>
                  <w:sz w:val="21"/>
                  <w:szCs w:val="21"/>
                  <w:lang w:eastAsia="en-GB"/>
                </w:rPr>
                <m:t>Workers in the reference group during the reference year</m:t>
              </m:r>
            </m:den>
          </m:f>
          <m:r>
            <w:rPr>
              <w:rFonts w:ascii="Cambria Math" w:eastAsia="Times New Roman" w:hAnsi="Cambria Math" w:cstheme="minorHAnsi"/>
              <w:color w:val="4A4A4A"/>
              <w:sz w:val="21"/>
              <w:szCs w:val="21"/>
              <w:lang w:eastAsia="en-GB"/>
            </w:rPr>
            <m:t xml:space="preserve"> ×100,000</m:t>
          </m:r>
        </m:oMath>
      </m:oMathPara>
    </w:p>
    <w:p w14:paraId="7D7906BD"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27048F1A" w14:textId="77777777" w:rsidR="0048142E" w:rsidRPr="00C87131" w:rsidRDefault="0048142E" w:rsidP="0048142E">
      <w:pPr>
        <w:spacing w:after="0" w:line="240" w:lineRule="auto"/>
        <w:rPr>
          <w:rFonts w:cstheme="minorHAnsi"/>
          <w:sz w:val="24"/>
          <w:szCs w:val="24"/>
          <w:lang w:val="en-US" w:eastAsia="en-US"/>
        </w:rPr>
      </w:pPr>
      <w:r w:rsidRPr="00C87131">
        <w:rPr>
          <w:rFonts w:eastAsia="Times New Roman" w:cstheme="minorHAnsi"/>
          <w:color w:val="4A4A4A"/>
          <w:sz w:val="21"/>
          <w:szCs w:val="21"/>
          <w:lang w:eastAsia="en-GB"/>
        </w:rPr>
        <w:t>In calculating the average number of workers, the number of part-time workers should be converted to full-time equivalents. For the calculation of rates, the numerator and the denominator should have the same coverage. For example, if self-employed persons are not covered by the source of statistics on fatal occupational injuries, they should also be taken out of the denominator.</w:t>
      </w:r>
      <w:r w:rsidRPr="00C87131">
        <w:rPr>
          <w:rFonts w:cstheme="minorHAnsi"/>
          <w:sz w:val="24"/>
          <w:szCs w:val="24"/>
          <w:lang w:val="en-US" w:eastAsia="en-US"/>
        </w:rPr>
        <w:t xml:space="preserve"> </w:t>
      </w:r>
    </w:p>
    <w:p w14:paraId="6A89839E" w14:textId="57321E0A" w:rsidR="00576CFA" w:rsidRPr="00C87131" w:rsidRDefault="00576CFA" w:rsidP="00576CFA">
      <w:pPr>
        <w:pStyle w:val="MText"/>
        <w:rPr>
          <w:rFonts w:cstheme="minorHAnsi"/>
        </w:rPr>
      </w:pPr>
    </w:p>
    <w:p w14:paraId="514CE3C0" w14:textId="3F3F7A53" w:rsidR="00E1050F" w:rsidRPr="00C87131" w:rsidRDefault="00576CFA" w:rsidP="00F719A8">
      <w:pPr>
        <w:pStyle w:val="MHeader2"/>
        <w:rPr>
          <w:rFonts w:cstheme="minorHAnsi"/>
        </w:rPr>
      </w:pPr>
      <w:r w:rsidRPr="00C87131">
        <w:rPr>
          <w:rFonts w:cstheme="minorHAnsi"/>
        </w:rPr>
        <w:t>4.d. Validation</w:t>
      </w:r>
    </w:p>
    <w:p w14:paraId="49CB8337" w14:textId="29EEB486" w:rsidR="00EC2915" w:rsidRPr="00C87131" w:rsidRDefault="009559E9" w:rsidP="00576CFA">
      <w:pPr>
        <w:pStyle w:val="MText"/>
        <w:rPr>
          <w:rFonts w:cstheme="minorHAnsi"/>
        </w:rPr>
      </w:pPr>
      <w:r>
        <w:t>The ILO engages in annual consultations with member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3BAADD05" w:rsidR="00F719A8" w:rsidRPr="00C87131" w:rsidRDefault="00F719A8" w:rsidP="00576CFA">
      <w:pPr>
        <w:pStyle w:val="MText"/>
        <w:rPr>
          <w:rFonts w:cstheme="minorHAnsi"/>
        </w:rPr>
      </w:pPr>
    </w:p>
    <w:p w14:paraId="2CF2A343" w14:textId="0A7F0CBE" w:rsidR="00E1050F" w:rsidRPr="00C87131" w:rsidRDefault="00E1050F" w:rsidP="00F719A8">
      <w:pPr>
        <w:pStyle w:val="MHeader2"/>
        <w:rPr>
          <w:rFonts w:cstheme="minorHAnsi"/>
        </w:rPr>
      </w:pPr>
      <w:r w:rsidRPr="00C87131">
        <w:rPr>
          <w:rFonts w:cstheme="minorHAnsi"/>
        </w:rPr>
        <w:t>4.e. Adjustments</w:t>
      </w:r>
    </w:p>
    <w:p w14:paraId="0C034E1F" w14:textId="498262F2" w:rsidR="00047697" w:rsidRPr="00C87131" w:rsidRDefault="00A27F7F" w:rsidP="00576CFA">
      <w:pPr>
        <w:pStyle w:val="MText"/>
        <w:rPr>
          <w:rFonts w:cstheme="minorHAnsi"/>
        </w:rPr>
      </w:pPr>
      <w:r w:rsidRPr="00E85844">
        <w:rPr>
          <w:rFonts w:cstheme="minorHAnsi"/>
        </w:rPr>
        <w:t>Not applicable.</w:t>
      </w:r>
    </w:p>
    <w:p w14:paraId="7FBAEBBA" w14:textId="77777777" w:rsidR="00EC2915" w:rsidRPr="00C87131" w:rsidRDefault="00EC2915" w:rsidP="00576CFA">
      <w:pPr>
        <w:pStyle w:val="MText"/>
        <w:rPr>
          <w:rFonts w:cstheme="minorHAnsi"/>
        </w:rPr>
      </w:pPr>
    </w:p>
    <w:p w14:paraId="17735630" w14:textId="3387C27D" w:rsidR="00E1050F" w:rsidRPr="00C87131" w:rsidRDefault="00576CFA" w:rsidP="00F719A8">
      <w:pPr>
        <w:pStyle w:val="MHeader2"/>
        <w:rPr>
          <w:rFonts w:cstheme="minorHAnsi"/>
        </w:rPr>
      </w:pPr>
      <w:r w:rsidRPr="00C87131">
        <w:rPr>
          <w:rFonts w:cstheme="minorHAnsi"/>
        </w:rPr>
        <w:lastRenderedPageBreak/>
        <w:t>4.f. Treatment of missing values (</w:t>
      </w:r>
      <w:proofErr w:type="spellStart"/>
      <w:r w:rsidRPr="00C87131">
        <w:rPr>
          <w:rFonts w:cstheme="minorHAnsi"/>
        </w:rPr>
        <w:t>i</w:t>
      </w:r>
      <w:proofErr w:type="spellEnd"/>
      <w:r w:rsidRPr="00C87131">
        <w:rPr>
          <w:rFonts w:cstheme="minorHAnsi"/>
        </w:rPr>
        <w:t>) at country le</w:t>
      </w:r>
      <w:r w:rsidR="00E1050F" w:rsidRPr="00C87131">
        <w:rPr>
          <w:rFonts w:cstheme="minorHAnsi"/>
        </w:rPr>
        <w:t>vel and (ii) at regional level</w:t>
      </w:r>
    </w:p>
    <w:p w14:paraId="04748E1F" w14:textId="1BE17C04" w:rsidR="00D51E7C" w:rsidRPr="00C87131" w:rsidRDefault="0045279A" w:rsidP="00D51E7C">
      <w:pPr>
        <w:pStyle w:val="MText"/>
        <w:rPr>
          <w:rFonts w:cstheme="minorHAnsi"/>
        </w:rPr>
      </w:pPr>
      <w:r w:rsidRPr="0045279A">
        <w:rPr>
          <w:rFonts w:cstheme="minorHAnsi"/>
        </w:rPr>
        <w:t xml:space="preserve">Not applicable. </w:t>
      </w:r>
    </w:p>
    <w:p w14:paraId="27033367" w14:textId="77777777" w:rsidR="00EC2915" w:rsidRPr="00C87131" w:rsidRDefault="00EC2915" w:rsidP="00576CFA">
      <w:pPr>
        <w:pStyle w:val="MText"/>
        <w:rPr>
          <w:rFonts w:cstheme="minorHAnsi"/>
        </w:rPr>
      </w:pPr>
    </w:p>
    <w:p w14:paraId="51FCD280" w14:textId="0DAB30E3" w:rsidR="00E1050F" w:rsidRPr="00C87131" w:rsidRDefault="00E1050F" w:rsidP="00F719A8">
      <w:pPr>
        <w:pStyle w:val="MHeader2"/>
        <w:rPr>
          <w:rFonts w:cstheme="minorHAnsi"/>
        </w:rPr>
      </w:pPr>
      <w:r w:rsidRPr="00C87131">
        <w:rPr>
          <w:rFonts w:cstheme="minorHAnsi"/>
        </w:rPr>
        <w:t>4.g. Regional aggregations</w:t>
      </w:r>
    </w:p>
    <w:p w14:paraId="23327535" w14:textId="20C1F53A" w:rsidR="00576CFA" w:rsidRPr="00C87131" w:rsidRDefault="0045279A" w:rsidP="00E1050F">
      <w:pPr>
        <w:pStyle w:val="MText"/>
        <w:rPr>
          <w:rFonts w:cstheme="minorHAnsi"/>
        </w:rPr>
      </w:pPr>
      <w:r>
        <w:rPr>
          <w:rFonts w:cstheme="minorHAnsi"/>
        </w:rPr>
        <w:t>Not applicable.</w:t>
      </w:r>
    </w:p>
    <w:p w14:paraId="2EA010B7" w14:textId="77777777" w:rsidR="00EC2915" w:rsidRPr="00C87131" w:rsidRDefault="00EC2915" w:rsidP="00576CFA">
      <w:pPr>
        <w:pStyle w:val="MText"/>
        <w:rPr>
          <w:rFonts w:cstheme="minorHAnsi"/>
        </w:rPr>
      </w:pPr>
    </w:p>
    <w:p w14:paraId="71213FF2" w14:textId="52980C15" w:rsidR="00E1050F" w:rsidRPr="00C87131" w:rsidRDefault="00576CFA" w:rsidP="00F719A8">
      <w:pPr>
        <w:pStyle w:val="MHeader2"/>
        <w:rPr>
          <w:rFonts w:cstheme="minorHAnsi"/>
        </w:rPr>
      </w:pPr>
      <w:r w:rsidRPr="00C87131">
        <w:rPr>
          <w:rFonts w:cstheme="minorHAnsi"/>
        </w:rPr>
        <w:t xml:space="preserve">4.h. Methods and guidance available to countries for the compilation of </w:t>
      </w:r>
      <w:r w:rsidR="00E1050F" w:rsidRPr="00C87131">
        <w:rPr>
          <w:rFonts w:cstheme="minorHAnsi"/>
        </w:rPr>
        <w:t>the data at the national level</w:t>
      </w:r>
    </w:p>
    <w:p w14:paraId="7662F962" w14:textId="77777777" w:rsidR="0048142E" w:rsidRPr="00C87131" w:rsidRDefault="0048142E" w:rsidP="0048142E">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This indicator could come from a variety of sources at the national level, including various kinds of administrative records (insurance records, labour inspection records, etc.), household surveys and establishment surveys.</w:t>
      </w:r>
      <w:r w:rsidRPr="00C87131">
        <w:rPr>
          <w:rStyle w:val="eop"/>
          <w:rFonts w:asciiTheme="minorHAnsi" w:hAnsiTheme="minorHAnsi" w:cstheme="minorHAnsi"/>
          <w:color w:val="4A4A4A"/>
          <w:sz w:val="21"/>
          <w:szCs w:val="21"/>
        </w:rPr>
        <w:t> </w:t>
      </w:r>
    </w:p>
    <w:p w14:paraId="4E060A81" w14:textId="77777777" w:rsidR="0048142E" w:rsidRPr="00C87131" w:rsidRDefault="0048142E" w:rsidP="0048142E">
      <w:pPr>
        <w:pStyle w:val="paragraph"/>
        <w:numPr>
          <w:ilvl w:val="0"/>
          <w:numId w:val="5"/>
        </w:numPr>
        <w:shd w:val="clear" w:color="auto" w:fill="FFFFFF"/>
        <w:spacing w:before="0" w:beforeAutospacing="0" w:after="0" w:afterAutospacing="0"/>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ILO Guidebook - Decent Work and the Sustainable Development Goals: A Guidebook on SDG Labour Market Indicators (</w:t>
      </w:r>
      <w:hyperlink r:id="rId12" w:tgtFrame="_blank" w:history="1">
        <w:r w:rsidRPr="00C87131">
          <w:rPr>
            <w:rStyle w:val="normaltextrun"/>
            <w:rFonts w:asciiTheme="minorHAnsi" w:hAnsiTheme="minorHAnsi" w:cstheme="minorHAnsi"/>
            <w:color w:val="0000FF"/>
            <w:sz w:val="21"/>
            <w:szCs w:val="21"/>
            <w:u w:val="single"/>
            <w:lang w:val="en-GB"/>
          </w:rPr>
          <w:t>https://www.ilo.org/stat/Publications/WCMS_647109/lang--en/index.htm</w:t>
        </w:r>
      </w:hyperlink>
      <w:r w:rsidRPr="00C87131">
        <w:rPr>
          <w:rStyle w:val="normaltextrun"/>
          <w:rFonts w:asciiTheme="minorHAnsi" w:hAnsiTheme="minorHAnsi" w:cstheme="minorHAnsi"/>
          <w:color w:val="4A4A4A"/>
          <w:sz w:val="21"/>
          <w:szCs w:val="21"/>
          <w:lang w:val="en-GB"/>
        </w:rPr>
        <w:t> )</w:t>
      </w:r>
      <w:r w:rsidRPr="00C87131">
        <w:rPr>
          <w:rStyle w:val="eop"/>
          <w:rFonts w:asciiTheme="minorHAnsi" w:hAnsiTheme="minorHAnsi" w:cstheme="minorHAnsi"/>
          <w:color w:val="4A4A4A"/>
          <w:sz w:val="21"/>
          <w:szCs w:val="21"/>
        </w:rPr>
        <w:t> </w:t>
      </w:r>
    </w:p>
    <w:p w14:paraId="58CDD1E6" w14:textId="77777777" w:rsidR="0048142E" w:rsidRPr="00C87131" w:rsidRDefault="0048142E" w:rsidP="0048142E">
      <w:pPr>
        <w:pStyle w:val="paragraph"/>
        <w:numPr>
          <w:ilvl w:val="0"/>
          <w:numId w:val="5"/>
        </w:numPr>
        <w:shd w:val="clear" w:color="auto" w:fill="FFFFFF"/>
        <w:spacing w:before="0" w:beforeAutospacing="0" w:after="0" w:afterAutospacing="0"/>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ILO Manual – Decent Work Indicators, Concepts and Definitions – Chapter 8, Safe work environment </w:t>
      </w:r>
      <w:hyperlink r:id="rId13" w:tgtFrame="_blank" w:history="1">
        <w:r w:rsidRPr="00C87131">
          <w:rPr>
            <w:rStyle w:val="normaltextrun"/>
            <w:rFonts w:asciiTheme="minorHAnsi" w:hAnsiTheme="minorHAnsi" w:cstheme="minorHAnsi"/>
            <w:color w:val="0000FF"/>
            <w:sz w:val="21"/>
            <w:szCs w:val="21"/>
            <w:u w:val="single"/>
            <w:lang w:val="en-GB"/>
          </w:rPr>
          <w:t xml:space="preserve">http://www.ilo.org/integration/resources/pubs/WCMS_229374/lang-- </w:t>
        </w:r>
        <w:proofErr w:type="spellStart"/>
        <w:r w:rsidRPr="00C87131">
          <w:rPr>
            <w:rStyle w:val="normaltextrun"/>
            <w:rFonts w:asciiTheme="minorHAnsi" w:hAnsiTheme="minorHAnsi" w:cstheme="minorHAnsi"/>
            <w:color w:val="0000FF"/>
            <w:sz w:val="21"/>
            <w:szCs w:val="21"/>
            <w:u w:val="single"/>
            <w:lang w:val="en-GB"/>
          </w:rPr>
          <w:t>en</w:t>
        </w:r>
        <w:proofErr w:type="spellEnd"/>
        <w:r w:rsidRPr="00C87131">
          <w:rPr>
            <w:rStyle w:val="normaltextrun"/>
            <w:rFonts w:asciiTheme="minorHAnsi" w:hAnsiTheme="minorHAnsi" w:cstheme="minorHAnsi"/>
            <w:color w:val="0000FF"/>
            <w:sz w:val="21"/>
            <w:szCs w:val="21"/>
            <w:u w:val="single"/>
            <w:lang w:val="en-GB"/>
          </w:rPr>
          <w:t>/index.htm</w:t>
        </w:r>
      </w:hyperlink>
      <w:r w:rsidRPr="00C87131">
        <w:rPr>
          <w:rStyle w:val="normaltextrun"/>
          <w:rFonts w:asciiTheme="minorHAnsi" w:hAnsiTheme="minorHAnsi" w:cstheme="minorHAnsi"/>
          <w:color w:val="4A4A4A"/>
          <w:sz w:val="21"/>
          <w:szCs w:val="21"/>
          <w:lang w:val="en-GB"/>
        </w:rPr>
        <w:t>  (second version, page 156)</w:t>
      </w:r>
      <w:r w:rsidRPr="00C87131">
        <w:rPr>
          <w:rStyle w:val="eop"/>
          <w:rFonts w:asciiTheme="minorHAnsi" w:hAnsiTheme="minorHAnsi" w:cstheme="minorHAnsi"/>
          <w:color w:val="4A4A4A"/>
          <w:sz w:val="21"/>
          <w:szCs w:val="21"/>
        </w:rPr>
        <w:t> </w:t>
      </w:r>
    </w:p>
    <w:p w14:paraId="6AFA58FE" w14:textId="77777777" w:rsidR="0048142E" w:rsidRPr="00C87131" w:rsidRDefault="0048142E" w:rsidP="0048142E">
      <w:pPr>
        <w:pStyle w:val="paragraph"/>
        <w:numPr>
          <w:ilvl w:val="0"/>
          <w:numId w:val="5"/>
        </w:numPr>
        <w:shd w:val="clear" w:color="auto" w:fill="FFFFFF"/>
        <w:spacing w:before="0" w:beforeAutospacing="0" w:after="0" w:afterAutospacing="0"/>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Resolution concerning statistics of occupational injuries (resulting from occupational accidents) </w:t>
      </w:r>
      <w:hyperlink r:id="rId14" w:tgtFrame="_blank" w:history="1">
        <w:r w:rsidRPr="00C87131">
          <w:rPr>
            <w:rStyle w:val="normaltextrun"/>
            <w:rFonts w:asciiTheme="minorHAnsi" w:hAnsiTheme="minorHAnsi" w:cstheme="minorHAnsi"/>
            <w:color w:val="0000FF"/>
            <w:sz w:val="21"/>
            <w:szCs w:val="21"/>
            <w:u w:val="single"/>
            <w:lang w:val="en-GB"/>
          </w:rPr>
          <w:t>http://www.ilo.org/global/statistics-and-databases/standards-and-guidelines/resolutionsadopted-by-international-conferences-of-labour-statisticians/WCMS_087528/lang--en/index.htm</w:t>
        </w:r>
      </w:hyperlink>
      <w:r w:rsidRPr="00C87131">
        <w:rPr>
          <w:rStyle w:val="normaltextrun"/>
          <w:rFonts w:asciiTheme="minorHAnsi" w:hAnsiTheme="minorHAnsi" w:cstheme="minorHAnsi"/>
          <w:color w:val="4A4A4A"/>
          <w:sz w:val="21"/>
          <w:szCs w:val="21"/>
          <w:lang w:val="en-GB"/>
        </w:rPr>
        <w:t> </w:t>
      </w:r>
      <w:r w:rsidRPr="00C87131">
        <w:rPr>
          <w:rStyle w:val="eop"/>
          <w:rFonts w:asciiTheme="minorHAnsi" w:hAnsiTheme="minorHAnsi" w:cstheme="minorHAnsi"/>
          <w:color w:val="4A4A4A"/>
          <w:sz w:val="21"/>
          <w:szCs w:val="21"/>
        </w:rPr>
        <w:t> </w:t>
      </w:r>
    </w:p>
    <w:p w14:paraId="2134EC74" w14:textId="77777777" w:rsidR="0048142E" w:rsidRPr="00C87131" w:rsidRDefault="0048142E" w:rsidP="0048142E">
      <w:pPr>
        <w:pStyle w:val="paragraph"/>
        <w:numPr>
          <w:ilvl w:val="0"/>
          <w:numId w:val="5"/>
        </w:numPr>
        <w:shd w:val="clear" w:color="auto" w:fill="FFFFFF"/>
        <w:spacing w:before="0" w:beforeAutospacing="0" w:after="0" w:afterAutospacing="0"/>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Global database on occupational safety and health legislation – LEGOSH </w:t>
      </w:r>
      <w:hyperlink r:id="rId15" w:tgtFrame="_blank" w:history="1">
        <w:r w:rsidRPr="00C87131">
          <w:rPr>
            <w:rStyle w:val="normaltextrun"/>
            <w:rFonts w:asciiTheme="minorHAnsi" w:hAnsiTheme="minorHAnsi" w:cstheme="minorHAnsi"/>
            <w:color w:val="0000FF"/>
            <w:sz w:val="21"/>
            <w:szCs w:val="21"/>
            <w:u w:val="single"/>
            <w:lang w:val="en-GB"/>
          </w:rPr>
          <w:t>http://www.ilo.org/safework/info/publications/WCMS_217849/lang--en/index.htm</w:t>
        </w:r>
      </w:hyperlink>
      <w:r w:rsidRPr="00C87131">
        <w:rPr>
          <w:rStyle w:val="normaltextrun"/>
          <w:rFonts w:asciiTheme="minorHAnsi" w:hAnsiTheme="minorHAnsi" w:cstheme="minorHAnsi"/>
          <w:color w:val="4A4A4A"/>
          <w:sz w:val="21"/>
          <w:szCs w:val="21"/>
          <w:lang w:val="en-GB"/>
        </w:rPr>
        <w:t> </w:t>
      </w:r>
      <w:r w:rsidRPr="00C87131">
        <w:rPr>
          <w:rStyle w:val="eop"/>
          <w:rFonts w:asciiTheme="minorHAnsi" w:hAnsiTheme="minorHAnsi" w:cstheme="minorHAnsi"/>
          <w:color w:val="4A4A4A"/>
          <w:sz w:val="21"/>
          <w:szCs w:val="21"/>
        </w:rPr>
        <w:t> </w:t>
      </w:r>
    </w:p>
    <w:p w14:paraId="065FF270" w14:textId="77777777" w:rsidR="0048142E" w:rsidRPr="00C87131" w:rsidRDefault="0048142E" w:rsidP="0048142E">
      <w:pPr>
        <w:pStyle w:val="paragraph"/>
        <w:numPr>
          <w:ilvl w:val="0"/>
          <w:numId w:val="6"/>
        </w:numPr>
        <w:shd w:val="clear" w:color="auto" w:fill="FFFFFF"/>
        <w:spacing w:before="0" w:beforeAutospacing="0" w:after="0" w:afterAutospacing="0"/>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Occupational injuries statistics from household surveys and establishment surveys </w:t>
      </w:r>
      <w:hyperlink r:id="rId16" w:tgtFrame="_blank" w:history="1">
        <w:r w:rsidRPr="00C87131">
          <w:rPr>
            <w:rStyle w:val="normaltextrun"/>
            <w:rFonts w:asciiTheme="minorHAnsi" w:hAnsiTheme="minorHAnsi" w:cstheme="minorHAnsi"/>
            <w:color w:val="0000FF"/>
            <w:sz w:val="21"/>
            <w:szCs w:val="21"/>
            <w:u w:val="single"/>
            <w:lang w:val="en-GB"/>
          </w:rPr>
          <w:t>http://www.ilo.org/stat/Publications/WCMS_173153/lang--</w:t>
        </w:r>
        <w:proofErr w:type="spellStart"/>
        <w:r w:rsidRPr="00C87131">
          <w:rPr>
            <w:rStyle w:val="normaltextrun"/>
            <w:rFonts w:asciiTheme="minorHAnsi" w:hAnsiTheme="minorHAnsi" w:cstheme="minorHAnsi"/>
            <w:color w:val="0000FF"/>
            <w:sz w:val="21"/>
            <w:szCs w:val="21"/>
            <w:u w:val="single"/>
            <w:lang w:val="en-GB"/>
          </w:rPr>
          <w:t>en</w:t>
        </w:r>
        <w:proofErr w:type="spellEnd"/>
        <w:r w:rsidRPr="00C87131">
          <w:rPr>
            <w:rStyle w:val="normaltextrun"/>
            <w:rFonts w:asciiTheme="minorHAnsi" w:hAnsiTheme="minorHAnsi" w:cstheme="minorHAnsi"/>
            <w:color w:val="0000FF"/>
            <w:sz w:val="21"/>
            <w:szCs w:val="21"/>
            <w:u w:val="single"/>
            <w:lang w:val="en-GB"/>
          </w:rPr>
          <w:t>/index.htm</w:t>
        </w:r>
      </w:hyperlink>
      <w:r w:rsidRPr="00C87131">
        <w:rPr>
          <w:rStyle w:val="normaltextrun"/>
          <w:rFonts w:asciiTheme="minorHAnsi" w:hAnsiTheme="minorHAnsi" w:cstheme="minorHAnsi"/>
          <w:color w:val="4A4A4A"/>
          <w:sz w:val="21"/>
          <w:szCs w:val="21"/>
          <w:lang w:val="en-GB"/>
        </w:rPr>
        <w:t> </w:t>
      </w:r>
      <w:r w:rsidRPr="00C87131">
        <w:rPr>
          <w:rStyle w:val="eop"/>
          <w:rFonts w:asciiTheme="minorHAnsi" w:hAnsiTheme="minorHAnsi" w:cstheme="minorHAnsi"/>
          <w:color w:val="4A4A4A"/>
          <w:sz w:val="21"/>
          <w:szCs w:val="21"/>
        </w:rPr>
        <w:t> </w:t>
      </w:r>
    </w:p>
    <w:p w14:paraId="29E4736D" w14:textId="77777777" w:rsidR="0048142E" w:rsidRPr="00A4061C" w:rsidRDefault="0048142E" w:rsidP="0048142E">
      <w:pPr>
        <w:pStyle w:val="paragraph"/>
        <w:numPr>
          <w:ilvl w:val="0"/>
          <w:numId w:val="6"/>
        </w:numPr>
        <w:shd w:val="clear" w:color="auto" w:fill="FFFFFF"/>
        <w:spacing w:before="0" w:beforeAutospacing="0" w:after="0" w:afterAutospacing="0"/>
        <w:ind w:firstLine="0"/>
        <w:textAlignment w:val="baseline"/>
        <w:rPr>
          <w:rFonts w:asciiTheme="minorHAnsi" w:hAnsiTheme="minorHAnsi" w:cstheme="minorHAnsi"/>
          <w:sz w:val="21"/>
          <w:szCs w:val="21"/>
          <w:lang w:val="fr-CH"/>
        </w:rPr>
      </w:pPr>
      <w:r w:rsidRPr="00C87131">
        <w:rPr>
          <w:rStyle w:val="normaltextrun"/>
          <w:rFonts w:asciiTheme="minorHAnsi" w:hAnsiTheme="minorHAnsi" w:cstheme="minorHAnsi"/>
          <w:color w:val="4A4A4A"/>
          <w:sz w:val="21"/>
          <w:szCs w:val="21"/>
          <w:lang w:val="fr-CH"/>
        </w:rPr>
        <w:t>ILOSTAT (</w:t>
      </w:r>
      <w:hyperlink r:id="rId17" w:tgtFrame="_blank" w:history="1">
        <w:r w:rsidRPr="00C87131">
          <w:rPr>
            <w:rStyle w:val="normaltextrun"/>
            <w:rFonts w:asciiTheme="minorHAnsi" w:hAnsiTheme="minorHAnsi" w:cstheme="minorHAnsi"/>
            <w:color w:val="0000FF"/>
            <w:sz w:val="22"/>
            <w:szCs w:val="22"/>
            <w:u w:val="single"/>
            <w:lang w:val="fr-CH"/>
          </w:rPr>
          <w:t>https://ilostat.ilo.org</w:t>
        </w:r>
      </w:hyperlink>
      <w:r w:rsidRPr="00C87131">
        <w:rPr>
          <w:rStyle w:val="normaltextrun"/>
          <w:rFonts w:asciiTheme="minorHAnsi" w:hAnsiTheme="minorHAnsi" w:cstheme="minorHAnsi"/>
          <w:color w:val="4A4A4A"/>
          <w:sz w:val="21"/>
          <w:szCs w:val="21"/>
          <w:lang w:val="fr-CH"/>
        </w:rPr>
        <w:t>)</w:t>
      </w:r>
      <w:r w:rsidRPr="00A4061C">
        <w:rPr>
          <w:rStyle w:val="eop"/>
          <w:rFonts w:asciiTheme="minorHAnsi" w:hAnsiTheme="minorHAnsi" w:cstheme="minorHAnsi"/>
          <w:color w:val="4A4A4A"/>
          <w:sz w:val="21"/>
          <w:szCs w:val="21"/>
          <w:lang w:val="fr-CH"/>
        </w:rPr>
        <w:t> </w:t>
      </w:r>
    </w:p>
    <w:p w14:paraId="3C2CF40A" w14:textId="77777777" w:rsidR="0048142E" w:rsidRPr="00C87131" w:rsidRDefault="0048142E" w:rsidP="0048142E">
      <w:pPr>
        <w:pStyle w:val="paragraph"/>
        <w:numPr>
          <w:ilvl w:val="0"/>
          <w:numId w:val="6"/>
        </w:numPr>
        <w:shd w:val="clear" w:color="auto" w:fill="FFFFFF"/>
        <w:spacing w:before="0" w:beforeAutospacing="0" w:after="0" w:afterAutospacing="0"/>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fr-CH"/>
        </w:rPr>
        <w:t>ILOSTAT </w:t>
      </w:r>
      <w:proofErr w:type="spellStart"/>
      <w:r w:rsidRPr="00C87131">
        <w:rPr>
          <w:rStyle w:val="normaltextrun"/>
          <w:rFonts w:asciiTheme="minorHAnsi" w:hAnsiTheme="minorHAnsi" w:cstheme="minorHAnsi"/>
          <w:color w:val="4A4A4A"/>
          <w:sz w:val="21"/>
          <w:szCs w:val="21"/>
          <w:lang w:val="fr-CH"/>
        </w:rPr>
        <w:t>Metadata</w:t>
      </w:r>
      <w:proofErr w:type="spellEnd"/>
      <w:r w:rsidRPr="00C87131">
        <w:rPr>
          <w:rStyle w:val="normaltextrun"/>
          <w:rFonts w:asciiTheme="minorHAnsi" w:hAnsiTheme="minorHAnsi" w:cstheme="minorHAnsi"/>
          <w:color w:val="4A4A4A"/>
          <w:sz w:val="21"/>
          <w:szCs w:val="21"/>
          <w:lang w:val="fr-CH"/>
        </w:rPr>
        <w:t> – Indicator descriptions (</w:t>
      </w:r>
      <w:hyperlink r:id="rId18" w:tgtFrame="_blank" w:history="1">
        <w:r w:rsidRPr="00C87131">
          <w:rPr>
            <w:rStyle w:val="normaltextrun"/>
            <w:rFonts w:asciiTheme="minorHAnsi" w:hAnsiTheme="minorHAnsi" w:cstheme="minorHAnsi"/>
            <w:color w:val="0000FF"/>
            <w:sz w:val="22"/>
            <w:szCs w:val="22"/>
            <w:u w:val="single"/>
            <w:lang w:val="en-GB"/>
          </w:rPr>
          <w:t>https://ilostat.ilo.org/resources/methods/description-occupational-injuries/</w:t>
        </w:r>
      </w:hyperlink>
      <w:r w:rsidRPr="00C87131">
        <w:rPr>
          <w:rStyle w:val="normaltextrun"/>
          <w:rFonts w:asciiTheme="minorHAnsi" w:hAnsiTheme="minorHAnsi" w:cstheme="minorHAnsi"/>
          <w:color w:val="4A4A4A"/>
          <w:sz w:val="21"/>
          <w:szCs w:val="21"/>
          <w:lang w:val="fr-CH"/>
        </w:rPr>
        <w:t>)</w:t>
      </w:r>
      <w:r w:rsidRPr="00C87131">
        <w:rPr>
          <w:rStyle w:val="eop"/>
          <w:rFonts w:asciiTheme="minorHAnsi" w:hAnsiTheme="minorHAnsi" w:cstheme="minorHAnsi"/>
          <w:color w:val="4A4A4A"/>
          <w:sz w:val="21"/>
          <w:szCs w:val="21"/>
        </w:rPr>
        <w:t> </w:t>
      </w:r>
    </w:p>
    <w:p w14:paraId="2939895F" w14:textId="77777777" w:rsidR="00EC2915" w:rsidRPr="00C87131" w:rsidRDefault="00EC2915" w:rsidP="00576CFA">
      <w:pPr>
        <w:pStyle w:val="MText"/>
        <w:rPr>
          <w:rFonts w:cstheme="minorHAnsi"/>
        </w:rPr>
      </w:pPr>
    </w:p>
    <w:p w14:paraId="494C36E8" w14:textId="22C3CD05" w:rsidR="00E1050F" w:rsidRPr="00C87131" w:rsidRDefault="00576CFA" w:rsidP="00F719A8">
      <w:pPr>
        <w:pStyle w:val="MHeader2"/>
        <w:rPr>
          <w:rFonts w:cstheme="minorHAnsi"/>
        </w:rPr>
      </w:pPr>
      <w:r w:rsidRPr="00C87131">
        <w:rPr>
          <w:rFonts w:cstheme="minorHAnsi"/>
        </w:rPr>
        <w:t xml:space="preserve">4.i. </w:t>
      </w:r>
      <w:r w:rsidR="00E1050F" w:rsidRPr="00C87131">
        <w:rPr>
          <w:rFonts w:cstheme="minorHAnsi"/>
        </w:rPr>
        <w:t>Quality management</w:t>
      </w:r>
    </w:p>
    <w:p w14:paraId="5484B16D" w14:textId="77777777" w:rsidR="00EC2915" w:rsidRPr="00C87131" w:rsidRDefault="00EC2915" w:rsidP="00576CFA">
      <w:pPr>
        <w:pStyle w:val="MText"/>
        <w:rPr>
          <w:rFonts w:cstheme="minorHAnsi"/>
        </w:rPr>
      </w:pPr>
    </w:p>
    <w:p w14:paraId="17B979CA" w14:textId="449C0153" w:rsidR="00E1050F" w:rsidRPr="00C87131" w:rsidRDefault="00E1050F" w:rsidP="00F719A8">
      <w:pPr>
        <w:pStyle w:val="MHeader2"/>
        <w:rPr>
          <w:rFonts w:cstheme="minorHAnsi"/>
        </w:rPr>
      </w:pPr>
      <w:r w:rsidRPr="00C87131">
        <w:rPr>
          <w:rFonts w:cstheme="minorHAnsi"/>
        </w:rPr>
        <w:t>4.j Quality assurance</w:t>
      </w:r>
    </w:p>
    <w:p w14:paraId="03EF3244" w14:textId="7E7435F1" w:rsidR="00EC2915" w:rsidRPr="00C87131" w:rsidRDefault="0048142E" w:rsidP="00576CFA">
      <w:pPr>
        <w:pStyle w:val="MText"/>
        <w:rPr>
          <w:rStyle w:val="eop"/>
          <w:rFonts w:cstheme="minorHAnsi"/>
        </w:rPr>
      </w:pPr>
      <w:r w:rsidRPr="00C87131">
        <w:rPr>
          <w:rStyle w:val="normaltextrun"/>
          <w:rFonts w:cstheme="minorHAnsi"/>
        </w:rPr>
        <w:t xml:space="preserve">Data consistency and quality checks </w:t>
      </w:r>
      <w:r w:rsidR="00B27832">
        <w:rPr>
          <w:rStyle w:val="normaltextrun"/>
          <w:rFonts w:cstheme="minorHAnsi"/>
        </w:rPr>
        <w:t xml:space="preserve">are </w:t>
      </w:r>
      <w:r w:rsidRPr="00C87131">
        <w:rPr>
          <w:rStyle w:val="normaltextrun"/>
          <w:rFonts w:cstheme="minorHAnsi"/>
        </w:rPr>
        <w:t>regularly conducted for validation of the data before dissemination in the ILOSTAT database</w:t>
      </w:r>
      <w:proofErr w:type="gramStart"/>
      <w:r w:rsidRPr="00C87131">
        <w:rPr>
          <w:rStyle w:val="normaltextrun"/>
          <w:rFonts w:cstheme="minorHAnsi"/>
        </w:rPr>
        <w:t>. .</w:t>
      </w:r>
      <w:proofErr w:type="gramEnd"/>
      <w:r w:rsidRPr="00C87131">
        <w:rPr>
          <w:rStyle w:val="normaltextrun"/>
          <w:rFonts w:cstheme="minorHAnsi"/>
        </w:rPr>
        <w:t> </w:t>
      </w:r>
      <w:r w:rsidRPr="00C87131">
        <w:rPr>
          <w:rStyle w:val="eop"/>
          <w:rFonts w:cstheme="minorHAnsi"/>
        </w:rPr>
        <w:t> </w:t>
      </w:r>
    </w:p>
    <w:p w14:paraId="041616C9" w14:textId="77777777" w:rsidR="0048142E" w:rsidRPr="00C87131" w:rsidRDefault="0048142E" w:rsidP="00576CFA">
      <w:pPr>
        <w:pStyle w:val="MText"/>
        <w:rPr>
          <w:rFonts w:cstheme="minorHAnsi"/>
        </w:rPr>
      </w:pPr>
    </w:p>
    <w:p w14:paraId="34ADD322" w14:textId="1A21C057" w:rsidR="00E1050F" w:rsidRPr="00C87131" w:rsidRDefault="00576CFA" w:rsidP="00F719A8">
      <w:pPr>
        <w:pStyle w:val="MHeader2"/>
        <w:rPr>
          <w:rFonts w:cstheme="minorHAnsi"/>
        </w:rPr>
      </w:pPr>
      <w:r w:rsidRPr="00C87131">
        <w:rPr>
          <w:rFonts w:cstheme="minorHAnsi"/>
        </w:rPr>
        <w:t>4.k Qua</w:t>
      </w:r>
      <w:r w:rsidR="00E1050F" w:rsidRPr="00C87131">
        <w:rPr>
          <w:rFonts w:cstheme="minorHAnsi"/>
        </w:rPr>
        <w:t>lity assessment</w:t>
      </w:r>
    </w:p>
    <w:p w14:paraId="5B7C52CE" w14:textId="21B05A8F" w:rsidR="00576CFA" w:rsidRPr="00C87131" w:rsidRDefault="00576CFA" w:rsidP="00576CFA">
      <w:pPr>
        <w:pStyle w:val="MText"/>
        <w:rPr>
          <w:rFonts w:cstheme="minorHAnsi"/>
        </w:rPr>
      </w:pPr>
    </w:p>
    <w:p w14:paraId="17787B3C" w14:textId="03FE81A9" w:rsidR="00E1050F" w:rsidRPr="00C87131" w:rsidRDefault="00576CFA" w:rsidP="000412A0">
      <w:pPr>
        <w:pStyle w:val="MHeader"/>
        <w:spacing w:after="100"/>
        <w:rPr>
          <w:rFonts w:cstheme="minorHAnsi"/>
        </w:rPr>
      </w:pPr>
      <w:r w:rsidRPr="00C87131">
        <w:rPr>
          <w:rFonts w:cstheme="minorHAnsi"/>
        </w:rPr>
        <w:t>5. Data availability and disaggregation</w:t>
      </w:r>
    </w:p>
    <w:p w14:paraId="4CD8F3EF" w14:textId="77777777" w:rsidR="00F719A8" w:rsidRPr="00C87131" w:rsidRDefault="00F719A8" w:rsidP="00E1050F">
      <w:pPr>
        <w:pStyle w:val="MText"/>
        <w:rPr>
          <w:rFonts w:cstheme="minorHAnsi"/>
          <w:highlight w:val="yellow"/>
        </w:rPr>
      </w:pPr>
    </w:p>
    <w:p w14:paraId="464A8CCF" w14:textId="7822A9B5" w:rsidR="00576CFA" w:rsidRPr="00C87131" w:rsidRDefault="00D51E7C" w:rsidP="00421B7B">
      <w:pPr>
        <w:pStyle w:val="MText"/>
        <w:rPr>
          <w:rFonts w:cstheme="minorHAnsi"/>
          <w:highlight w:val="cyan"/>
        </w:rPr>
      </w:pPr>
      <w:r w:rsidRPr="00E85844">
        <w:rPr>
          <w:rFonts w:cstheme="minorHAnsi"/>
        </w:rPr>
        <w:t>Data availability:</w:t>
      </w:r>
      <w:r w:rsidR="00421B7B" w:rsidRPr="00E85844">
        <w:rPr>
          <w:rFonts w:cstheme="minorHAnsi"/>
        </w:rPr>
        <w:t xml:space="preserve"> </w:t>
      </w:r>
      <w:r w:rsidR="00421B7B" w:rsidRPr="00E85844">
        <w:t xml:space="preserve">Data for this indicator is available for </w:t>
      </w:r>
      <w:r w:rsidR="001472DF">
        <w:t>8</w:t>
      </w:r>
      <w:r w:rsidR="00421B7B" w:rsidRPr="00E85844">
        <w:t>7 countries and territories.</w:t>
      </w:r>
    </w:p>
    <w:p w14:paraId="2D0542F7" w14:textId="3DE6BFAB" w:rsidR="00D51E7C" w:rsidRPr="00C87131" w:rsidRDefault="00D51E7C" w:rsidP="00576CFA">
      <w:pPr>
        <w:pStyle w:val="MText"/>
        <w:rPr>
          <w:rFonts w:cstheme="minorHAnsi"/>
          <w:highlight w:val="cyan"/>
        </w:rPr>
      </w:pPr>
    </w:p>
    <w:p w14:paraId="5853D6F7" w14:textId="6D462001" w:rsidR="00D51E7C" w:rsidRPr="00C87131" w:rsidRDefault="00D51E7C" w:rsidP="00421B7B">
      <w:pPr>
        <w:pStyle w:val="MText"/>
        <w:rPr>
          <w:rFonts w:cstheme="minorHAnsi"/>
          <w:highlight w:val="cyan"/>
        </w:rPr>
      </w:pPr>
      <w:r w:rsidRPr="00E85844">
        <w:rPr>
          <w:rFonts w:cstheme="minorHAnsi"/>
        </w:rPr>
        <w:t>Time series:</w:t>
      </w:r>
      <w:r w:rsidR="00421B7B" w:rsidRPr="00421B7B">
        <w:t xml:space="preserve"> </w:t>
      </w:r>
      <w:r w:rsidR="00421B7B" w:rsidRPr="000F71CA">
        <w:t xml:space="preserve">The </w:t>
      </w:r>
      <w:r w:rsidR="00421B7B">
        <w:t xml:space="preserve">submission </w:t>
      </w:r>
      <w:r w:rsidR="00421B7B" w:rsidRPr="000F71CA">
        <w:t>co</w:t>
      </w:r>
      <w:r w:rsidR="00421B7B" w:rsidRPr="008E5424">
        <w:t xml:space="preserve">vers </w:t>
      </w:r>
      <w:r w:rsidR="00421B7B">
        <w:t>data from</w:t>
      </w:r>
      <w:r w:rsidR="00421B7B" w:rsidRPr="008E5424">
        <w:t xml:space="preserve"> 2000 to 2019</w:t>
      </w:r>
      <w:r w:rsidR="00421B7B" w:rsidRPr="000F71CA">
        <w:t>.</w:t>
      </w:r>
    </w:p>
    <w:p w14:paraId="760C013A" w14:textId="4597FCBD" w:rsidR="00D51E7C" w:rsidRPr="00C87131" w:rsidRDefault="00D51E7C" w:rsidP="00576CFA">
      <w:pPr>
        <w:pStyle w:val="MText"/>
        <w:rPr>
          <w:rFonts w:cstheme="minorHAnsi"/>
          <w:highlight w:val="cyan"/>
        </w:rPr>
      </w:pPr>
    </w:p>
    <w:p w14:paraId="72C7C370" w14:textId="35444508" w:rsidR="00D51E7C" w:rsidRPr="00C87131" w:rsidRDefault="00D51E7C" w:rsidP="00576CFA">
      <w:pPr>
        <w:pStyle w:val="MText"/>
        <w:rPr>
          <w:rFonts w:cstheme="minorHAnsi"/>
        </w:rPr>
      </w:pPr>
      <w:r w:rsidRPr="00C87131">
        <w:rPr>
          <w:rFonts w:cstheme="minorHAnsi"/>
        </w:rPr>
        <w:lastRenderedPageBreak/>
        <w:t>Disaggregation:</w:t>
      </w:r>
    </w:p>
    <w:p w14:paraId="2DA19F45" w14:textId="77777777" w:rsidR="0048142E" w:rsidRPr="00C87131" w:rsidRDefault="0048142E" w:rsidP="0048142E">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This indicator should be disaggregated by both sex and migrant status.</w:t>
      </w:r>
      <w:r w:rsidRPr="00C87131">
        <w:rPr>
          <w:rStyle w:val="eop"/>
          <w:rFonts w:asciiTheme="minorHAnsi" w:hAnsiTheme="minorHAnsi" w:cstheme="minorHAnsi"/>
          <w:color w:val="4A4A4A"/>
          <w:sz w:val="21"/>
          <w:szCs w:val="21"/>
        </w:rPr>
        <w:t> </w:t>
      </w:r>
    </w:p>
    <w:p w14:paraId="2C67F39B" w14:textId="77777777" w:rsidR="0048142E" w:rsidRPr="00C87131" w:rsidRDefault="0048142E" w:rsidP="0048142E">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Wherever possible, it would also be useful to have information disaggregated by economic activity and occupation.</w:t>
      </w:r>
      <w:r w:rsidRPr="00C87131">
        <w:rPr>
          <w:rStyle w:val="eop"/>
          <w:rFonts w:asciiTheme="minorHAnsi" w:hAnsiTheme="minorHAnsi" w:cstheme="minorHAnsi"/>
          <w:color w:val="4A4A4A"/>
          <w:sz w:val="21"/>
          <w:szCs w:val="21"/>
        </w:rPr>
        <w:t> </w:t>
      </w:r>
    </w:p>
    <w:p w14:paraId="42E8CA56" w14:textId="77777777" w:rsidR="00D51E7C" w:rsidRPr="00C87131" w:rsidRDefault="00D51E7C" w:rsidP="00576CFA">
      <w:pPr>
        <w:pStyle w:val="MText"/>
        <w:rPr>
          <w:rFonts w:cstheme="minorHAnsi"/>
        </w:rPr>
      </w:pPr>
    </w:p>
    <w:p w14:paraId="4D0520F7" w14:textId="11F0E737" w:rsidR="00382CF3" w:rsidRPr="00C87131" w:rsidRDefault="00B31E2C" w:rsidP="000412A0">
      <w:pPr>
        <w:pStyle w:val="MHeader"/>
        <w:spacing w:after="100"/>
        <w:rPr>
          <w:rFonts w:cstheme="minorHAnsi"/>
        </w:rPr>
      </w:pPr>
      <w:r w:rsidRPr="00C87131">
        <w:rPr>
          <w:rFonts w:cstheme="minorHAnsi"/>
        </w:rPr>
        <w:t>6. Comparability / d</w:t>
      </w:r>
      <w:r w:rsidR="00576CFA" w:rsidRPr="00C87131">
        <w:rPr>
          <w:rFonts w:cstheme="minorHAnsi"/>
        </w:rPr>
        <w:t>eviatio</w:t>
      </w:r>
      <w:r w:rsidR="00382CF3" w:rsidRPr="00C87131">
        <w:rPr>
          <w:rFonts w:cstheme="minorHAnsi"/>
        </w:rPr>
        <w:t>n from international standards</w:t>
      </w:r>
    </w:p>
    <w:p w14:paraId="33CAB7BE" w14:textId="329913B5" w:rsidR="00EC2915" w:rsidRPr="00C87131" w:rsidRDefault="00EC2915" w:rsidP="00576CFA">
      <w:pPr>
        <w:pStyle w:val="MText"/>
        <w:rPr>
          <w:rFonts w:cstheme="minorHAnsi"/>
        </w:rPr>
      </w:pPr>
    </w:p>
    <w:p w14:paraId="3595E072" w14:textId="4F25FF2B" w:rsidR="00D51E7C" w:rsidRPr="00C87131" w:rsidRDefault="00D51E7C" w:rsidP="00576CFA">
      <w:pPr>
        <w:pStyle w:val="MText"/>
        <w:rPr>
          <w:rFonts w:cstheme="minorHAnsi"/>
        </w:rPr>
      </w:pPr>
      <w:r w:rsidRPr="00E85844">
        <w:rPr>
          <w:rFonts w:cstheme="minorHAnsi"/>
        </w:rPr>
        <w:t>Sources of discrepancies:</w:t>
      </w:r>
    </w:p>
    <w:p w14:paraId="7FCF713E" w14:textId="77777777" w:rsidR="009559E9" w:rsidRDefault="009559E9" w:rsidP="009559E9">
      <w:pPr>
        <w:pStyle w:val="MText"/>
        <w:rPr>
          <w:rFonts w:cstheme="minorHAnsi"/>
        </w:rPr>
      </w:pPr>
      <w:r w:rsidRPr="009559E9">
        <w:rPr>
          <w:rFonts w:cstheme="minorHAnsi"/>
        </w:rPr>
        <w:t>The variety of possible sources of data on occupational injuries hinders t</w:t>
      </w:r>
      <w:r>
        <w:rPr>
          <w:rFonts w:cstheme="minorHAnsi"/>
        </w:rPr>
        <w:t xml:space="preserve">he comparability of data across </w:t>
      </w:r>
      <w:r w:rsidRPr="009559E9">
        <w:rPr>
          <w:rFonts w:cstheme="minorHAnsi"/>
        </w:rPr>
        <w:t>countries since each type of source provides information on different specific concepts. Data</w:t>
      </w:r>
      <w:r>
        <w:rPr>
          <w:rFonts w:cstheme="minorHAnsi"/>
        </w:rPr>
        <w:t xml:space="preserve"> </w:t>
      </w:r>
      <w:r w:rsidRPr="009559E9">
        <w:rPr>
          <w:rFonts w:cstheme="minorHAnsi"/>
        </w:rPr>
        <w:t>derived from administrative records are not strictly comparable since they include numerous</w:t>
      </w:r>
      <w:r>
        <w:rPr>
          <w:rFonts w:cstheme="minorHAnsi"/>
        </w:rPr>
        <w:t xml:space="preserve"> </w:t>
      </w:r>
      <w:r w:rsidRPr="009559E9">
        <w:rPr>
          <w:rFonts w:cstheme="minorHAnsi"/>
        </w:rPr>
        <w:t>types of records that follow different rules and are maintained by different agencies. Two</w:t>
      </w:r>
      <w:r>
        <w:rPr>
          <w:rFonts w:cstheme="minorHAnsi"/>
        </w:rPr>
        <w:t xml:space="preserve"> </w:t>
      </w:r>
      <w:r w:rsidRPr="009559E9">
        <w:rPr>
          <w:rFonts w:cstheme="minorHAnsi"/>
        </w:rPr>
        <w:t>main sources of data are records of notifications by employers to the competent authority</w:t>
      </w:r>
      <w:r>
        <w:rPr>
          <w:rFonts w:cstheme="minorHAnsi"/>
        </w:rPr>
        <w:t xml:space="preserve"> </w:t>
      </w:r>
      <w:r w:rsidRPr="009559E9">
        <w:rPr>
          <w:rFonts w:cstheme="minorHAnsi"/>
        </w:rPr>
        <w:t>and insurance records of the authority compensating the victims. These two would clearly</w:t>
      </w:r>
      <w:r>
        <w:rPr>
          <w:rFonts w:cstheme="minorHAnsi"/>
        </w:rPr>
        <w:t xml:space="preserve"> </w:t>
      </w:r>
      <w:r w:rsidRPr="009559E9">
        <w:rPr>
          <w:rFonts w:cstheme="minorHAnsi"/>
        </w:rPr>
        <w:t>yield different results, since it is possible that not all injuries that were compensated to</w:t>
      </w:r>
      <w:r>
        <w:rPr>
          <w:rFonts w:cstheme="minorHAnsi"/>
        </w:rPr>
        <w:t xml:space="preserve"> </w:t>
      </w:r>
      <w:r w:rsidRPr="009559E9">
        <w:rPr>
          <w:rFonts w:cstheme="minorHAnsi"/>
        </w:rPr>
        <w:t>workers were reported by the employer and vice versa. It is also possible that these records</w:t>
      </w:r>
      <w:r>
        <w:rPr>
          <w:rFonts w:cstheme="minorHAnsi"/>
        </w:rPr>
        <w:t xml:space="preserve"> </w:t>
      </w:r>
      <w:r w:rsidRPr="009559E9">
        <w:rPr>
          <w:rFonts w:cstheme="minorHAnsi"/>
        </w:rPr>
        <w:t>have a different geographical coverage or that they cover different economic activities.</w:t>
      </w:r>
    </w:p>
    <w:p w14:paraId="34963F72" w14:textId="77777777" w:rsidR="009559E9" w:rsidRDefault="009559E9" w:rsidP="009559E9">
      <w:pPr>
        <w:pStyle w:val="MText"/>
        <w:rPr>
          <w:rFonts w:cstheme="minorHAnsi"/>
        </w:rPr>
      </w:pPr>
      <w:r w:rsidRPr="009559E9">
        <w:rPr>
          <w:rFonts w:cstheme="minorHAnsi"/>
        </w:rPr>
        <w:t>When statistics come from an establishment survey, the results would</w:t>
      </w:r>
      <w:r>
        <w:rPr>
          <w:rFonts w:cstheme="minorHAnsi"/>
        </w:rPr>
        <w:t xml:space="preserve"> </w:t>
      </w:r>
      <w:r w:rsidRPr="009559E9">
        <w:rPr>
          <w:rFonts w:cstheme="minorHAnsi"/>
        </w:rPr>
        <w:t>be closer to those from records of notifications made by employers since it is also the</w:t>
      </w:r>
      <w:r>
        <w:rPr>
          <w:rFonts w:cstheme="minorHAnsi"/>
        </w:rPr>
        <w:t xml:space="preserve"> </w:t>
      </w:r>
      <w:r w:rsidRPr="009559E9">
        <w:rPr>
          <w:rFonts w:cstheme="minorHAnsi"/>
        </w:rPr>
        <w:t>employer who provides the establishment survey information. However, establishment</w:t>
      </w:r>
      <w:r>
        <w:rPr>
          <w:rFonts w:cstheme="minorHAnsi"/>
        </w:rPr>
        <w:t xml:space="preserve"> </w:t>
      </w:r>
      <w:r w:rsidRPr="009559E9">
        <w:rPr>
          <w:rFonts w:cstheme="minorHAnsi"/>
        </w:rPr>
        <w:t>surveys tend not to cover the informal sector, establishments of a very small size and</w:t>
      </w:r>
      <w:r>
        <w:rPr>
          <w:rFonts w:cstheme="minorHAnsi"/>
        </w:rPr>
        <w:t xml:space="preserve"> </w:t>
      </w:r>
      <w:r w:rsidRPr="009559E9">
        <w:rPr>
          <w:rFonts w:cstheme="minorHAnsi"/>
        </w:rPr>
        <w:t xml:space="preserve">sometimes the agricultural sector. </w:t>
      </w:r>
    </w:p>
    <w:p w14:paraId="0F605B0C" w14:textId="77777777" w:rsidR="00047697" w:rsidRDefault="009559E9" w:rsidP="00576CFA">
      <w:pPr>
        <w:pStyle w:val="MText"/>
        <w:rPr>
          <w:rFonts w:cstheme="minorHAnsi"/>
        </w:rPr>
      </w:pPr>
      <w:r w:rsidRPr="009559E9">
        <w:rPr>
          <w:rFonts w:cstheme="minorHAnsi"/>
        </w:rPr>
        <w:t>When statistics come from a household survey, their reliability depends heavily on the accuracy of the respondents,</w:t>
      </w:r>
      <w:r>
        <w:rPr>
          <w:rFonts w:cstheme="minorHAnsi"/>
        </w:rPr>
        <w:t xml:space="preserve"> </w:t>
      </w:r>
      <w:r w:rsidRPr="009559E9">
        <w:rPr>
          <w:rFonts w:cstheme="minorHAnsi"/>
        </w:rPr>
        <w:t>who may be subjective in the information given.</w:t>
      </w:r>
    </w:p>
    <w:p w14:paraId="5AB6DD91" w14:textId="6A906D32" w:rsidR="00F719A8" w:rsidRPr="00C87131" w:rsidRDefault="009559E9" w:rsidP="00576CFA">
      <w:pPr>
        <w:pStyle w:val="MText"/>
        <w:rPr>
          <w:rFonts w:cstheme="minorHAnsi"/>
        </w:rPr>
      </w:pPr>
      <w:r w:rsidRPr="009559E9">
        <w:rPr>
          <w:rFonts w:cstheme="minorHAnsi"/>
        </w:rPr>
        <w:t xml:space="preserve"> </w:t>
      </w:r>
    </w:p>
    <w:p w14:paraId="76DF099C" w14:textId="703C09F1" w:rsidR="00382CF3" w:rsidRPr="00C87131" w:rsidRDefault="00576CFA" w:rsidP="000412A0">
      <w:pPr>
        <w:pStyle w:val="MHeader"/>
        <w:spacing w:after="100"/>
        <w:rPr>
          <w:rFonts w:cstheme="minorHAnsi"/>
        </w:rPr>
      </w:pPr>
      <w:r w:rsidRPr="00C87131">
        <w:rPr>
          <w:rFonts w:cstheme="minorHAnsi"/>
        </w:rPr>
        <w:t>7</w:t>
      </w:r>
      <w:r w:rsidR="00382CF3" w:rsidRPr="00C87131">
        <w:rPr>
          <w:rFonts w:cstheme="minorHAnsi"/>
        </w:rPr>
        <w:t>. References and Documentation</w:t>
      </w:r>
    </w:p>
    <w:p w14:paraId="41E1AE37" w14:textId="77777777" w:rsidR="0048142E" w:rsidRPr="00C87131" w:rsidRDefault="0048142E" w:rsidP="0048142E">
      <w:pPr>
        <w:shd w:val="clear" w:color="auto" w:fill="FFFFFF"/>
        <w:spacing w:after="0" w:line="240" w:lineRule="auto"/>
        <w:textAlignment w:val="baseline"/>
        <w:rPr>
          <w:rFonts w:eastAsia="Times New Roman" w:cstheme="minorHAnsi"/>
          <w:sz w:val="18"/>
          <w:szCs w:val="18"/>
          <w:lang w:val="en-US" w:eastAsia="en-US"/>
        </w:rPr>
      </w:pPr>
      <w:r w:rsidRPr="00C87131">
        <w:rPr>
          <w:rFonts w:eastAsia="Times New Roman" w:cstheme="minorHAnsi"/>
          <w:color w:val="4A4A4A"/>
          <w:sz w:val="21"/>
          <w:szCs w:val="21"/>
          <w:lang w:val="en-US" w:eastAsia="en-US"/>
        </w:rPr>
        <w:t> </w:t>
      </w:r>
    </w:p>
    <w:p w14:paraId="09E54A00" w14:textId="77777777" w:rsidR="0048142E" w:rsidRPr="00C87131" w:rsidRDefault="0048142E" w:rsidP="0048142E">
      <w:pPr>
        <w:numPr>
          <w:ilvl w:val="0"/>
          <w:numId w:val="7"/>
        </w:numPr>
        <w:shd w:val="clear" w:color="auto" w:fill="FFFFFF"/>
        <w:spacing w:after="0" w:line="240" w:lineRule="auto"/>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ILO Guidebook - Decent Work and the Sustainable Development Goals: A Guidebook on SDG Labour Market Indicators (</w:t>
      </w:r>
      <w:hyperlink r:id="rId19" w:tgtFrame="_blank" w:history="1">
        <w:r w:rsidRPr="00C87131">
          <w:rPr>
            <w:rFonts w:eastAsia="Times New Roman" w:cstheme="minorHAnsi"/>
            <w:color w:val="0000FF"/>
            <w:sz w:val="21"/>
            <w:szCs w:val="21"/>
            <w:u w:val="single"/>
            <w:lang w:eastAsia="en-US"/>
          </w:rPr>
          <w:t>https://www.ilo.org/stat/Publications/WCMS_647109/lang--en/index.htm</w:t>
        </w:r>
      </w:hyperlink>
      <w:r w:rsidRPr="00C87131">
        <w:rPr>
          <w:rFonts w:eastAsia="Times New Roman" w:cstheme="minorHAnsi"/>
          <w:color w:val="4A4A4A"/>
          <w:sz w:val="21"/>
          <w:szCs w:val="21"/>
          <w:lang w:eastAsia="en-US"/>
        </w:rPr>
        <w:t> )</w:t>
      </w:r>
      <w:r w:rsidRPr="00C87131">
        <w:rPr>
          <w:rFonts w:eastAsia="Times New Roman" w:cstheme="minorHAnsi"/>
          <w:color w:val="4A4A4A"/>
          <w:sz w:val="21"/>
          <w:szCs w:val="21"/>
          <w:lang w:val="en-US" w:eastAsia="en-US"/>
        </w:rPr>
        <w:t> </w:t>
      </w:r>
    </w:p>
    <w:p w14:paraId="3C54A98F" w14:textId="77777777" w:rsidR="0048142E" w:rsidRPr="00A4061C" w:rsidRDefault="0048142E" w:rsidP="0048142E">
      <w:pPr>
        <w:numPr>
          <w:ilvl w:val="0"/>
          <w:numId w:val="7"/>
        </w:numPr>
        <w:shd w:val="clear" w:color="auto" w:fill="FFFFFF"/>
        <w:spacing w:after="0" w:line="240" w:lineRule="auto"/>
        <w:ind w:left="360" w:firstLine="0"/>
        <w:textAlignment w:val="baseline"/>
        <w:rPr>
          <w:rStyle w:val="MTextChar"/>
          <w:rFonts w:eastAsiaTheme="minorEastAsia" w:cstheme="minorHAnsi"/>
          <w:lang w:val="fr-CH"/>
        </w:rPr>
      </w:pPr>
      <w:r w:rsidRPr="00A4061C">
        <w:rPr>
          <w:rFonts w:eastAsia="Times New Roman" w:cstheme="minorHAnsi"/>
          <w:color w:val="4A4A4A"/>
          <w:sz w:val="21"/>
          <w:szCs w:val="21"/>
          <w:lang w:val="fr-CH" w:eastAsia="en-US"/>
        </w:rPr>
        <w:t xml:space="preserve">ILOSTAT </w:t>
      </w:r>
      <w:proofErr w:type="spellStart"/>
      <w:r w:rsidRPr="00A4061C">
        <w:rPr>
          <w:rFonts w:eastAsia="Times New Roman" w:cstheme="minorHAnsi"/>
          <w:color w:val="4A4A4A"/>
          <w:sz w:val="21"/>
          <w:szCs w:val="21"/>
          <w:lang w:val="fr-CH" w:eastAsia="en-US"/>
        </w:rPr>
        <w:t>database</w:t>
      </w:r>
      <w:proofErr w:type="spellEnd"/>
      <w:r w:rsidRPr="00A4061C">
        <w:rPr>
          <w:rFonts w:eastAsia="Times New Roman" w:cstheme="minorHAnsi"/>
          <w:color w:val="4A4A4A"/>
          <w:sz w:val="21"/>
          <w:szCs w:val="21"/>
          <w:lang w:val="fr-CH" w:eastAsia="en-US"/>
        </w:rPr>
        <w:t>: </w:t>
      </w:r>
      <w:r w:rsidRPr="00A4061C">
        <w:rPr>
          <w:rStyle w:val="MTextChar"/>
          <w:rFonts w:eastAsiaTheme="minorEastAsia" w:cstheme="minorHAnsi"/>
          <w:lang w:val="fr-CH"/>
        </w:rPr>
        <w:t>https://ilostat.ilo.org </w:t>
      </w:r>
    </w:p>
    <w:p w14:paraId="16F99856" w14:textId="77777777" w:rsidR="0048142E" w:rsidRPr="00C87131" w:rsidRDefault="0048142E" w:rsidP="0048142E">
      <w:pPr>
        <w:numPr>
          <w:ilvl w:val="0"/>
          <w:numId w:val="7"/>
        </w:numPr>
        <w:shd w:val="clear" w:color="auto" w:fill="FFFFFF"/>
        <w:spacing w:after="0" w:line="240" w:lineRule="auto"/>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ILOSTAT Metadata – Indicator Descriptions (</w:t>
      </w:r>
      <w:hyperlink r:id="rId20" w:tgtFrame="_blank" w:history="1">
        <w:r w:rsidRPr="00C87131">
          <w:rPr>
            <w:rFonts w:eastAsia="Times New Roman" w:cstheme="minorHAnsi"/>
            <w:color w:val="0000FF"/>
            <w:u w:val="single"/>
            <w:lang w:eastAsia="en-US"/>
          </w:rPr>
          <w:t>https://ilostat.ilo.org/resources/methods/description-occupational-injuries/</w:t>
        </w:r>
      </w:hyperlink>
      <w:r w:rsidRPr="00C87131">
        <w:rPr>
          <w:rFonts w:eastAsia="Times New Roman" w:cstheme="minorHAnsi"/>
          <w:color w:val="4A4A4A"/>
          <w:sz w:val="21"/>
          <w:szCs w:val="21"/>
          <w:lang w:eastAsia="en-US"/>
        </w:rPr>
        <w:t>)</w:t>
      </w:r>
      <w:r w:rsidRPr="00C87131">
        <w:rPr>
          <w:rFonts w:eastAsia="Times New Roman" w:cstheme="minorHAnsi"/>
          <w:color w:val="4A4A4A"/>
          <w:sz w:val="21"/>
          <w:szCs w:val="21"/>
          <w:lang w:val="en-US" w:eastAsia="en-US"/>
        </w:rPr>
        <w:t> </w:t>
      </w:r>
    </w:p>
    <w:p w14:paraId="0055D65D" w14:textId="77777777" w:rsidR="0048142E" w:rsidRPr="00C87131" w:rsidRDefault="0048142E" w:rsidP="0048142E">
      <w:pPr>
        <w:numPr>
          <w:ilvl w:val="0"/>
          <w:numId w:val="7"/>
        </w:numPr>
        <w:shd w:val="clear" w:color="auto" w:fill="FFFFFF"/>
        <w:spacing w:after="0" w:line="240" w:lineRule="auto"/>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Decent Work Indicators Manual: </w:t>
      </w:r>
      <w:hyperlink r:id="rId21" w:tgtFrame="_blank" w:history="1">
        <w:r w:rsidRPr="00C87131">
          <w:rPr>
            <w:rFonts w:eastAsia="Times New Roman" w:cstheme="minorHAnsi"/>
            <w:color w:val="0000FF"/>
            <w:sz w:val="21"/>
            <w:szCs w:val="21"/>
            <w:u w:val="single"/>
            <w:lang w:eastAsia="en-US"/>
          </w:rPr>
          <w:t>http://www.ilo.org/wcmsp5/groups/public/---</w:t>
        </w:r>
        <w:proofErr w:type="spellStart"/>
        <w:r w:rsidRPr="00C87131">
          <w:rPr>
            <w:rFonts w:eastAsia="Times New Roman" w:cstheme="minorHAnsi"/>
            <w:color w:val="0000FF"/>
            <w:sz w:val="21"/>
            <w:szCs w:val="21"/>
            <w:u w:val="single"/>
            <w:lang w:eastAsia="en-US"/>
          </w:rPr>
          <w:t>dgreports</w:t>
        </w:r>
        <w:proofErr w:type="spellEnd"/>
        <w:r w:rsidRPr="00C87131">
          <w:rPr>
            <w:rFonts w:eastAsia="Times New Roman" w:cstheme="minorHAnsi"/>
            <w:color w:val="0000FF"/>
            <w:sz w:val="21"/>
            <w:szCs w:val="21"/>
            <w:u w:val="single"/>
            <w:lang w:eastAsia="en-US"/>
          </w:rPr>
          <w:t>/---stat/documents/publication/wcms_223121.pdf</w:t>
        </w:r>
      </w:hyperlink>
      <w:r w:rsidRPr="00C87131">
        <w:rPr>
          <w:rFonts w:eastAsia="Times New Roman" w:cstheme="minorHAnsi"/>
          <w:color w:val="4A4A4A"/>
          <w:sz w:val="21"/>
          <w:szCs w:val="21"/>
          <w:lang w:eastAsia="en-US"/>
        </w:rPr>
        <w:t>  </w:t>
      </w:r>
      <w:r w:rsidRPr="00C87131">
        <w:rPr>
          <w:rFonts w:eastAsia="Times New Roman" w:cstheme="minorHAnsi"/>
          <w:color w:val="4A4A4A"/>
          <w:sz w:val="21"/>
          <w:szCs w:val="21"/>
          <w:lang w:val="en-US" w:eastAsia="en-US"/>
        </w:rPr>
        <w:t> </w:t>
      </w:r>
    </w:p>
    <w:p w14:paraId="780D6D52" w14:textId="77777777" w:rsidR="0048142E" w:rsidRPr="00C87131" w:rsidRDefault="0048142E" w:rsidP="0048142E">
      <w:pPr>
        <w:numPr>
          <w:ilvl w:val="0"/>
          <w:numId w:val="7"/>
        </w:numPr>
        <w:shd w:val="clear" w:color="auto" w:fill="FFFFFF"/>
        <w:spacing w:after="0" w:line="240" w:lineRule="auto"/>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 Resolution concerning statistics of occupational injuries (resulting from occupational accidents) adopted by the 16th ICLS in 1998: </w:t>
      </w:r>
      <w:hyperlink r:id="rId22" w:tgtFrame="_blank" w:history="1">
        <w:r w:rsidRPr="00C87131">
          <w:rPr>
            <w:rFonts w:eastAsia="Times New Roman" w:cstheme="minorHAnsi"/>
            <w:color w:val="0000FF"/>
            <w:sz w:val="21"/>
            <w:szCs w:val="21"/>
            <w:u w:val="single"/>
            <w:lang w:eastAsia="en-US"/>
          </w:rPr>
          <w:t>http://www.ilo.org/global/statistics-and-databases/standards-and-guidelines/resolutions-adopted-byinternational-conferences-of-labour-statisticians/WCMS_087528/lang--en/index.htm</w:t>
        </w:r>
      </w:hyperlink>
      <w:r w:rsidRPr="00C87131">
        <w:rPr>
          <w:rFonts w:eastAsia="Times New Roman" w:cstheme="minorHAnsi"/>
          <w:color w:val="4A4A4A"/>
          <w:sz w:val="21"/>
          <w:szCs w:val="21"/>
          <w:lang w:eastAsia="en-US"/>
        </w:rPr>
        <w:t> </w:t>
      </w:r>
      <w:r w:rsidRPr="00C87131">
        <w:rPr>
          <w:rFonts w:eastAsia="Times New Roman" w:cstheme="minorHAnsi"/>
          <w:color w:val="4A4A4A"/>
          <w:sz w:val="21"/>
          <w:szCs w:val="21"/>
          <w:lang w:val="en-US" w:eastAsia="en-US"/>
        </w:rPr>
        <w:t> </w:t>
      </w:r>
    </w:p>
    <w:p w14:paraId="384B0992" w14:textId="36889691" w:rsidR="00186795" w:rsidRPr="00C87131" w:rsidRDefault="00186795">
      <w:pPr>
        <w:rPr>
          <w:rFonts w:cstheme="minorHAnsi"/>
        </w:rPr>
      </w:pPr>
    </w:p>
    <w:sectPr w:rsidR="00186795" w:rsidRPr="00C87131">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98F37" w14:textId="77777777" w:rsidR="008E5CC6" w:rsidRDefault="008E5CC6" w:rsidP="00573C0B">
      <w:pPr>
        <w:spacing w:after="0" w:line="240" w:lineRule="auto"/>
      </w:pPr>
      <w:r>
        <w:separator/>
      </w:r>
    </w:p>
  </w:endnote>
  <w:endnote w:type="continuationSeparator" w:id="0">
    <w:p w14:paraId="65862A18" w14:textId="77777777" w:rsidR="008E5CC6" w:rsidRDefault="008E5CC6" w:rsidP="00573C0B">
      <w:pPr>
        <w:spacing w:after="0" w:line="240" w:lineRule="auto"/>
      </w:pPr>
      <w:r>
        <w:continuationSeparator/>
      </w:r>
    </w:p>
  </w:endnote>
  <w:endnote w:type="continuationNotice" w:id="1">
    <w:p w14:paraId="7A7A8274" w14:textId="77777777" w:rsidR="008E5CC6" w:rsidRDefault="008E5C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E4C7C" w14:textId="77777777" w:rsidR="008E5CC6" w:rsidRDefault="008E5CC6" w:rsidP="00573C0B">
      <w:pPr>
        <w:spacing w:after="0" w:line="240" w:lineRule="auto"/>
      </w:pPr>
      <w:r>
        <w:separator/>
      </w:r>
    </w:p>
  </w:footnote>
  <w:footnote w:type="continuationSeparator" w:id="0">
    <w:p w14:paraId="6BB4DCB8" w14:textId="77777777" w:rsidR="008E5CC6" w:rsidRDefault="008E5CC6" w:rsidP="00573C0B">
      <w:pPr>
        <w:spacing w:after="0" w:line="240" w:lineRule="auto"/>
      </w:pPr>
      <w:r>
        <w:continuationSeparator/>
      </w:r>
    </w:p>
  </w:footnote>
  <w:footnote w:type="continuationNotice" w:id="1">
    <w:p w14:paraId="35873519" w14:textId="77777777" w:rsidR="008E5CC6" w:rsidRDefault="008E5C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63CDB14"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C90150">
      <w:rPr>
        <w:color w:val="404040" w:themeColor="text1" w:themeTint="BF"/>
        <w:sz w:val="18"/>
        <w:szCs w:val="18"/>
      </w:rPr>
      <w:t xml:space="preserve">January </w:t>
    </w:r>
    <w:r w:rsidR="00B329B0">
      <w:rPr>
        <w:color w:val="404040" w:themeColor="text1" w:themeTint="BF"/>
        <w:sz w:val="18"/>
        <w:szCs w:val="18"/>
      </w:rPr>
      <w:t>202</w:t>
    </w:r>
    <w:r w:rsidR="00C90150">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7286"/>
    <w:multiLevelType w:val="multilevel"/>
    <w:tmpl w:val="8E2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29636F"/>
    <w:multiLevelType w:val="multilevel"/>
    <w:tmpl w:val="AEB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B62F4"/>
    <w:multiLevelType w:val="multilevel"/>
    <w:tmpl w:val="EEA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697"/>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472DF"/>
    <w:rsid w:val="00171DA2"/>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1B7B"/>
    <w:rsid w:val="00422EA5"/>
    <w:rsid w:val="00422EFA"/>
    <w:rsid w:val="0042791F"/>
    <w:rsid w:val="004456ED"/>
    <w:rsid w:val="0045279A"/>
    <w:rsid w:val="0047560D"/>
    <w:rsid w:val="0048045A"/>
    <w:rsid w:val="0048142E"/>
    <w:rsid w:val="004841B8"/>
    <w:rsid w:val="004930F2"/>
    <w:rsid w:val="004B0F1C"/>
    <w:rsid w:val="004F2EE6"/>
    <w:rsid w:val="00502DBA"/>
    <w:rsid w:val="005040C4"/>
    <w:rsid w:val="00507637"/>
    <w:rsid w:val="00507852"/>
    <w:rsid w:val="0051190A"/>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65A38"/>
    <w:rsid w:val="00881E28"/>
    <w:rsid w:val="00894C4B"/>
    <w:rsid w:val="008A12E3"/>
    <w:rsid w:val="008A42FA"/>
    <w:rsid w:val="008B0AC7"/>
    <w:rsid w:val="008C2335"/>
    <w:rsid w:val="008C67C1"/>
    <w:rsid w:val="008C69B9"/>
    <w:rsid w:val="008D1D39"/>
    <w:rsid w:val="008E5CC6"/>
    <w:rsid w:val="008F07D2"/>
    <w:rsid w:val="00900846"/>
    <w:rsid w:val="00917851"/>
    <w:rsid w:val="00917F65"/>
    <w:rsid w:val="009311E7"/>
    <w:rsid w:val="00942694"/>
    <w:rsid w:val="009559E9"/>
    <w:rsid w:val="009A7E3A"/>
    <w:rsid w:val="009B1265"/>
    <w:rsid w:val="009B4A15"/>
    <w:rsid w:val="009B5693"/>
    <w:rsid w:val="009C61A2"/>
    <w:rsid w:val="009C78E4"/>
    <w:rsid w:val="009D687E"/>
    <w:rsid w:val="009F6DE7"/>
    <w:rsid w:val="00A10583"/>
    <w:rsid w:val="00A27F7F"/>
    <w:rsid w:val="00A37FCB"/>
    <w:rsid w:val="00A4061C"/>
    <w:rsid w:val="00A54863"/>
    <w:rsid w:val="00A61D74"/>
    <w:rsid w:val="00A8688B"/>
    <w:rsid w:val="00A91163"/>
    <w:rsid w:val="00A9286F"/>
    <w:rsid w:val="00A96255"/>
    <w:rsid w:val="00AB285B"/>
    <w:rsid w:val="00AF5552"/>
    <w:rsid w:val="00AF5CB4"/>
    <w:rsid w:val="00AF5ED1"/>
    <w:rsid w:val="00AF71D6"/>
    <w:rsid w:val="00B216EE"/>
    <w:rsid w:val="00B27832"/>
    <w:rsid w:val="00B3175F"/>
    <w:rsid w:val="00B31E2C"/>
    <w:rsid w:val="00B329B0"/>
    <w:rsid w:val="00B402D8"/>
    <w:rsid w:val="00B4237C"/>
    <w:rsid w:val="00B42FE8"/>
    <w:rsid w:val="00B52AFD"/>
    <w:rsid w:val="00B54077"/>
    <w:rsid w:val="00B8087E"/>
    <w:rsid w:val="00BB646E"/>
    <w:rsid w:val="00BC3235"/>
    <w:rsid w:val="00BD1BA1"/>
    <w:rsid w:val="00BF5BA8"/>
    <w:rsid w:val="00C019E5"/>
    <w:rsid w:val="00C35BC4"/>
    <w:rsid w:val="00C43F5B"/>
    <w:rsid w:val="00C87131"/>
    <w:rsid w:val="00C90150"/>
    <w:rsid w:val="00CB4371"/>
    <w:rsid w:val="00CC516D"/>
    <w:rsid w:val="00CF3B1A"/>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85844"/>
    <w:rsid w:val="00E976B9"/>
    <w:rsid w:val="00EA05D3"/>
    <w:rsid w:val="00EB19AD"/>
    <w:rsid w:val="00EB2F31"/>
    <w:rsid w:val="00EB6493"/>
    <w:rsid w:val="00EC2915"/>
    <w:rsid w:val="00ED05A9"/>
    <w:rsid w:val="00ED1BA0"/>
    <w:rsid w:val="00F02D2A"/>
    <w:rsid w:val="00F17257"/>
    <w:rsid w:val="00F34D24"/>
    <w:rsid w:val="00F4130B"/>
    <w:rsid w:val="00F556A2"/>
    <w:rsid w:val="00F719A8"/>
    <w:rsid w:val="00F878B9"/>
    <w:rsid w:val="00FB24E8"/>
    <w:rsid w:val="00FB3B2B"/>
    <w:rsid w:val="00FC18DA"/>
    <w:rsid w:val="00FC3917"/>
    <w:rsid w:val="00FD60DA"/>
    <w:rsid w:val="00FF07B4"/>
    <w:rsid w:val="00FF539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ragraph">
    <w:name w:val="paragraph"/>
    <w:basedOn w:val="Normal"/>
    <w:rsid w:val="00171DA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171DA2"/>
  </w:style>
  <w:style w:type="character" w:customStyle="1" w:styleId="eop">
    <w:name w:val="eop"/>
    <w:basedOn w:val="DefaultParagraphFont"/>
    <w:rsid w:val="00171DA2"/>
  </w:style>
  <w:style w:type="paragraph" w:styleId="Revision">
    <w:name w:val="Revision"/>
    <w:hidden/>
    <w:uiPriority w:val="99"/>
    <w:semiHidden/>
    <w:rsid w:val="00865A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05360">
      <w:bodyDiv w:val="1"/>
      <w:marLeft w:val="0"/>
      <w:marRight w:val="0"/>
      <w:marTop w:val="0"/>
      <w:marBottom w:val="0"/>
      <w:divBdr>
        <w:top w:val="none" w:sz="0" w:space="0" w:color="auto"/>
        <w:left w:val="none" w:sz="0" w:space="0" w:color="auto"/>
        <w:bottom w:val="none" w:sz="0" w:space="0" w:color="auto"/>
        <w:right w:val="none" w:sz="0" w:space="0" w:color="auto"/>
      </w:divBdr>
      <w:divsChild>
        <w:div w:id="1911771497">
          <w:marLeft w:val="0"/>
          <w:marRight w:val="0"/>
          <w:marTop w:val="0"/>
          <w:marBottom w:val="0"/>
          <w:divBdr>
            <w:top w:val="none" w:sz="0" w:space="0" w:color="auto"/>
            <w:left w:val="none" w:sz="0" w:space="0" w:color="auto"/>
            <w:bottom w:val="none" w:sz="0" w:space="0" w:color="auto"/>
            <w:right w:val="none" w:sz="0" w:space="0" w:color="auto"/>
          </w:divBdr>
        </w:div>
        <w:div w:id="1063021863">
          <w:marLeft w:val="0"/>
          <w:marRight w:val="0"/>
          <w:marTop w:val="0"/>
          <w:marBottom w:val="0"/>
          <w:divBdr>
            <w:top w:val="none" w:sz="0" w:space="0" w:color="auto"/>
            <w:left w:val="none" w:sz="0" w:space="0" w:color="auto"/>
            <w:bottom w:val="none" w:sz="0" w:space="0" w:color="auto"/>
            <w:right w:val="none" w:sz="0" w:space="0" w:color="auto"/>
          </w:divBdr>
        </w:div>
        <w:div w:id="494489603">
          <w:marLeft w:val="0"/>
          <w:marRight w:val="0"/>
          <w:marTop w:val="0"/>
          <w:marBottom w:val="0"/>
          <w:divBdr>
            <w:top w:val="none" w:sz="0" w:space="0" w:color="auto"/>
            <w:left w:val="none" w:sz="0" w:space="0" w:color="auto"/>
            <w:bottom w:val="none" w:sz="0" w:space="0" w:color="auto"/>
            <w:right w:val="none" w:sz="0" w:space="0" w:color="auto"/>
          </w:divBdr>
        </w:div>
      </w:divsChild>
    </w:div>
    <w:div w:id="723218485">
      <w:bodyDiv w:val="1"/>
      <w:marLeft w:val="0"/>
      <w:marRight w:val="0"/>
      <w:marTop w:val="0"/>
      <w:marBottom w:val="0"/>
      <w:divBdr>
        <w:top w:val="none" w:sz="0" w:space="0" w:color="auto"/>
        <w:left w:val="none" w:sz="0" w:space="0" w:color="auto"/>
        <w:bottom w:val="none" w:sz="0" w:space="0" w:color="auto"/>
        <w:right w:val="none" w:sz="0" w:space="0" w:color="auto"/>
      </w:divBdr>
    </w:div>
    <w:div w:id="726564672">
      <w:bodyDiv w:val="1"/>
      <w:marLeft w:val="0"/>
      <w:marRight w:val="0"/>
      <w:marTop w:val="0"/>
      <w:marBottom w:val="0"/>
      <w:divBdr>
        <w:top w:val="none" w:sz="0" w:space="0" w:color="auto"/>
        <w:left w:val="none" w:sz="0" w:space="0" w:color="auto"/>
        <w:bottom w:val="none" w:sz="0" w:space="0" w:color="auto"/>
        <w:right w:val="none" w:sz="0" w:space="0" w:color="auto"/>
      </w:divBdr>
      <w:divsChild>
        <w:div w:id="482280068">
          <w:marLeft w:val="0"/>
          <w:marRight w:val="0"/>
          <w:marTop w:val="0"/>
          <w:marBottom w:val="0"/>
          <w:divBdr>
            <w:top w:val="none" w:sz="0" w:space="0" w:color="auto"/>
            <w:left w:val="none" w:sz="0" w:space="0" w:color="auto"/>
            <w:bottom w:val="none" w:sz="0" w:space="0" w:color="auto"/>
            <w:right w:val="none" w:sz="0" w:space="0" w:color="auto"/>
          </w:divBdr>
        </w:div>
        <w:div w:id="164325745">
          <w:marLeft w:val="0"/>
          <w:marRight w:val="0"/>
          <w:marTop w:val="0"/>
          <w:marBottom w:val="0"/>
          <w:divBdr>
            <w:top w:val="none" w:sz="0" w:space="0" w:color="auto"/>
            <w:left w:val="none" w:sz="0" w:space="0" w:color="auto"/>
            <w:bottom w:val="none" w:sz="0" w:space="0" w:color="auto"/>
            <w:right w:val="none" w:sz="0" w:space="0" w:color="auto"/>
          </w:divBdr>
        </w:div>
        <w:div w:id="854029402">
          <w:marLeft w:val="0"/>
          <w:marRight w:val="0"/>
          <w:marTop w:val="0"/>
          <w:marBottom w:val="0"/>
          <w:divBdr>
            <w:top w:val="none" w:sz="0" w:space="0" w:color="auto"/>
            <w:left w:val="none" w:sz="0" w:space="0" w:color="auto"/>
            <w:bottom w:val="none" w:sz="0" w:space="0" w:color="auto"/>
            <w:right w:val="none" w:sz="0" w:space="0" w:color="auto"/>
          </w:divBdr>
        </w:div>
        <w:div w:id="1535076129">
          <w:marLeft w:val="0"/>
          <w:marRight w:val="0"/>
          <w:marTop w:val="0"/>
          <w:marBottom w:val="0"/>
          <w:divBdr>
            <w:top w:val="none" w:sz="0" w:space="0" w:color="auto"/>
            <w:left w:val="none" w:sz="0" w:space="0" w:color="auto"/>
            <w:bottom w:val="none" w:sz="0" w:space="0" w:color="auto"/>
            <w:right w:val="none" w:sz="0" w:space="0" w:color="auto"/>
          </w:divBdr>
        </w:div>
        <w:div w:id="86116504">
          <w:marLeft w:val="0"/>
          <w:marRight w:val="0"/>
          <w:marTop w:val="0"/>
          <w:marBottom w:val="0"/>
          <w:divBdr>
            <w:top w:val="none" w:sz="0" w:space="0" w:color="auto"/>
            <w:left w:val="none" w:sz="0" w:space="0" w:color="auto"/>
            <w:bottom w:val="none" w:sz="0" w:space="0" w:color="auto"/>
            <w:right w:val="none" w:sz="0" w:space="0" w:color="auto"/>
          </w:divBdr>
        </w:div>
        <w:div w:id="1254390979">
          <w:marLeft w:val="0"/>
          <w:marRight w:val="0"/>
          <w:marTop w:val="0"/>
          <w:marBottom w:val="0"/>
          <w:divBdr>
            <w:top w:val="none" w:sz="0" w:space="0" w:color="auto"/>
            <w:left w:val="none" w:sz="0" w:space="0" w:color="auto"/>
            <w:bottom w:val="none" w:sz="0" w:space="0" w:color="auto"/>
            <w:right w:val="none" w:sz="0" w:space="0" w:color="auto"/>
          </w:divBdr>
        </w:div>
        <w:div w:id="2138911077">
          <w:marLeft w:val="0"/>
          <w:marRight w:val="0"/>
          <w:marTop w:val="0"/>
          <w:marBottom w:val="0"/>
          <w:divBdr>
            <w:top w:val="none" w:sz="0" w:space="0" w:color="auto"/>
            <w:left w:val="none" w:sz="0" w:space="0" w:color="auto"/>
            <w:bottom w:val="none" w:sz="0" w:space="0" w:color="auto"/>
            <w:right w:val="none" w:sz="0" w:space="0" w:color="auto"/>
          </w:divBdr>
        </w:div>
        <w:div w:id="274094880">
          <w:marLeft w:val="0"/>
          <w:marRight w:val="0"/>
          <w:marTop w:val="0"/>
          <w:marBottom w:val="0"/>
          <w:divBdr>
            <w:top w:val="none" w:sz="0" w:space="0" w:color="auto"/>
            <w:left w:val="none" w:sz="0" w:space="0" w:color="auto"/>
            <w:bottom w:val="none" w:sz="0" w:space="0" w:color="auto"/>
            <w:right w:val="none" w:sz="0" w:space="0" w:color="auto"/>
          </w:divBdr>
        </w:div>
        <w:div w:id="90783889">
          <w:marLeft w:val="0"/>
          <w:marRight w:val="0"/>
          <w:marTop w:val="0"/>
          <w:marBottom w:val="0"/>
          <w:divBdr>
            <w:top w:val="none" w:sz="0" w:space="0" w:color="auto"/>
            <w:left w:val="none" w:sz="0" w:space="0" w:color="auto"/>
            <w:bottom w:val="none" w:sz="0" w:space="0" w:color="auto"/>
            <w:right w:val="none" w:sz="0" w:space="0" w:color="auto"/>
          </w:divBdr>
        </w:div>
        <w:div w:id="337002796">
          <w:marLeft w:val="0"/>
          <w:marRight w:val="0"/>
          <w:marTop w:val="0"/>
          <w:marBottom w:val="0"/>
          <w:divBdr>
            <w:top w:val="none" w:sz="0" w:space="0" w:color="auto"/>
            <w:left w:val="none" w:sz="0" w:space="0" w:color="auto"/>
            <w:bottom w:val="none" w:sz="0" w:space="0" w:color="auto"/>
            <w:right w:val="none" w:sz="0" w:space="0" w:color="auto"/>
          </w:divBdr>
        </w:div>
        <w:div w:id="1365442832">
          <w:marLeft w:val="0"/>
          <w:marRight w:val="0"/>
          <w:marTop w:val="0"/>
          <w:marBottom w:val="0"/>
          <w:divBdr>
            <w:top w:val="none" w:sz="0" w:space="0" w:color="auto"/>
            <w:left w:val="none" w:sz="0" w:space="0" w:color="auto"/>
            <w:bottom w:val="none" w:sz="0" w:space="0" w:color="auto"/>
            <w:right w:val="none" w:sz="0" w:space="0" w:color="auto"/>
          </w:divBdr>
        </w:div>
        <w:div w:id="990183565">
          <w:marLeft w:val="0"/>
          <w:marRight w:val="0"/>
          <w:marTop w:val="0"/>
          <w:marBottom w:val="0"/>
          <w:divBdr>
            <w:top w:val="none" w:sz="0" w:space="0" w:color="auto"/>
            <w:left w:val="none" w:sz="0" w:space="0" w:color="auto"/>
            <w:bottom w:val="none" w:sz="0" w:space="0" w:color="auto"/>
            <w:right w:val="none" w:sz="0" w:space="0" w:color="auto"/>
          </w:divBdr>
        </w:div>
        <w:div w:id="387535303">
          <w:marLeft w:val="0"/>
          <w:marRight w:val="0"/>
          <w:marTop w:val="0"/>
          <w:marBottom w:val="0"/>
          <w:divBdr>
            <w:top w:val="none" w:sz="0" w:space="0" w:color="auto"/>
            <w:left w:val="none" w:sz="0" w:space="0" w:color="auto"/>
            <w:bottom w:val="none" w:sz="0" w:space="0" w:color="auto"/>
            <w:right w:val="none" w:sz="0" w:space="0" w:color="auto"/>
          </w:divBdr>
        </w:div>
        <w:div w:id="1674335346">
          <w:marLeft w:val="0"/>
          <w:marRight w:val="0"/>
          <w:marTop w:val="0"/>
          <w:marBottom w:val="0"/>
          <w:divBdr>
            <w:top w:val="none" w:sz="0" w:space="0" w:color="auto"/>
            <w:left w:val="none" w:sz="0" w:space="0" w:color="auto"/>
            <w:bottom w:val="none" w:sz="0" w:space="0" w:color="auto"/>
            <w:right w:val="none" w:sz="0" w:space="0" w:color="auto"/>
          </w:divBdr>
        </w:div>
        <w:div w:id="1021206216">
          <w:marLeft w:val="0"/>
          <w:marRight w:val="0"/>
          <w:marTop w:val="0"/>
          <w:marBottom w:val="0"/>
          <w:divBdr>
            <w:top w:val="none" w:sz="0" w:space="0" w:color="auto"/>
            <w:left w:val="none" w:sz="0" w:space="0" w:color="auto"/>
            <w:bottom w:val="none" w:sz="0" w:space="0" w:color="auto"/>
            <w:right w:val="none" w:sz="0" w:space="0" w:color="auto"/>
          </w:divBdr>
        </w:div>
        <w:div w:id="935134447">
          <w:marLeft w:val="0"/>
          <w:marRight w:val="0"/>
          <w:marTop w:val="0"/>
          <w:marBottom w:val="0"/>
          <w:divBdr>
            <w:top w:val="none" w:sz="0" w:space="0" w:color="auto"/>
            <w:left w:val="none" w:sz="0" w:space="0" w:color="auto"/>
            <w:bottom w:val="none" w:sz="0" w:space="0" w:color="auto"/>
            <w:right w:val="none" w:sz="0" w:space="0" w:color="auto"/>
          </w:divBdr>
        </w:div>
        <w:div w:id="1122460151">
          <w:marLeft w:val="0"/>
          <w:marRight w:val="0"/>
          <w:marTop w:val="0"/>
          <w:marBottom w:val="0"/>
          <w:divBdr>
            <w:top w:val="none" w:sz="0" w:space="0" w:color="auto"/>
            <w:left w:val="none" w:sz="0" w:space="0" w:color="auto"/>
            <w:bottom w:val="none" w:sz="0" w:space="0" w:color="auto"/>
            <w:right w:val="none" w:sz="0" w:space="0" w:color="auto"/>
          </w:divBdr>
        </w:div>
        <w:div w:id="1511262786">
          <w:marLeft w:val="0"/>
          <w:marRight w:val="0"/>
          <w:marTop w:val="0"/>
          <w:marBottom w:val="0"/>
          <w:divBdr>
            <w:top w:val="none" w:sz="0" w:space="0" w:color="auto"/>
            <w:left w:val="none" w:sz="0" w:space="0" w:color="auto"/>
            <w:bottom w:val="none" w:sz="0" w:space="0" w:color="auto"/>
            <w:right w:val="none" w:sz="0" w:space="0" w:color="auto"/>
          </w:divBdr>
        </w:div>
        <w:div w:id="464009350">
          <w:marLeft w:val="0"/>
          <w:marRight w:val="0"/>
          <w:marTop w:val="0"/>
          <w:marBottom w:val="0"/>
          <w:divBdr>
            <w:top w:val="none" w:sz="0" w:space="0" w:color="auto"/>
            <w:left w:val="none" w:sz="0" w:space="0" w:color="auto"/>
            <w:bottom w:val="none" w:sz="0" w:space="0" w:color="auto"/>
            <w:right w:val="none" w:sz="0" w:space="0" w:color="auto"/>
          </w:divBdr>
        </w:div>
        <w:div w:id="2020892465">
          <w:marLeft w:val="0"/>
          <w:marRight w:val="0"/>
          <w:marTop w:val="0"/>
          <w:marBottom w:val="0"/>
          <w:divBdr>
            <w:top w:val="none" w:sz="0" w:space="0" w:color="auto"/>
            <w:left w:val="none" w:sz="0" w:space="0" w:color="auto"/>
            <w:bottom w:val="none" w:sz="0" w:space="0" w:color="auto"/>
            <w:right w:val="none" w:sz="0" w:space="0" w:color="auto"/>
          </w:divBdr>
        </w:div>
        <w:div w:id="248780553">
          <w:marLeft w:val="0"/>
          <w:marRight w:val="0"/>
          <w:marTop w:val="0"/>
          <w:marBottom w:val="0"/>
          <w:divBdr>
            <w:top w:val="none" w:sz="0" w:space="0" w:color="auto"/>
            <w:left w:val="none" w:sz="0" w:space="0" w:color="auto"/>
            <w:bottom w:val="none" w:sz="0" w:space="0" w:color="auto"/>
            <w:right w:val="none" w:sz="0" w:space="0" w:color="auto"/>
          </w:divBdr>
        </w:div>
        <w:div w:id="1083335292">
          <w:marLeft w:val="0"/>
          <w:marRight w:val="0"/>
          <w:marTop w:val="0"/>
          <w:marBottom w:val="0"/>
          <w:divBdr>
            <w:top w:val="none" w:sz="0" w:space="0" w:color="auto"/>
            <w:left w:val="none" w:sz="0" w:space="0" w:color="auto"/>
            <w:bottom w:val="none" w:sz="0" w:space="0" w:color="auto"/>
            <w:right w:val="none" w:sz="0" w:space="0" w:color="auto"/>
          </w:divBdr>
        </w:div>
        <w:div w:id="1560894739">
          <w:marLeft w:val="0"/>
          <w:marRight w:val="0"/>
          <w:marTop w:val="0"/>
          <w:marBottom w:val="0"/>
          <w:divBdr>
            <w:top w:val="none" w:sz="0" w:space="0" w:color="auto"/>
            <w:left w:val="none" w:sz="0" w:space="0" w:color="auto"/>
            <w:bottom w:val="none" w:sz="0" w:space="0" w:color="auto"/>
            <w:right w:val="none" w:sz="0" w:space="0" w:color="auto"/>
          </w:divBdr>
        </w:div>
        <w:div w:id="1382316697">
          <w:marLeft w:val="0"/>
          <w:marRight w:val="0"/>
          <w:marTop w:val="0"/>
          <w:marBottom w:val="0"/>
          <w:divBdr>
            <w:top w:val="none" w:sz="0" w:space="0" w:color="auto"/>
            <w:left w:val="none" w:sz="0" w:space="0" w:color="auto"/>
            <w:bottom w:val="none" w:sz="0" w:space="0" w:color="auto"/>
            <w:right w:val="none" w:sz="0" w:space="0" w:color="auto"/>
          </w:divBdr>
        </w:div>
        <w:div w:id="1498613598">
          <w:marLeft w:val="0"/>
          <w:marRight w:val="0"/>
          <w:marTop w:val="0"/>
          <w:marBottom w:val="0"/>
          <w:divBdr>
            <w:top w:val="none" w:sz="0" w:space="0" w:color="auto"/>
            <w:left w:val="none" w:sz="0" w:space="0" w:color="auto"/>
            <w:bottom w:val="none" w:sz="0" w:space="0" w:color="auto"/>
            <w:right w:val="none" w:sz="0" w:space="0" w:color="auto"/>
          </w:divBdr>
        </w:div>
      </w:divsChild>
    </w:div>
    <w:div w:id="792789009">
      <w:bodyDiv w:val="1"/>
      <w:marLeft w:val="0"/>
      <w:marRight w:val="0"/>
      <w:marTop w:val="0"/>
      <w:marBottom w:val="0"/>
      <w:divBdr>
        <w:top w:val="none" w:sz="0" w:space="0" w:color="auto"/>
        <w:left w:val="none" w:sz="0" w:space="0" w:color="auto"/>
        <w:bottom w:val="none" w:sz="0" w:space="0" w:color="auto"/>
        <w:right w:val="none" w:sz="0" w:space="0" w:color="auto"/>
      </w:divBdr>
      <w:divsChild>
        <w:div w:id="1153374442">
          <w:marLeft w:val="0"/>
          <w:marRight w:val="0"/>
          <w:marTop w:val="0"/>
          <w:marBottom w:val="0"/>
          <w:divBdr>
            <w:top w:val="none" w:sz="0" w:space="0" w:color="auto"/>
            <w:left w:val="none" w:sz="0" w:space="0" w:color="auto"/>
            <w:bottom w:val="none" w:sz="0" w:space="0" w:color="auto"/>
            <w:right w:val="none" w:sz="0" w:space="0" w:color="auto"/>
          </w:divBdr>
        </w:div>
        <w:div w:id="1760637156">
          <w:marLeft w:val="0"/>
          <w:marRight w:val="0"/>
          <w:marTop w:val="0"/>
          <w:marBottom w:val="0"/>
          <w:divBdr>
            <w:top w:val="none" w:sz="0" w:space="0" w:color="auto"/>
            <w:left w:val="none" w:sz="0" w:space="0" w:color="auto"/>
            <w:bottom w:val="none" w:sz="0" w:space="0" w:color="auto"/>
            <w:right w:val="none" w:sz="0" w:space="0" w:color="auto"/>
          </w:divBdr>
          <w:divsChild>
            <w:div w:id="16630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2501">
      <w:bodyDiv w:val="1"/>
      <w:marLeft w:val="0"/>
      <w:marRight w:val="0"/>
      <w:marTop w:val="0"/>
      <w:marBottom w:val="0"/>
      <w:divBdr>
        <w:top w:val="none" w:sz="0" w:space="0" w:color="auto"/>
        <w:left w:val="none" w:sz="0" w:space="0" w:color="auto"/>
        <w:bottom w:val="none" w:sz="0" w:space="0" w:color="auto"/>
        <w:right w:val="none" w:sz="0" w:space="0" w:color="auto"/>
      </w:divBdr>
      <w:divsChild>
        <w:div w:id="107436980">
          <w:marLeft w:val="0"/>
          <w:marRight w:val="0"/>
          <w:marTop w:val="0"/>
          <w:marBottom w:val="0"/>
          <w:divBdr>
            <w:top w:val="none" w:sz="0" w:space="0" w:color="auto"/>
            <w:left w:val="none" w:sz="0" w:space="0" w:color="auto"/>
            <w:bottom w:val="none" w:sz="0" w:space="0" w:color="auto"/>
            <w:right w:val="none" w:sz="0" w:space="0" w:color="auto"/>
          </w:divBdr>
        </w:div>
        <w:div w:id="784351745">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95798234">
      <w:bodyDiv w:val="1"/>
      <w:marLeft w:val="0"/>
      <w:marRight w:val="0"/>
      <w:marTop w:val="0"/>
      <w:marBottom w:val="0"/>
      <w:divBdr>
        <w:top w:val="none" w:sz="0" w:space="0" w:color="auto"/>
        <w:left w:val="none" w:sz="0" w:space="0" w:color="auto"/>
        <w:bottom w:val="none" w:sz="0" w:space="0" w:color="auto"/>
        <w:right w:val="none" w:sz="0" w:space="0" w:color="auto"/>
      </w:divBdr>
      <w:divsChild>
        <w:div w:id="1408458133">
          <w:marLeft w:val="0"/>
          <w:marRight w:val="0"/>
          <w:marTop w:val="0"/>
          <w:marBottom w:val="0"/>
          <w:divBdr>
            <w:top w:val="none" w:sz="0" w:space="0" w:color="auto"/>
            <w:left w:val="none" w:sz="0" w:space="0" w:color="auto"/>
            <w:bottom w:val="none" w:sz="0" w:space="0" w:color="auto"/>
            <w:right w:val="none" w:sz="0" w:space="0" w:color="auto"/>
          </w:divBdr>
        </w:div>
        <w:div w:id="1549100203">
          <w:marLeft w:val="0"/>
          <w:marRight w:val="0"/>
          <w:marTop w:val="0"/>
          <w:marBottom w:val="0"/>
          <w:divBdr>
            <w:top w:val="none" w:sz="0" w:space="0" w:color="auto"/>
            <w:left w:val="none" w:sz="0" w:space="0" w:color="auto"/>
            <w:bottom w:val="none" w:sz="0" w:space="0" w:color="auto"/>
            <w:right w:val="none" w:sz="0" w:space="0" w:color="auto"/>
          </w:divBdr>
        </w:div>
        <w:div w:id="734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integration/resources/pubs/WCMS_229374/lang--%20en/index.htm" TargetMode="External"/><Relationship Id="rId18" Type="http://schemas.openxmlformats.org/officeDocument/2006/relationships/hyperlink" Target="https://ilostat.ilo.org/resources/methods/description-occupational-injuries/" TargetMode="External"/><Relationship Id="rId3" Type="http://schemas.openxmlformats.org/officeDocument/2006/relationships/customXml" Target="../customXml/item3.xml"/><Relationship Id="rId21" Type="http://schemas.openxmlformats.org/officeDocument/2006/relationships/hyperlink" Target="http://www.ilo.org/wcmsp5/groups/public/---dgreports/---stat/documents/publication/wcms_223121.pdf" TargetMode="External"/><Relationship Id="rId7" Type="http://schemas.openxmlformats.org/officeDocument/2006/relationships/settings" Target="settings.xml"/><Relationship Id="rId12" Type="http://schemas.openxmlformats.org/officeDocument/2006/relationships/hyperlink" Target="https://www.ilo.org/stat/Publications/WCMS_647109/lang--en/index.htm" TargetMode="External"/><Relationship Id="rId17" Type="http://schemas.openxmlformats.org/officeDocument/2006/relationships/hyperlink" Target="https://ilostat.ilo.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lo.org/stat/Publications/WCMS_173153/lang--en/index.htm" TargetMode="External"/><Relationship Id="rId20" Type="http://schemas.openxmlformats.org/officeDocument/2006/relationships/hyperlink" Target="https://ilostat.ilo.org/resources/methods/description-occupational-injur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lo.org/global/statistics-and-databases/standards-and-guidelines/resolutions-adopted-byinternational-conferences-of-labour-statisticians/WCMS_087528/lang--en/index.ht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ilo.org/safework/info/publications/WCMS_217849/lang--en/index.ht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ilo.org/stat/Publications/WCMS_647109/lang--en/index.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global/statistics-and-databases/standards-and-guidelines/resolutionsadopted-by-international-conferences-of-labour-statisticians/WCMS_087528/lang--en/index.htm" TargetMode="External"/><Relationship Id="rId22" Type="http://schemas.openxmlformats.org/officeDocument/2006/relationships/hyperlink" Target="http://www.ilo.org/global/statistics-and-databases/standards-and-guidelines/resolutions-adopted-byinternational-conferences-of-labour-statisticians/WCMS_087528/lang--e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630C11-96BA-41D3-B26D-44CA330E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2021-02-22T22:24:00Z</dcterms:created>
  <dcterms:modified xsi:type="dcterms:W3CDTF">2021-02-22T22:24:00Z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