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03934A4" w14:textId="580963AC" w:rsidR="00AB7635" w:rsidRDefault="00791A8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w:t>
      </w:r>
      <w:r w:rsidR="00AB7635">
        <w:rPr>
          <w:rStyle w:val="normaltextrun"/>
          <w:rFonts w:ascii="Calibri" w:hAnsi="Calibri" w:cs="Calibri"/>
          <w:color w:val="333333"/>
          <w:sz w:val="21"/>
          <w:szCs w:val="21"/>
          <w:shd w:val="clear" w:color="auto" w:fill="F5F5F5"/>
        </w:rPr>
        <w:t>:</w:t>
      </w:r>
      <w:r w:rsidR="00AB7635">
        <w:rPr>
          <w:rStyle w:val="normaltextrun"/>
          <w:rFonts w:ascii="Arial" w:hAnsi="Arial" w:cs="Arial"/>
          <w:sz w:val="22"/>
          <w:shd w:val="clear" w:color="auto" w:fill="F5F5F5"/>
        </w:rPr>
        <w:t> </w:t>
      </w:r>
      <w:r w:rsidR="00AB7635">
        <w:rPr>
          <w:rStyle w:val="normaltextrun"/>
          <w:rFonts w:ascii="Calibri" w:hAnsi="Calibri" w:cs="Calibri"/>
          <w:color w:val="333333"/>
          <w:sz w:val="21"/>
          <w:szCs w:val="21"/>
          <w:shd w:val="clear" w:color="auto" w:fill="F5F5F5"/>
        </w:rPr>
        <w:t>8. Promote sustained, inclusive and sustainable economic growth, full and productive employment and decent work for all</w:t>
      </w:r>
      <w:r w:rsidR="00AB7635">
        <w:rPr>
          <w:rStyle w:val="eop"/>
          <w:rFonts w:ascii="Calibri" w:hAnsi="Calibri" w:cs="Calibri"/>
          <w:color w:val="333333"/>
          <w:sz w:val="21"/>
          <w:szCs w:val="21"/>
        </w:rPr>
        <w:t> </w:t>
      </w:r>
    </w:p>
    <w:p w14:paraId="084142D2" w14:textId="17FBC174" w:rsidR="00D24330" w:rsidRPr="00A96255" w:rsidRDefault="00D24330" w:rsidP="00D24330">
      <w:pPr>
        <w:pStyle w:val="MIndHeader"/>
      </w:pPr>
      <w:r w:rsidRPr="00A96255">
        <w:t>0.b. Target</w:t>
      </w:r>
    </w:p>
    <w:p w14:paraId="647E259C" w14:textId="0700BC8B" w:rsidR="00AB7635" w:rsidRDefault="00AB763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Targe</w:t>
      </w:r>
      <w:r w:rsidR="00791A85">
        <w:rPr>
          <w:rStyle w:val="normaltextrun"/>
          <w:rFonts w:ascii="Calibri" w:hAnsi="Calibri" w:cs="Calibri"/>
          <w:color w:val="333333"/>
          <w:sz w:val="21"/>
          <w:szCs w:val="21"/>
          <w:shd w:val="clear" w:color="auto" w:fill="F5F5F5"/>
        </w:rPr>
        <w:t>t</w:t>
      </w:r>
      <w:r>
        <w:rPr>
          <w:rStyle w:val="normaltextrun"/>
          <w:rFonts w:ascii="Calibri" w:hAnsi="Calibri" w:cs="Calibri"/>
          <w:color w:val="333333"/>
          <w:sz w:val="21"/>
          <w:szCs w:val="21"/>
          <w:shd w:val="clear" w:color="auto" w:fill="F5F5F5"/>
        </w:rPr>
        <w:t> 8.9</w:t>
      </w:r>
      <w:r w:rsidR="00791A85">
        <w:rPr>
          <w:rStyle w:val="normaltextrun"/>
          <w:rFonts w:ascii="Calibri" w:hAnsi="Calibri" w:cs="Calibri"/>
          <w:color w:val="333333"/>
          <w:sz w:val="21"/>
          <w:szCs w:val="21"/>
          <w:shd w:val="clear" w:color="auto" w:fill="F5F5F5"/>
        </w:rPr>
        <w:t>:</w:t>
      </w:r>
      <w:r>
        <w:rPr>
          <w:rStyle w:val="normaltextrun"/>
          <w:rFonts w:ascii="Calibri" w:hAnsi="Calibri" w:cs="Calibri"/>
          <w:color w:val="333333"/>
          <w:sz w:val="21"/>
          <w:szCs w:val="21"/>
          <w:shd w:val="clear" w:color="auto" w:fill="F5F5F5"/>
        </w:rPr>
        <w:t xml:space="preserve"> By 2030, devise and implement policies to promote sustainable tourism that creates jobs and promotes local culture and products</w:t>
      </w:r>
      <w:r>
        <w:rPr>
          <w:rStyle w:val="eop"/>
          <w:rFonts w:ascii="Calibri" w:hAnsi="Calibri" w:cs="Calibri"/>
          <w:color w:val="333333"/>
          <w:sz w:val="21"/>
          <w:szCs w:val="21"/>
        </w:rPr>
        <w:t> </w:t>
      </w:r>
    </w:p>
    <w:p w14:paraId="3E67E7E0" w14:textId="237F44C6" w:rsidR="00D24330" w:rsidRPr="00A96255" w:rsidRDefault="00D24330" w:rsidP="00D24330">
      <w:pPr>
        <w:pStyle w:val="MIndHeader"/>
      </w:pPr>
      <w:r w:rsidRPr="00A96255">
        <w:t>0.c. Indicator</w:t>
      </w:r>
    </w:p>
    <w:p w14:paraId="051D2F5E" w14:textId="014BA548" w:rsidR="00AB7635" w:rsidRDefault="00791A85" w:rsidP="00D24330">
      <w:pPr>
        <w:pStyle w:val="MIndHeader"/>
        <w:rPr>
          <w:color w:val="333333"/>
          <w:sz w:val="21"/>
          <w:szCs w:val="21"/>
        </w:rPr>
      </w:pPr>
      <w:r>
        <w:rPr>
          <w:color w:val="333333"/>
          <w:sz w:val="21"/>
          <w:szCs w:val="21"/>
        </w:rPr>
        <w:t>Indicator</w:t>
      </w:r>
      <w:r w:rsidR="00AB7635" w:rsidRPr="00AB7635">
        <w:rPr>
          <w:color w:val="333333"/>
          <w:sz w:val="21"/>
          <w:szCs w:val="21"/>
        </w:rPr>
        <w:t xml:space="preserve"> 8.9.1</w:t>
      </w:r>
      <w:r>
        <w:rPr>
          <w:color w:val="333333"/>
          <w:sz w:val="21"/>
          <w:szCs w:val="21"/>
        </w:rPr>
        <w:t>:</w:t>
      </w:r>
      <w:r w:rsidR="00AB7635" w:rsidRPr="00AB7635">
        <w:rPr>
          <w:color w:val="333333"/>
          <w:sz w:val="21"/>
          <w:szCs w:val="21"/>
        </w:rPr>
        <w:t xml:space="preserve"> Tourism direct GDP as a proportion of total GDP and in growth rate </w:t>
      </w:r>
    </w:p>
    <w:p w14:paraId="37E5E4F6" w14:textId="78D966BE" w:rsidR="00D24330" w:rsidRPr="00A96255" w:rsidRDefault="00D24330" w:rsidP="00D24330">
      <w:pPr>
        <w:pStyle w:val="MIndHeader"/>
      </w:pPr>
      <w:r w:rsidRPr="00A96255">
        <w:t>0.d. Series</w:t>
      </w:r>
    </w:p>
    <w:p w14:paraId="771888BA" w14:textId="404015CB"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7590D487" w:rsidR="00D24330" w:rsidRPr="00A96255" w:rsidRDefault="002C0D8F" w:rsidP="00D24330">
      <w:pPr>
        <w:pStyle w:val="MGTHeader"/>
      </w:pPr>
      <w:r>
        <w:t>25 March 2021</w:t>
      </w:r>
    </w:p>
    <w:p w14:paraId="415C9FF1" w14:textId="77777777" w:rsidR="00D24330" w:rsidRPr="00A96255" w:rsidRDefault="00D24330" w:rsidP="00D24330">
      <w:pPr>
        <w:pStyle w:val="MIndHeader"/>
      </w:pPr>
      <w:r w:rsidRPr="00A96255">
        <w:t>0.f. Related indicators</w:t>
      </w:r>
    </w:p>
    <w:p w14:paraId="0CDDE5BB" w14:textId="77777777" w:rsidR="00AB7635" w:rsidRDefault="00AB7635" w:rsidP="009B49F4">
      <w:pPr>
        <w:pStyle w:val="MGTHeader"/>
        <w:rPr>
          <w:rFonts w:ascii="Segoe UI" w:hAnsi="Segoe UI" w:cs="Segoe UI"/>
          <w:sz w:val="18"/>
          <w:szCs w:val="18"/>
        </w:rPr>
      </w:pPr>
      <w:r>
        <w:rPr>
          <w:rStyle w:val="normaltextrun"/>
          <w:rFonts w:ascii="Calibri" w:hAnsi="Calibri" w:cs="Calibri"/>
          <w:color w:val="4A4A4A"/>
        </w:rPr>
        <w:t>14.7 By 2030, increase the economic benefits to small island developing States and least developed countries from the sustainable use of marine resources, including through sustainable management of fisheries, aquaculture and tourism</w:t>
      </w:r>
      <w:r>
        <w:rPr>
          <w:rStyle w:val="normaltextrun"/>
          <w:color w:val="4A4A4A"/>
        </w:rPr>
        <w:t>.</w:t>
      </w:r>
      <w:r>
        <w:rPr>
          <w:rStyle w:val="eop"/>
          <w:color w:val="4A4A4A"/>
        </w:rPr>
        <w:t> </w:t>
      </w:r>
    </w:p>
    <w:p w14:paraId="6425DD76" w14:textId="03F6B7A2" w:rsidR="00AB7635" w:rsidRPr="009B49F4" w:rsidRDefault="00AB7635" w:rsidP="009B49F4">
      <w:pPr>
        <w:pStyle w:val="MGTHeader"/>
        <w:rPr>
          <w:rFonts w:ascii="Calibri" w:hAnsi="Calibri" w:cs="Calibri"/>
        </w:rPr>
      </w:pPr>
      <w:r>
        <w:rPr>
          <w:rStyle w:val="normaltextrun"/>
          <w:rFonts w:ascii="Calibri" w:hAnsi="Calibri" w:cs="Calibri"/>
          <w:color w:val="4A4A4A"/>
        </w:rPr>
        <w:t>12.b.1 </w:t>
      </w:r>
      <w:r>
        <w:rPr>
          <w:rStyle w:val="normaltextrun"/>
          <w:rFonts w:ascii="Calibri" w:hAnsi="Calibri" w:cs="Calibri"/>
        </w:rPr>
        <w:t>Implementation of standard accounting tools to monitor the economic and environmental aspects of tourism sustainability</w:t>
      </w:r>
      <w:r>
        <w:rPr>
          <w:rStyle w:val="eop"/>
          <w:rFonts w:ascii="Calibri" w:hAnsi="Calibri" w:cs="Calibri"/>
        </w:rPr>
        <w:t> </w:t>
      </w:r>
    </w:p>
    <w:p w14:paraId="077BC49E" w14:textId="77777777" w:rsidR="00D24330" w:rsidRPr="00A96255" w:rsidRDefault="00D24330" w:rsidP="00D24330">
      <w:pPr>
        <w:pStyle w:val="MIndHeader"/>
      </w:pPr>
      <w:r w:rsidRPr="00A96255">
        <w:t>0.g. International organisations(s) responsible for global monitoring</w:t>
      </w:r>
    </w:p>
    <w:p w14:paraId="19F29921" w14:textId="0322D136" w:rsidR="008D1D39" w:rsidRPr="00791A85" w:rsidRDefault="00AB7635" w:rsidP="00791A85">
      <w:pPr>
        <w:pStyle w:val="MGTHeader"/>
        <w:rPr>
          <w:rStyle w:val="eop"/>
        </w:rPr>
      </w:pPr>
      <w:r w:rsidRPr="00791A85">
        <w:rPr>
          <w:rStyle w:val="normaltextrun"/>
        </w:rPr>
        <w:t>World Tourism Organization (UNWTO)</w:t>
      </w:r>
      <w:r w:rsidRPr="00791A85">
        <w:rPr>
          <w:rStyle w:val="eop"/>
        </w:rPr>
        <w:t> </w:t>
      </w:r>
    </w:p>
    <w:p w14:paraId="69C0C9C6" w14:textId="77777777" w:rsidR="009B49F4" w:rsidRPr="00A96255" w:rsidRDefault="009B49F4"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012A81F1" w:rsidR="00F719A8" w:rsidRDefault="00AB7635" w:rsidP="00576CFA">
      <w:pPr>
        <w:pStyle w:val="MText"/>
      </w:pPr>
      <w:r w:rsidRPr="00AB7635">
        <w:t>World Tourism Organization (UNWTO)</w:t>
      </w:r>
    </w:p>
    <w:p w14:paraId="56C79E24" w14:textId="77777777" w:rsidR="00AB7635" w:rsidRDefault="00AB7635"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2676BBA"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649CAAEA"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lang w:val="en-GB"/>
        </w:rPr>
        <w:t>Tourism Direct GDP (TDGDP) is defined as the sum of the part of gross value added (at basic prices) generated by all industries in response to internal tourism consumption plus the amount of net taxes on products and</w:t>
      </w:r>
      <w:r>
        <w:rPr>
          <w:rStyle w:val="normaltextrun"/>
          <w:color w:val="4A4A4A"/>
          <w:sz w:val="21"/>
          <w:szCs w:val="21"/>
          <w:lang w:val="en-GB"/>
        </w:rPr>
        <w:t> </w:t>
      </w:r>
      <w:r>
        <w:rPr>
          <w:rStyle w:val="normaltextrun"/>
          <w:rFonts w:ascii="Calibri" w:hAnsi="Calibri" w:cs="Calibri"/>
          <w:color w:val="4A4A4A"/>
          <w:sz w:val="21"/>
          <w:szCs w:val="21"/>
          <w:lang w:val="en-GB"/>
        </w:rPr>
        <w:t>imports included within the value of this expenditure at purchasers’ prices. The indicator relies on the Tourism Satellite Account: Recommended Methodological Framework 2008, an international standard adopted by the UN Statistical Commission and</w:t>
      </w:r>
      <w:r>
        <w:rPr>
          <w:rStyle w:val="normaltextrun"/>
          <w:color w:val="4A4A4A"/>
          <w:sz w:val="21"/>
          <w:szCs w:val="21"/>
          <w:lang w:val="en-GB"/>
        </w:rPr>
        <w:t> </w:t>
      </w:r>
      <w:r>
        <w:rPr>
          <w:rStyle w:val="normaltextrun"/>
          <w:rFonts w:ascii="Calibri" w:hAnsi="Calibri" w:cs="Calibri"/>
          <w:color w:val="4A4A4A"/>
          <w:sz w:val="21"/>
          <w:szCs w:val="21"/>
          <w:lang w:val="en-GB"/>
        </w:rPr>
        <w:t>elaborated by UNWTO, OECD and EUROSTAT.</w:t>
      </w:r>
      <w:r>
        <w:rPr>
          <w:rStyle w:val="eop"/>
          <w:rFonts w:ascii="Calibri" w:hAnsi="Calibri" w:cs="Calibri"/>
          <w:color w:val="4A4A4A"/>
          <w:sz w:val="21"/>
          <w:szCs w:val="21"/>
        </w:rPr>
        <w:t> </w:t>
      </w:r>
    </w:p>
    <w:p w14:paraId="6955C5DF"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D4AB81B"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85A0A6"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F70ED06"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Tourism direct gross value added (TDGVA) is the part of gross value added generated by tourism industries and other industries of the economy that directly serve visitors in response to internal tourism consumption</w:t>
      </w:r>
      <w:r>
        <w:rPr>
          <w:rStyle w:val="normaltextrun"/>
          <w:color w:val="4A4A4A"/>
          <w:sz w:val="21"/>
          <w:szCs w:val="21"/>
          <w:lang w:val="en-GB"/>
        </w:rPr>
        <w:t>.</w:t>
      </w:r>
      <w:r>
        <w:rPr>
          <w:rStyle w:val="eop"/>
          <w:color w:val="4A4A4A"/>
          <w:sz w:val="21"/>
          <w:szCs w:val="21"/>
        </w:rPr>
        <w:t> </w:t>
      </w:r>
    </w:p>
    <w:p w14:paraId="0A41EE87"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686160"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 xml:space="preserve">Gross Domestic Product (GDP): It is the main measure of national output, representing the total value of all final goods and services within the System of National Accounts (SNA) production boundary produced in a </w:t>
      </w:r>
      <w:proofErr w:type="gramStart"/>
      <w:r>
        <w:rPr>
          <w:rStyle w:val="normaltextrun"/>
          <w:rFonts w:ascii="Calibri" w:hAnsi="Calibri" w:cs="Calibri"/>
          <w:color w:val="4A4A4A"/>
          <w:sz w:val="21"/>
          <w:szCs w:val="21"/>
        </w:rPr>
        <w:t>particular economy</w:t>
      </w:r>
      <w:proofErr w:type="gramEnd"/>
      <w:r>
        <w:rPr>
          <w:rStyle w:val="normaltextrun"/>
          <w:rFonts w:ascii="Calibri" w:hAnsi="Calibri" w:cs="Calibri"/>
          <w:color w:val="4A4A4A"/>
          <w:sz w:val="21"/>
          <w:szCs w:val="21"/>
        </w:rPr>
        <w:t xml:space="preserve"> (that is, the dollar value of all goods and services within the SNA production boundary produced within a country’s borders </w:t>
      </w:r>
      <w:r>
        <w:rPr>
          <w:rStyle w:val="normaltextrun"/>
          <w:rFonts w:ascii="Calibri" w:hAnsi="Calibri" w:cs="Calibri"/>
          <w:color w:val="000000"/>
          <w:sz w:val="21"/>
          <w:szCs w:val="21"/>
          <w:shd w:val="clear" w:color="auto" w:fill="E3DFFA"/>
        </w:rPr>
        <w:t>in a given year</w:t>
      </w:r>
      <w:r>
        <w:rPr>
          <w:rStyle w:val="normaltextrun"/>
          <w:rFonts w:ascii="Calibri" w:hAnsi="Calibri" w:cs="Calibri"/>
          <w:color w:val="4A4A4A"/>
          <w:sz w:val="21"/>
          <w:szCs w:val="21"/>
        </w:rPr>
        <w:t>). According to the SNA, “GDP is the sum of gross value added of all resident producer units plus that part (possibly the total) of taxes on products, less subsidies on products, that is not included in the valuation of output … GDP is also equal to the sum of the final uses of goods and services (all uses except intermediate consumption) measured at purchasers’ prices, less the value of imports of goods and services GDP is also equal to the sum of primary incomes distributed by resident producer units.”</w:t>
      </w:r>
      <w:r>
        <w:rPr>
          <w:rStyle w:val="eop"/>
          <w:rFonts w:ascii="Calibri" w:hAnsi="Calibri" w:cs="Calibri"/>
          <w:color w:val="4A4A4A"/>
          <w:sz w:val="21"/>
          <w:szCs w:val="21"/>
        </w:rPr>
        <w:t> </w:t>
      </w:r>
    </w:p>
    <w:p w14:paraId="256C596C"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E54D3D6" w14:textId="4E105E99"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03624CC" w:rsidR="00576CFA" w:rsidRPr="00A96255" w:rsidRDefault="002C0D8F" w:rsidP="00576CFA">
      <w:pPr>
        <w:pStyle w:val="MText"/>
      </w:pPr>
      <w:r>
        <w:t>Percent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F154D13" w14:textId="57F3DD07" w:rsidR="00AB7635" w:rsidRDefault="002C0D8F">
      <w:pPr>
        <w:pStyle w:val="MText"/>
      </w:pPr>
      <w:r>
        <w:t xml:space="preserve">The methodology for the calculation of Tourism Direct GDP is in line with the </w:t>
      </w:r>
      <w:hyperlink r:id="rId11" w:history="1">
        <w:r w:rsidRPr="002C0D8F">
          <w:rPr>
            <w:rStyle w:val="Hyperlink"/>
          </w:rPr>
          <w:t>Tourism Satellite Account: Recommended Methodological Framework (</w:t>
        </w:r>
        <w:proofErr w:type="gramStart"/>
        <w:r w:rsidRPr="002C0D8F">
          <w:rPr>
            <w:rStyle w:val="Hyperlink"/>
          </w:rPr>
          <w:t>TSA:RMF</w:t>
        </w:r>
        <w:proofErr w:type="gramEnd"/>
        <w:r w:rsidRPr="002C0D8F">
          <w:rPr>
            <w:rStyle w:val="Hyperlink"/>
          </w:rPr>
          <w:t xml:space="preserve"> 2008)</w:t>
        </w:r>
      </w:hyperlink>
      <w:r>
        <w:t>.</w:t>
      </w:r>
    </w:p>
    <w:p w14:paraId="123172F4" w14:textId="4A438C78" w:rsidR="00F719A8" w:rsidRPr="00A96255" w:rsidRDefault="00F719A8" w:rsidP="00576CFA">
      <w:pPr>
        <w:pStyle w:val="MText"/>
      </w:pPr>
    </w:p>
    <w:p w14:paraId="4DCC21FD" w14:textId="29433142" w:rsidR="00AB7635" w:rsidRPr="00F719A8" w:rsidRDefault="00B31E2C" w:rsidP="00791A85">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2AE12B0"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rPr>
        <w:t>The indicator is sourced from countries’ Tourism Satellite Account, which is a</w:t>
      </w:r>
      <w:r>
        <w:rPr>
          <w:rStyle w:val="normaltextrun"/>
          <w:color w:val="4A4A4A"/>
          <w:sz w:val="21"/>
          <w:szCs w:val="21"/>
        </w:rPr>
        <w:t> </w:t>
      </w:r>
      <w:r>
        <w:rPr>
          <w:rStyle w:val="normaltextrun"/>
          <w:rFonts w:ascii="Calibri" w:hAnsi="Calibri" w:cs="Calibri"/>
          <w:color w:val="4A4A4A"/>
          <w:sz w:val="21"/>
          <w:szCs w:val="21"/>
        </w:rPr>
        <w:t>satellite account to the National Accounts. </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78125DC" w:rsidR="00576CFA" w:rsidRPr="00A96255" w:rsidRDefault="00AB7635" w:rsidP="00576CFA">
      <w:pPr>
        <w:pStyle w:val="MText"/>
      </w:pPr>
      <w:r>
        <w:rPr>
          <w:rStyle w:val="normaltextrun"/>
          <w:rFonts w:ascii="Calibri" w:hAnsi="Calibri" w:cs="Calibri"/>
          <w:color w:val="494949"/>
          <w:shd w:val="clear" w:color="auto" w:fill="FFFFFF"/>
        </w:rPr>
        <w:t xml:space="preserve">UNWTO sends a pre-filled </w:t>
      </w:r>
      <w:r w:rsidR="002C0D8F">
        <w:rPr>
          <w:rStyle w:val="normaltextrun"/>
          <w:rFonts w:ascii="Calibri" w:hAnsi="Calibri" w:cs="Calibri"/>
          <w:color w:val="494949"/>
          <w:shd w:val="clear" w:color="auto" w:fill="FFFFFF"/>
        </w:rPr>
        <w:t xml:space="preserve">excel </w:t>
      </w:r>
      <w:r>
        <w:rPr>
          <w:rStyle w:val="normaltextrun"/>
          <w:rFonts w:ascii="Calibri" w:hAnsi="Calibri" w:cs="Calibri"/>
          <w:color w:val="494949"/>
          <w:shd w:val="clear" w:color="auto" w:fill="FFFFFF"/>
        </w:rPr>
        <w:t>questionnaire (including data from official publications</w:t>
      </w:r>
      <w:r>
        <w:rPr>
          <w:rStyle w:val="normaltextrun"/>
          <w:rFonts w:ascii="Calibri" w:hAnsi="Calibri" w:cs="Calibri"/>
          <w:color w:val="000000"/>
          <w:shd w:val="clear" w:color="auto" w:fill="FFFFFF"/>
        </w:rPr>
        <w:t> </w:t>
      </w:r>
      <w:r>
        <w:rPr>
          <w:rStyle w:val="normaltextrun"/>
          <w:rFonts w:ascii="Calibri" w:hAnsi="Calibri" w:cs="Calibri"/>
          <w:color w:val="494949"/>
          <w:shd w:val="clear" w:color="auto" w:fill="FFFFFF"/>
        </w:rPr>
        <w:t xml:space="preserve">and official web-sites) to countries to collect the latest data on TDGDP. </w:t>
      </w:r>
      <w:proofErr w:type="gramStart"/>
      <w:r>
        <w:rPr>
          <w:rStyle w:val="normaltextrun"/>
          <w:rFonts w:ascii="Calibri" w:hAnsi="Calibri" w:cs="Calibri"/>
          <w:color w:val="494949"/>
          <w:shd w:val="clear" w:color="auto" w:fill="FFFFFF"/>
        </w:rPr>
        <w:t>In order to</w:t>
      </w:r>
      <w:proofErr w:type="gramEnd"/>
      <w:r>
        <w:rPr>
          <w:rStyle w:val="normaltextrun"/>
          <w:rFonts w:ascii="Calibri" w:hAnsi="Calibri" w:cs="Calibri"/>
          <w:color w:val="494949"/>
          <w:shd w:val="clear" w:color="auto" w:fill="FFFFFF"/>
        </w:rPr>
        <w:t xml:space="preserve"> lighten the reporting burden of countries, UNWTO receives data from the Organisation for Economic Co-operation and Development (OECD) on behalf of its constituents</w:t>
      </w:r>
      <w:r>
        <w:rPr>
          <w:rStyle w:val="superscript"/>
          <w:rFonts w:ascii="Calibri" w:hAnsi="Calibri" w:cs="Calibri"/>
          <w:color w:val="494949"/>
          <w:shd w:val="clear" w:color="auto" w:fill="FFFFFF"/>
          <w:vertAlign w:val="superscript"/>
        </w:rPr>
        <w:t>1</w:t>
      </w:r>
      <w:r>
        <w:rPr>
          <w:rStyle w:val="normaltextrun"/>
          <w:rFonts w:ascii="Calibri" w:hAnsi="Calibri" w:cs="Calibri"/>
          <w:color w:val="494949"/>
          <w:shd w:val="clear" w:color="auto" w:fill="FFFFFF"/>
        </w:rPr>
        <w:t>. This exercise is being carried out on a yearly basis. </w:t>
      </w:r>
      <w:r>
        <w:rPr>
          <w:rStyle w:val="eop"/>
          <w:rFonts w:ascii="Calibri" w:hAnsi="Calibri" w:cs="Calibri"/>
          <w:color w:val="494949"/>
          <w:shd w:val="clear" w:color="auto" w:fill="FFFFFF"/>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B058B14" w14:textId="46821E79" w:rsidR="00AB7635" w:rsidRDefault="002C0D8F" w:rsidP="00576CFA">
      <w:pPr>
        <w:pStyle w:val="MText"/>
      </w:pPr>
      <w:r>
        <w:t>The questionnaire is sent out to countries in August and data collection is closed in January of the following year.</w:t>
      </w:r>
    </w:p>
    <w:p w14:paraId="08D7EA7E" w14:textId="77777777" w:rsidR="009A55F1" w:rsidRPr="00A96255" w:rsidRDefault="009A55F1" w:rsidP="00576CFA">
      <w:pPr>
        <w:pStyle w:val="MText"/>
      </w:pPr>
    </w:p>
    <w:p w14:paraId="7D466604" w14:textId="674844F0" w:rsidR="00E46D96" w:rsidRPr="00F719A8" w:rsidRDefault="00E46D96" w:rsidP="00F719A8">
      <w:pPr>
        <w:pStyle w:val="MHeader2"/>
      </w:pPr>
      <w:r w:rsidRPr="00A96255">
        <w:t>3.d. Data release calendar</w:t>
      </w:r>
    </w:p>
    <w:p w14:paraId="7F16A1E5" w14:textId="39AA7BEF" w:rsidR="00AB7635" w:rsidRPr="00A96255" w:rsidRDefault="002C0D8F" w:rsidP="00576CFA">
      <w:pPr>
        <w:pStyle w:val="MText"/>
      </w:pPr>
      <w:r>
        <w:t>Release of data coincides with the update of the SDG global database, typically scheduled for February.</w:t>
      </w:r>
    </w:p>
    <w:p w14:paraId="3A4F3065" w14:textId="3AD52F9D" w:rsidR="00E46D96" w:rsidRPr="00A96255" w:rsidRDefault="00E46D96" w:rsidP="00F719A8">
      <w:pPr>
        <w:pStyle w:val="MHeader2"/>
      </w:pPr>
      <w:r w:rsidRPr="00A96255">
        <w:t>3.e. Data providers</w:t>
      </w:r>
    </w:p>
    <w:p w14:paraId="50A66E64" w14:textId="75ECBD3E" w:rsidR="00EC2915" w:rsidRDefault="00AB7635" w:rsidP="00576CFA">
      <w:pPr>
        <w:pStyle w:val="MText"/>
        <w:rPr>
          <w:rStyle w:val="eop"/>
          <w:rFonts w:ascii="Calibri" w:hAnsi="Calibri" w:cs="Calibri"/>
          <w:color w:val="494949"/>
          <w:sz w:val="22"/>
          <w:szCs w:val="22"/>
        </w:rPr>
      </w:pPr>
      <w:r>
        <w:rPr>
          <w:rStyle w:val="normaltextrun"/>
          <w:rFonts w:ascii="Calibri" w:hAnsi="Calibri" w:cs="Calibri"/>
          <w:color w:val="494949"/>
          <w:sz w:val="22"/>
          <w:szCs w:val="22"/>
        </w:rPr>
        <w:t>National Statistics Offices and/or National Tourism Administrations.</w:t>
      </w:r>
      <w:r>
        <w:rPr>
          <w:rStyle w:val="eop"/>
          <w:rFonts w:ascii="Calibri" w:hAnsi="Calibri" w:cs="Calibri"/>
          <w:color w:val="494949"/>
          <w:sz w:val="22"/>
          <w:szCs w:val="22"/>
        </w:rPr>
        <w:t> </w:t>
      </w:r>
    </w:p>
    <w:p w14:paraId="1624F082" w14:textId="77777777" w:rsidR="00AB7635" w:rsidRPr="00A96255" w:rsidRDefault="00AB7635" w:rsidP="00576CFA">
      <w:pPr>
        <w:pStyle w:val="MText"/>
      </w:pPr>
    </w:p>
    <w:p w14:paraId="30DC8E05" w14:textId="484D6EC2" w:rsidR="00E46D96" w:rsidRPr="00A96255" w:rsidRDefault="00E46D96" w:rsidP="00F719A8">
      <w:pPr>
        <w:pStyle w:val="MHeader2"/>
      </w:pPr>
      <w:r w:rsidRPr="00A96255">
        <w:lastRenderedPageBreak/>
        <w:t>3.f. Data compilers</w:t>
      </w:r>
    </w:p>
    <w:p w14:paraId="5C43435B" w14:textId="48AFE551" w:rsidR="00EC2915" w:rsidRDefault="00AB7635" w:rsidP="00576CFA">
      <w:pPr>
        <w:pStyle w:val="MText"/>
        <w:rPr>
          <w:rStyle w:val="eop"/>
          <w:rFonts w:ascii="Calibri" w:hAnsi="Calibri" w:cs="Calibri"/>
        </w:rPr>
      </w:pPr>
      <w:r>
        <w:rPr>
          <w:rStyle w:val="normaltextrun"/>
          <w:rFonts w:ascii="Calibri" w:hAnsi="Calibri" w:cs="Calibri"/>
        </w:rPr>
        <w:t>World Tourism Organization (UNWTO)</w:t>
      </w:r>
      <w:r>
        <w:rPr>
          <w:rStyle w:val="eop"/>
          <w:rFonts w:ascii="Calibri" w:hAnsi="Calibri" w:cs="Calibri"/>
        </w:rPr>
        <w:t> </w:t>
      </w:r>
    </w:p>
    <w:p w14:paraId="1EFD3636" w14:textId="77777777" w:rsidR="00AB7635" w:rsidRPr="00A96255" w:rsidRDefault="00AB7635" w:rsidP="00576CFA">
      <w:pPr>
        <w:pStyle w:val="MText"/>
      </w:pPr>
    </w:p>
    <w:p w14:paraId="5655E768" w14:textId="20761FD6" w:rsidR="00E46D96" w:rsidRPr="00A96255" w:rsidRDefault="00E46D96" w:rsidP="00F719A8">
      <w:pPr>
        <w:pStyle w:val="MHeader2"/>
      </w:pPr>
      <w:r w:rsidRPr="00A96255">
        <w:t>3.g. Institutional mandate</w:t>
      </w:r>
    </w:p>
    <w:p w14:paraId="7D007C3C" w14:textId="68631AC1" w:rsidR="00EC2915" w:rsidRDefault="00EC2915" w:rsidP="009A55F1">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6242322"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Target 8.9 has several dimensions; this caters to the dimension: </w:t>
      </w:r>
      <w:r>
        <w:rPr>
          <w:rStyle w:val="normaltextrun"/>
          <w:rFonts w:ascii="Calibri" w:hAnsi="Calibri" w:cs="Calibri"/>
          <w:i/>
          <w:iCs/>
          <w:color w:val="4A4A4A"/>
          <w:sz w:val="21"/>
          <w:szCs w:val="21"/>
        </w:rPr>
        <w:t>tourism</w:t>
      </w:r>
      <w:r>
        <w:rPr>
          <w:rStyle w:val="normaltextrun"/>
          <w:color w:val="4A4A4A"/>
          <w:sz w:val="21"/>
          <w:szCs w:val="21"/>
        </w:rPr>
        <w:t>; </w:t>
      </w:r>
      <w:r>
        <w:rPr>
          <w:rStyle w:val="normaltextrun"/>
          <w:rFonts w:ascii="Calibri" w:hAnsi="Calibri" w:cs="Calibri"/>
          <w:i/>
          <w:iCs/>
          <w:color w:val="4A4A4A"/>
          <w:sz w:val="21"/>
          <w:szCs w:val="21"/>
        </w:rPr>
        <w:t>promote </w:t>
      </w:r>
      <w:r>
        <w:rPr>
          <w:rStyle w:val="normaltextrun"/>
          <w:color w:val="4A4A4A"/>
          <w:sz w:val="21"/>
          <w:szCs w:val="21"/>
        </w:rPr>
        <w:t>[...] </w:t>
      </w:r>
      <w:r>
        <w:rPr>
          <w:rStyle w:val="normaltextrun"/>
          <w:rFonts w:ascii="Calibri" w:hAnsi="Calibri" w:cs="Calibri"/>
          <w:i/>
          <w:iCs/>
          <w:color w:val="4A4A4A"/>
          <w:sz w:val="21"/>
          <w:szCs w:val="21"/>
        </w:rPr>
        <w:t>tourism</w:t>
      </w:r>
      <w:r>
        <w:rPr>
          <w:rStyle w:val="normaltextrun"/>
          <w:color w:val="4A4A4A"/>
          <w:sz w:val="21"/>
          <w:szCs w:val="21"/>
        </w:rPr>
        <w:t>. </w:t>
      </w:r>
      <w:r>
        <w:rPr>
          <w:rStyle w:val="normaltextrun"/>
          <w:rFonts w:ascii="Calibri" w:hAnsi="Calibri" w:cs="Calibri"/>
          <w:color w:val="4A4A4A"/>
          <w:sz w:val="21"/>
          <w:szCs w:val="21"/>
        </w:rPr>
        <w:t>The value of the economic contribution of tourism captured by this indicator, and (relative) increases or</w:t>
      </w:r>
      <w:r>
        <w:rPr>
          <w:rStyle w:val="normaltextrun"/>
          <w:color w:val="4A4A4A"/>
          <w:sz w:val="21"/>
          <w:szCs w:val="21"/>
        </w:rPr>
        <w:t> </w:t>
      </w:r>
      <w:r>
        <w:rPr>
          <w:rStyle w:val="normaltextrun"/>
          <w:rFonts w:ascii="Calibri" w:hAnsi="Calibri" w:cs="Calibri"/>
          <w:color w:val="4A4A4A"/>
          <w:sz w:val="21"/>
          <w:szCs w:val="21"/>
        </w:rPr>
        <w:t>decreases in it, could indicate the degree to which tourism is being successfully promoted.</w:t>
      </w:r>
      <w:r>
        <w:rPr>
          <w:rStyle w:val="eop"/>
          <w:rFonts w:ascii="Calibri" w:hAnsi="Calibri" w:cs="Calibri"/>
          <w:color w:val="4A4A4A"/>
          <w:sz w:val="21"/>
          <w:szCs w:val="21"/>
        </w:rPr>
        <w:t> </w:t>
      </w:r>
    </w:p>
    <w:p w14:paraId="4364A4B2"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This indicator is useful for policy on tourism at national level and the level of sub-national regions as it gives a more inclusive measure of the economic contribution of tourism (i.e. including all forms of tourism according to International Recommendations for Tourism Statistics 2008), which can be compared to GDP contributions of</w:t>
      </w:r>
      <w:r>
        <w:rPr>
          <w:rStyle w:val="normaltextrun"/>
          <w:color w:val="4A4A4A"/>
          <w:sz w:val="21"/>
          <w:szCs w:val="21"/>
        </w:rPr>
        <w:t> </w:t>
      </w:r>
      <w:r>
        <w:rPr>
          <w:rStyle w:val="normaltextrun"/>
          <w:rFonts w:ascii="Calibri" w:hAnsi="Calibri" w:cs="Calibri"/>
          <w:color w:val="4A4A4A"/>
          <w:sz w:val="21"/>
          <w:szCs w:val="21"/>
        </w:rPr>
        <w:t>other economic activities. The indicator has been found especially useful in promoting and mainstreaming</w:t>
      </w:r>
      <w:r>
        <w:rPr>
          <w:rStyle w:val="normaltextrun"/>
          <w:color w:val="4A4A4A"/>
          <w:sz w:val="21"/>
          <w:szCs w:val="21"/>
        </w:rPr>
        <w:t> </w:t>
      </w:r>
      <w:r>
        <w:rPr>
          <w:rStyle w:val="normaltextrun"/>
          <w:rFonts w:ascii="Calibri" w:hAnsi="Calibri" w:cs="Calibri"/>
          <w:color w:val="4A4A4A"/>
          <w:sz w:val="21"/>
          <w:szCs w:val="21"/>
        </w:rPr>
        <w:t>tourism in policy agendas at all levels. The indicator can also be compared across countries.</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6EA7C27"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Given that a growing number of countries produce Tourism Satellite Account (TSA), data on the</w:t>
      </w:r>
      <w:r>
        <w:rPr>
          <w:rStyle w:val="normaltextrun"/>
          <w:color w:val="4A4A4A"/>
          <w:sz w:val="21"/>
          <w:szCs w:val="21"/>
        </w:rPr>
        <w:t> </w:t>
      </w:r>
      <w:r>
        <w:rPr>
          <w:rStyle w:val="normaltextrun"/>
          <w:rFonts w:ascii="Calibri" w:hAnsi="Calibri" w:cs="Calibri"/>
          <w:color w:val="4A4A4A"/>
          <w:sz w:val="21"/>
          <w:szCs w:val="21"/>
        </w:rPr>
        <w:t>suggested indicators could become available in many more countries </w:t>
      </w:r>
      <w:proofErr w:type="gramStart"/>
      <w:r>
        <w:rPr>
          <w:rStyle w:val="normaltextrun"/>
          <w:rFonts w:ascii="Calibri" w:hAnsi="Calibri" w:cs="Calibri"/>
          <w:color w:val="4A4A4A"/>
          <w:sz w:val="21"/>
          <w:szCs w:val="21"/>
        </w:rPr>
        <w:t>in the near future</w:t>
      </w:r>
      <w:proofErr w:type="gramEnd"/>
      <w:r>
        <w:rPr>
          <w:rStyle w:val="normaltextrun"/>
          <w:rFonts w:ascii="Calibri" w:hAnsi="Calibri" w:cs="Calibri"/>
          <w:color w:val="4A4A4A"/>
          <w:sz w:val="21"/>
          <w:szCs w:val="21"/>
        </w:rPr>
        <w:t>.</w:t>
      </w:r>
      <w:r>
        <w:rPr>
          <w:rStyle w:val="eop"/>
          <w:rFonts w:ascii="Calibri" w:hAnsi="Calibri" w:cs="Calibri"/>
          <w:color w:val="4A4A4A"/>
          <w:sz w:val="21"/>
          <w:szCs w:val="21"/>
        </w:rPr>
        <w:t> </w:t>
      </w:r>
    </w:p>
    <w:p w14:paraId="0CA9BD7C"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The data demands – among others - detailed input-output or supply and use tables for setting up a</w:t>
      </w:r>
      <w:r>
        <w:rPr>
          <w:rStyle w:val="normaltextrun"/>
          <w:color w:val="4A4A4A"/>
          <w:sz w:val="21"/>
          <w:szCs w:val="21"/>
        </w:rPr>
        <w:t> </w:t>
      </w:r>
      <w:r>
        <w:rPr>
          <w:rStyle w:val="normaltextrun"/>
          <w:rFonts w:ascii="Calibri" w:hAnsi="Calibri" w:cs="Calibri"/>
          <w:color w:val="4A4A4A"/>
          <w:sz w:val="21"/>
          <w:szCs w:val="21"/>
        </w:rPr>
        <w:t>TSA; this means that it is often not possible to have current data or frequent updating of the TSA. Therefore, some</w:t>
      </w:r>
      <w:r>
        <w:rPr>
          <w:rStyle w:val="normaltextrun"/>
          <w:color w:val="4A4A4A"/>
          <w:sz w:val="21"/>
          <w:szCs w:val="21"/>
        </w:rPr>
        <w:t> </w:t>
      </w:r>
      <w:r>
        <w:rPr>
          <w:rStyle w:val="normaltextrun"/>
          <w:rFonts w:ascii="Calibri" w:hAnsi="Calibri" w:cs="Calibri"/>
          <w:color w:val="4A4A4A"/>
          <w:sz w:val="21"/>
          <w:szCs w:val="21"/>
        </w:rPr>
        <w:t>countries produce estimates of TSA aggregates, in between reference years, to have more current</w:t>
      </w:r>
      <w:r>
        <w:rPr>
          <w:rStyle w:val="normaltextrun"/>
          <w:color w:val="4A4A4A"/>
          <w:sz w:val="21"/>
          <w:szCs w:val="21"/>
        </w:rPr>
        <w:t> </w:t>
      </w:r>
      <w:r>
        <w:rPr>
          <w:rStyle w:val="normaltextrun"/>
          <w:rFonts w:ascii="Calibri" w:hAnsi="Calibri" w:cs="Calibri"/>
          <w:color w:val="4A4A4A"/>
          <w:sz w:val="21"/>
          <w:szCs w:val="21"/>
        </w:rPr>
        <w:t>data and to produce a time series.</w:t>
      </w:r>
      <w:r>
        <w:rPr>
          <w:rStyle w:val="eop"/>
          <w:rFonts w:ascii="Calibri" w:hAnsi="Calibri" w:cs="Calibri"/>
          <w:color w:val="4A4A4A"/>
          <w:sz w:val="21"/>
          <w:szCs w:val="21"/>
        </w:rPr>
        <w:t> </w:t>
      </w:r>
    </w:p>
    <w:p w14:paraId="66D7054D"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TDGDP/GDP tends to do not show large variations from one year to the next and variations may stem from the</w:t>
      </w:r>
      <w:r>
        <w:rPr>
          <w:rStyle w:val="normaltextrun"/>
          <w:color w:val="4A4A4A"/>
          <w:sz w:val="21"/>
          <w:szCs w:val="21"/>
        </w:rPr>
        <w:t> </w:t>
      </w:r>
      <w:r>
        <w:rPr>
          <w:rStyle w:val="normaltextrun"/>
          <w:rFonts w:ascii="Calibri" w:hAnsi="Calibri" w:cs="Calibri"/>
          <w:color w:val="4A4A4A"/>
          <w:sz w:val="21"/>
          <w:szCs w:val="21"/>
        </w:rPr>
        <w:t>numerator and/or denominator. This could warrant considering the indicator in different forms: absolute value, % change in constant price, and TDGDP per visitor or per employed person</w:t>
      </w:r>
      <w:r>
        <w:rPr>
          <w:rStyle w:val="normaltextrun"/>
          <w:color w:val="4A4A4A"/>
          <w:sz w:val="21"/>
          <w:szCs w:val="21"/>
        </w:rPr>
        <w:t>.</w:t>
      </w:r>
      <w:r>
        <w:rPr>
          <w:rStyle w:val="eop"/>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27F4EF6" w14:textId="77777777" w:rsidR="00AB7635" w:rsidRPr="00AB7635" w:rsidRDefault="00AB7635" w:rsidP="00AB7635">
      <w:pPr>
        <w:shd w:val="clear" w:color="auto" w:fill="FFFFFF"/>
        <w:spacing w:after="0"/>
        <w:rPr>
          <w:rFonts w:ascii="Calibri" w:eastAsia="Times New Roman" w:hAnsi="Calibri" w:cs="Times New Roman"/>
          <w:color w:val="4A4A4A"/>
          <w:sz w:val="21"/>
          <w:szCs w:val="21"/>
          <w:lang w:eastAsia="en-GB"/>
        </w:rPr>
      </w:pPr>
      <w:r w:rsidRPr="00AB7635">
        <w:rPr>
          <w:rFonts w:ascii="Calibri" w:eastAsia="Times New Roman" w:hAnsi="Calibri" w:cs="Times New Roman"/>
          <w:color w:val="4A4A4A"/>
          <w:sz w:val="21"/>
          <w:szCs w:val="21"/>
          <w:lang w:eastAsia="en-GB"/>
        </w:rPr>
        <w:t>Tourism direct GDP as a proportion of total GDP (in%):</w:t>
      </w:r>
    </w:p>
    <w:p w14:paraId="2905062A" w14:textId="77777777" w:rsidR="00AB7635" w:rsidRPr="00AB7635" w:rsidRDefault="00AB7635" w:rsidP="00AB7635">
      <w:pPr>
        <w:shd w:val="clear" w:color="auto" w:fill="FFFFFF"/>
        <w:spacing w:after="0"/>
        <w:rPr>
          <w:rFonts w:ascii="Calibri" w:eastAsia="Times New Roman" w:hAnsi="Calibri" w:cs="Times New Roman"/>
          <w:color w:val="4A4A4A"/>
          <w:sz w:val="21"/>
          <w:szCs w:val="21"/>
          <w:lang w:eastAsia="en-GB"/>
        </w:rPr>
      </w:pPr>
    </w:p>
    <w:p w14:paraId="40CA4815" w14:textId="77777777" w:rsidR="00AB7635" w:rsidRPr="00AB7635" w:rsidRDefault="00A0223F" w:rsidP="00AB7635">
      <w:pPr>
        <w:shd w:val="clear" w:color="auto" w:fill="FFFFFF"/>
        <w:spacing w:after="0"/>
        <w:rPr>
          <w:rFonts w:ascii="Calibri" w:eastAsia="Times New Roman" w:hAnsi="Calibri" w:cs="Times New Roman"/>
          <w:color w:val="4A4A4A"/>
          <w:sz w:val="21"/>
          <w:szCs w:val="21"/>
          <w:lang w:eastAsia="en-GB"/>
        </w:rPr>
      </w:pPr>
      <m:oMathPara>
        <m:oMathParaPr>
          <m:jc m:val="left"/>
        </m:oMathParaPr>
        <m:oMath>
          <m:d>
            <m:dPr>
              <m:ctrlPr>
                <w:rPr>
                  <w:rFonts w:ascii="Cambria Math" w:eastAsia="Times New Roman" w:hAnsi="Cambria Math" w:cs="Times New Roman"/>
                  <w:i/>
                  <w:color w:val="4A4A4A"/>
                  <w:sz w:val="21"/>
                  <w:szCs w:val="21"/>
                  <w:lang w:eastAsia="en-GB"/>
                </w:rPr>
              </m:ctrlPr>
            </m:dPr>
            <m:e>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tdgdp</m:t>
                  </m:r>
                </m:num>
                <m:den>
                  <m:r>
                    <w:rPr>
                      <w:rFonts w:ascii="Cambria Math" w:eastAsia="Times New Roman" w:hAnsi="Cambria Math" w:cs="Times New Roman"/>
                      <w:color w:val="4A4A4A"/>
                      <w:sz w:val="21"/>
                      <w:szCs w:val="21"/>
                      <w:lang w:eastAsia="en-GB"/>
                    </w:rPr>
                    <m:t>gdp</m:t>
                  </m:r>
                </m:den>
              </m:f>
            </m:e>
          </m:d>
          <m:r>
            <w:rPr>
              <w:rFonts w:ascii="Cambria Math" w:eastAsia="Times New Roman" w:hAnsi="Cambria Math" w:cs="Times New Roman"/>
              <w:color w:val="4A4A4A"/>
              <w:sz w:val="21"/>
              <w:szCs w:val="21"/>
              <w:lang w:eastAsia="en-GB"/>
            </w:rPr>
            <m:t>*100</m:t>
          </m:r>
        </m:oMath>
      </m:oMathPara>
    </w:p>
    <w:p w14:paraId="2B3C2AC4" w14:textId="77777777" w:rsidR="00AB7635" w:rsidRPr="00AB7635" w:rsidRDefault="00AB7635" w:rsidP="00AB7635">
      <w:pPr>
        <w:shd w:val="clear" w:color="auto" w:fill="FFFFFF"/>
        <w:spacing w:after="0"/>
        <w:rPr>
          <w:rFonts w:ascii="Calibri" w:eastAsia="Times New Roman" w:hAnsi="Calibri" w:cs="Times New Roman"/>
          <w:b/>
          <w:bCs/>
          <w:color w:val="4A4A4A"/>
          <w:sz w:val="21"/>
          <w:szCs w:val="21"/>
          <w:lang w:eastAsia="en-GB"/>
        </w:rPr>
      </w:pPr>
    </w:p>
    <w:p w14:paraId="3E417293" w14:textId="77777777" w:rsidR="00AB7635" w:rsidRPr="00AB7635" w:rsidRDefault="00AB7635" w:rsidP="00AB7635">
      <w:pPr>
        <w:shd w:val="clear" w:color="auto" w:fill="FFFFFF"/>
        <w:spacing w:after="0"/>
        <w:rPr>
          <w:rFonts w:ascii="Calibri" w:eastAsia="Times New Roman" w:hAnsi="Calibri" w:cs="Times New Roman"/>
          <w:color w:val="4A4A4A"/>
          <w:sz w:val="21"/>
          <w:szCs w:val="21"/>
          <w:lang w:eastAsia="en-GB"/>
        </w:rPr>
      </w:pPr>
      <w:r w:rsidRPr="00AB7635">
        <w:rPr>
          <w:rFonts w:ascii="Calibri" w:eastAsia="Times New Roman" w:hAnsi="Calibri" w:cs="Times New Roman"/>
          <w:color w:val="4A4A4A"/>
          <w:sz w:val="21"/>
          <w:szCs w:val="21"/>
          <w:lang w:eastAsia="en-GB"/>
        </w:rPr>
        <w:t>Tourism direct GDP in growth rate</w:t>
      </w:r>
    </w:p>
    <w:p w14:paraId="6FD55547" w14:textId="77777777" w:rsidR="00AB7635" w:rsidRPr="00AB7635" w:rsidRDefault="00AB7635" w:rsidP="00AB7635">
      <w:pPr>
        <w:shd w:val="clear" w:color="auto" w:fill="FFFFFF"/>
        <w:spacing w:after="0"/>
        <w:rPr>
          <w:rFonts w:ascii="Calibri" w:eastAsia="Times New Roman" w:hAnsi="Calibri" w:cs="Times New Roman"/>
          <w:color w:val="4A4A4A"/>
          <w:sz w:val="21"/>
          <w:szCs w:val="21"/>
          <w:lang w:eastAsia="en-GB"/>
        </w:rPr>
      </w:pPr>
    </w:p>
    <w:p w14:paraId="663589DD" w14:textId="77777777" w:rsidR="00AB7635" w:rsidRPr="00AB7635" w:rsidRDefault="00AB7635" w:rsidP="00AB7635">
      <w:pPr>
        <w:shd w:val="clear" w:color="auto" w:fill="FFFFFF"/>
        <w:spacing w:after="0"/>
        <w:rPr>
          <w:rFonts w:ascii="Calibri" w:eastAsia="Times New Roman" w:hAnsi="Calibri" w:cs="Times New Roman"/>
          <w:bCs/>
          <w:color w:val="4A4A4A"/>
          <w:sz w:val="21"/>
          <w:szCs w:val="21"/>
          <w:lang w:val="fr-FR" w:eastAsia="en-GB"/>
        </w:rPr>
      </w:pPr>
      <w:r w:rsidRPr="00AB7635">
        <w:rPr>
          <w:rFonts w:ascii="Calibri" w:eastAsia="Times New Roman" w:hAnsi="Calibri" w:cs="Times New Roman"/>
          <w:bCs/>
          <w:color w:val="4A4A4A"/>
          <w:sz w:val="21"/>
          <w:szCs w:val="21"/>
          <w:lang w:val="fr-FR" w:eastAsia="en-GB"/>
        </w:rPr>
        <w:t>((</w:t>
      </w:r>
      <w:proofErr w:type="spellStart"/>
      <w:r w:rsidRPr="00AB7635">
        <w:rPr>
          <w:rFonts w:ascii="Calibri" w:eastAsia="Times New Roman" w:hAnsi="Calibri" w:cs="Times New Roman"/>
          <w:bCs/>
          <w:color w:val="4A4A4A"/>
          <w:sz w:val="21"/>
          <w:szCs w:val="21"/>
          <w:lang w:val="fr-FR" w:eastAsia="en-GB"/>
        </w:rPr>
        <w:t>tdgdp</w:t>
      </w:r>
      <w:proofErr w:type="spellEnd"/>
      <w:r w:rsidRPr="00AB7635">
        <w:rPr>
          <w:rFonts w:ascii="Calibri" w:eastAsia="Times New Roman" w:hAnsi="Calibri" w:cs="Times New Roman"/>
          <w:bCs/>
          <w:color w:val="4A4A4A"/>
          <w:sz w:val="21"/>
          <w:szCs w:val="21"/>
          <w:lang w:val="fr-FR" w:eastAsia="en-GB"/>
        </w:rPr>
        <w:t xml:space="preserve"> </w:t>
      </w:r>
      <w:r w:rsidRPr="00AB7635">
        <w:rPr>
          <w:rFonts w:ascii="Calibri" w:eastAsia="Times New Roman" w:hAnsi="Calibri" w:cs="Times New Roman"/>
          <w:bCs/>
          <w:color w:val="4A4A4A"/>
          <w:sz w:val="21"/>
          <w:szCs w:val="21"/>
          <w:vertAlign w:val="subscript"/>
          <w:lang w:val="fr-FR" w:eastAsia="en-GB"/>
        </w:rPr>
        <w:t>t</w:t>
      </w:r>
      <w:r w:rsidRPr="00AB7635">
        <w:rPr>
          <w:rFonts w:ascii="Calibri" w:eastAsia="Times New Roman" w:hAnsi="Calibri" w:cs="Times New Roman"/>
          <w:bCs/>
          <w:color w:val="4A4A4A"/>
          <w:sz w:val="21"/>
          <w:szCs w:val="21"/>
          <w:lang w:val="fr-FR" w:eastAsia="en-GB"/>
        </w:rPr>
        <w:t xml:space="preserve"> / </w:t>
      </w:r>
      <w:proofErr w:type="spellStart"/>
      <w:r w:rsidRPr="00AB7635">
        <w:rPr>
          <w:rFonts w:ascii="Calibri" w:eastAsia="Times New Roman" w:hAnsi="Calibri" w:cs="Times New Roman"/>
          <w:bCs/>
          <w:color w:val="4A4A4A"/>
          <w:sz w:val="21"/>
          <w:szCs w:val="21"/>
          <w:lang w:val="fr-FR" w:eastAsia="en-GB"/>
        </w:rPr>
        <w:t>tdgdp</w:t>
      </w:r>
      <w:proofErr w:type="spellEnd"/>
      <w:r w:rsidRPr="00AB7635">
        <w:rPr>
          <w:rFonts w:ascii="Calibri" w:eastAsia="Times New Roman" w:hAnsi="Calibri" w:cs="Times New Roman"/>
          <w:bCs/>
          <w:color w:val="4A4A4A"/>
          <w:sz w:val="21"/>
          <w:szCs w:val="21"/>
          <w:lang w:val="fr-FR" w:eastAsia="en-GB"/>
        </w:rPr>
        <w:t xml:space="preserve"> </w:t>
      </w:r>
      <w:r w:rsidRPr="00AB7635">
        <w:rPr>
          <w:rFonts w:ascii="Calibri" w:eastAsia="Times New Roman" w:hAnsi="Calibri" w:cs="Times New Roman"/>
          <w:bCs/>
          <w:color w:val="4A4A4A"/>
          <w:sz w:val="21"/>
          <w:szCs w:val="21"/>
          <w:vertAlign w:val="subscript"/>
          <w:lang w:val="fr-FR" w:eastAsia="en-GB"/>
        </w:rPr>
        <w:t>t-</w:t>
      </w:r>
      <w:proofErr w:type="gramStart"/>
      <w:r w:rsidRPr="00AB7635">
        <w:rPr>
          <w:rFonts w:ascii="Calibri" w:eastAsia="Times New Roman" w:hAnsi="Calibri" w:cs="Times New Roman"/>
          <w:bCs/>
          <w:color w:val="4A4A4A"/>
          <w:sz w:val="21"/>
          <w:szCs w:val="21"/>
          <w:vertAlign w:val="subscript"/>
          <w:lang w:val="fr-FR" w:eastAsia="en-GB"/>
        </w:rPr>
        <w:t>1</w:t>
      </w:r>
      <w:r w:rsidRPr="00AB7635">
        <w:rPr>
          <w:rFonts w:ascii="Calibri" w:eastAsia="Times New Roman" w:hAnsi="Calibri" w:cs="Times New Roman"/>
          <w:bCs/>
          <w:color w:val="4A4A4A"/>
          <w:sz w:val="21"/>
          <w:szCs w:val="21"/>
          <w:lang w:val="fr-FR" w:eastAsia="en-GB"/>
        </w:rPr>
        <w:t>)-</w:t>
      </w:r>
      <w:proofErr w:type="gramEnd"/>
      <w:r w:rsidRPr="00AB7635">
        <w:rPr>
          <w:rFonts w:ascii="Calibri" w:eastAsia="Times New Roman" w:hAnsi="Calibri" w:cs="Times New Roman"/>
          <w:bCs/>
          <w:color w:val="4A4A4A"/>
          <w:sz w:val="21"/>
          <w:szCs w:val="21"/>
          <w:lang w:val="fr-FR" w:eastAsia="en-GB"/>
        </w:rPr>
        <w:t>1)*100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FD19DED" w14:textId="26C6A12D" w:rsidR="002C0D8F" w:rsidRPr="00A96255" w:rsidRDefault="002C0D8F" w:rsidP="00576CFA">
      <w:pPr>
        <w:pStyle w:val="MText"/>
      </w:pPr>
      <w:r w:rsidRPr="002C0D8F">
        <w:t xml:space="preserve"> </w:t>
      </w:r>
      <w:r>
        <w:t>Every year historical data is requested. If there are differences in the newly reported data for the country with respect to the data available previously, countries are consulted. Similarly, if other inconsistencies are found, there is ongoing follow up with countries. Since Table 6 of TSA is necessary for the compilation of TDGDP, the data reported by countries is cross-validated with the availability of this table through the data reported for SDG indicator 12.b.1, which also falls under the responsibility of UNWTO.</w:t>
      </w:r>
    </w:p>
    <w:p w14:paraId="0025F830" w14:textId="1D8145E9" w:rsidR="00F719A8" w:rsidRPr="00A96255" w:rsidRDefault="00F719A8" w:rsidP="00576CFA">
      <w:pPr>
        <w:pStyle w:val="MText"/>
      </w:pPr>
    </w:p>
    <w:p w14:paraId="2CF2A343" w14:textId="1B36770C" w:rsidR="00E1050F" w:rsidRPr="00A96255" w:rsidRDefault="00E1050F" w:rsidP="00F719A8">
      <w:pPr>
        <w:pStyle w:val="MHeader2"/>
      </w:pPr>
      <w:r w:rsidRPr="00A96255">
        <w:t>4.e. Adjustments</w:t>
      </w:r>
    </w:p>
    <w:p w14:paraId="5032CC5E" w14:textId="558ACE1F"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603065D" w14:textId="77777777" w:rsidR="00AB7635" w:rsidRDefault="00AB7635" w:rsidP="00AB7635">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4D1800EA"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UNWTO will use the travel credits</w:t>
      </w:r>
      <w:r>
        <w:rPr>
          <w:rStyle w:val="normaltextrun"/>
          <w:color w:val="4A4A4A"/>
          <w:sz w:val="21"/>
          <w:szCs w:val="21"/>
          <w:lang w:val="en-GB"/>
        </w:rPr>
        <w:t> </w:t>
      </w:r>
      <w:r>
        <w:rPr>
          <w:rStyle w:val="normaltextrun"/>
          <w:rFonts w:ascii="Calibri" w:hAnsi="Calibri" w:cs="Calibri"/>
          <w:color w:val="4A4A4A"/>
          <w:sz w:val="21"/>
          <w:szCs w:val="21"/>
          <w:lang w:val="en-GB"/>
        </w:rPr>
        <w:t>and passenger transport credits according to the </w:t>
      </w:r>
      <w:hyperlink r:id="rId12" w:tgtFrame="_blank" w:history="1">
        <w:r>
          <w:rPr>
            <w:rStyle w:val="normaltextrun"/>
            <w:rFonts w:ascii="Calibri" w:hAnsi="Calibri" w:cs="Calibri"/>
            <w:color w:val="0000FF"/>
            <w:sz w:val="21"/>
            <w:szCs w:val="21"/>
            <w:u w:val="single"/>
            <w:lang w:val="en-GB"/>
          </w:rPr>
          <w:t>Balance of Payments and International Investment Position Manual sixth edition</w:t>
        </w:r>
      </w:hyperlink>
      <w:r>
        <w:rPr>
          <w:rStyle w:val="normaltextrun"/>
          <w:rFonts w:ascii="Calibri" w:hAnsi="Calibri" w:cs="Calibri"/>
          <w:color w:val="4A4A4A"/>
          <w:sz w:val="21"/>
          <w:szCs w:val="21"/>
          <w:lang w:val="en-GB"/>
        </w:rPr>
        <w:t> (BPM6) related to GDP as a proxy of the TDGDP. The mode of calculation of the proxy</w:t>
      </w:r>
      <w:r>
        <w:rPr>
          <w:rStyle w:val="normaltextrun"/>
          <w:color w:val="4A4A4A"/>
          <w:sz w:val="21"/>
          <w:szCs w:val="21"/>
          <w:lang w:val="en-GB"/>
        </w:rPr>
        <w:t> </w:t>
      </w:r>
      <w:r>
        <w:rPr>
          <w:rStyle w:val="normaltextrun"/>
          <w:rFonts w:ascii="Calibri" w:hAnsi="Calibri" w:cs="Calibri"/>
          <w:color w:val="4A4A4A"/>
          <w:sz w:val="21"/>
          <w:szCs w:val="21"/>
          <w:lang w:val="en-GB"/>
        </w:rPr>
        <w:t>is:</w:t>
      </w:r>
      <w:r>
        <w:rPr>
          <w:rStyle w:val="normaltextrun"/>
          <w:color w:val="4A4A4A"/>
          <w:sz w:val="21"/>
          <w:szCs w:val="21"/>
          <w:lang w:val="en-GB"/>
        </w:rPr>
        <w:t> </w:t>
      </w:r>
      <w:r>
        <w:rPr>
          <w:rStyle w:val="eop"/>
          <w:color w:val="4A4A4A"/>
          <w:sz w:val="21"/>
          <w:szCs w:val="21"/>
        </w:rPr>
        <w:t> </w:t>
      </w:r>
    </w:p>
    <w:p w14:paraId="2CE7F6C3" w14:textId="77777777" w:rsidR="00AB7635" w:rsidRDefault="00AB7635" w:rsidP="00AB7635">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color w:val="4A4A4A"/>
          <w:sz w:val="21"/>
          <w:szCs w:val="21"/>
          <w:lang w:val="en-GB"/>
        </w:rPr>
        <w:t>(</w:t>
      </w:r>
      <w:r>
        <w:rPr>
          <w:rStyle w:val="normaltextrun"/>
          <w:rFonts w:ascii="Calibri" w:hAnsi="Calibri" w:cs="Calibri"/>
          <w:color w:val="4A4A4A"/>
          <w:sz w:val="21"/>
          <w:szCs w:val="21"/>
          <w:lang w:val="en-GB"/>
        </w:rPr>
        <w:t>travel credits + passenger transport credits) / (Gross Domestic Product) x 100.</w:t>
      </w:r>
      <w:r>
        <w:rPr>
          <w:rStyle w:val="eop"/>
          <w:rFonts w:ascii="Calibri" w:hAnsi="Calibri" w:cs="Calibri"/>
          <w:color w:val="4A4A4A"/>
          <w:sz w:val="21"/>
          <w:szCs w:val="21"/>
        </w:rPr>
        <w:t> </w:t>
      </w:r>
    </w:p>
    <w:p w14:paraId="59F263F1" w14:textId="77777777" w:rsidR="00AB7635" w:rsidRDefault="00AB7635" w:rsidP="00AB7635">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42F0EADE"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lang w:val="en-GB"/>
        </w:rPr>
        <w:t>This indicator represents a basic evaluation of tourism’s economic contribution to the national economy, which is largely available for most countries, internationally comparable, and comparable to other economic indicators. Indeed, this indicator is regularly produced by UNWTO and disseminated in its worldwide database. </w:t>
      </w:r>
      <w:r>
        <w:rPr>
          <w:rStyle w:val="eop"/>
          <w:rFonts w:ascii="Calibri" w:hAnsi="Calibri" w:cs="Calibri"/>
          <w:color w:val="4A4A4A"/>
          <w:sz w:val="21"/>
          <w:szCs w:val="21"/>
        </w:rPr>
        <w:t> </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69C6805A" w14:textId="77777777" w:rsidR="002C0D8F"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Aggregates are computed for the SDG regions and at the global level. </w:t>
      </w:r>
    </w:p>
    <w:p w14:paraId="7F36E5BE" w14:textId="77777777" w:rsidR="002C0D8F"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every year, estimates for countries are computed as follows:</w:t>
      </w:r>
    </w:p>
    <w:p w14:paraId="78189D2F" w14:textId="77777777" w:rsidR="002C0D8F" w:rsidRDefault="002C0D8F" w:rsidP="002C0D8F">
      <w:pPr>
        <w:pStyle w:val="ListParagraph"/>
        <w:numPr>
          <w:ilvl w:val="0"/>
          <w:numId w:val="6"/>
        </w:numPr>
        <w:shd w:val="clear" w:color="auto" w:fill="FFFFFF"/>
        <w:spacing w:after="0"/>
        <w:rPr>
          <w:rFonts w:eastAsia="Times New Roman" w:cs="Times New Roman"/>
          <w:color w:val="4A4A4A"/>
          <w:sz w:val="21"/>
          <w:szCs w:val="21"/>
          <w:lang w:eastAsia="en-GB"/>
        </w:rPr>
      </w:pPr>
      <w:r w:rsidRPr="00961A2D">
        <w:rPr>
          <w:rFonts w:eastAsia="Times New Roman" w:cs="Times New Roman"/>
          <w:i/>
          <w:iCs/>
          <w:color w:val="4A4A4A"/>
          <w:sz w:val="21"/>
          <w:szCs w:val="21"/>
          <w:lang w:eastAsia="en-GB"/>
        </w:rPr>
        <w:t>For countries without any reported data</w:t>
      </w:r>
      <w:r>
        <w:rPr>
          <w:rFonts w:eastAsia="Times New Roman" w:cs="Times New Roman"/>
          <w:color w:val="4A4A4A"/>
          <w:sz w:val="21"/>
          <w:szCs w:val="21"/>
          <w:lang w:eastAsia="en-GB"/>
        </w:rPr>
        <w:br/>
        <w:t>A multivariate linear regression model based on the number of hotel rooms in the country and the inbound tourism expenditure (both available via UNWTO´s statistical database) as explanatory variables is used.</w:t>
      </w:r>
    </w:p>
    <w:p w14:paraId="63531B51" w14:textId="77777777" w:rsidR="002C0D8F" w:rsidRDefault="002C0D8F" w:rsidP="002C0D8F">
      <w:pPr>
        <w:pStyle w:val="ListParagraph"/>
        <w:numPr>
          <w:ilvl w:val="0"/>
          <w:numId w:val="6"/>
        </w:numPr>
        <w:shd w:val="clear" w:color="auto" w:fill="FFFFFF"/>
        <w:spacing w:after="0"/>
        <w:rPr>
          <w:rFonts w:eastAsia="Times New Roman" w:cs="Times New Roman"/>
          <w:color w:val="4A4A4A"/>
          <w:sz w:val="21"/>
          <w:szCs w:val="21"/>
          <w:lang w:eastAsia="en-GB"/>
        </w:rPr>
      </w:pPr>
      <w:r w:rsidRPr="00961A2D">
        <w:rPr>
          <w:rFonts w:eastAsia="Times New Roman" w:cs="Times New Roman"/>
          <w:i/>
          <w:iCs/>
          <w:color w:val="4A4A4A"/>
          <w:sz w:val="21"/>
          <w:szCs w:val="21"/>
          <w:lang w:eastAsia="en-GB"/>
        </w:rPr>
        <w:t>For countries with reported data for years other than the year of reference</w:t>
      </w:r>
      <w:r>
        <w:rPr>
          <w:rFonts w:eastAsia="Times New Roman" w:cs="Times New Roman"/>
          <w:color w:val="4A4A4A"/>
          <w:sz w:val="21"/>
          <w:szCs w:val="21"/>
          <w:lang w:eastAsia="en-GB"/>
        </w:rPr>
        <w:br/>
        <w:t xml:space="preserve">A simple linear model based on inbound tourism expenditure as explanatory variable is used to estimate the nominal percent change in TDGDP. These values are used to retro- and extrapolate the values reported by the country, using these as benchmark. For reference years between years with reported data, a linear trend between reported years is used. </w:t>
      </w:r>
    </w:p>
    <w:p w14:paraId="064BED63" w14:textId="77777777" w:rsidR="002C0D8F" w:rsidRDefault="002C0D8F" w:rsidP="002C0D8F">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i/>
          <w:iCs/>
          <w:color w:val="4A4A4A"/>
          <w:sz w:val="21"/>
          <w:szCs w:val="21"/>
          <w:lang w:eastAsia="en-GB"/>
        </w:rPr>
        <w:t>Special cases</w:t>
      </w:r>
      <w:r>
        <w:rPr>
          <w:rFonts w:eastAsia="Times New Roman" w:cs="Times New Roman"/>
          <w:i/>
          <w:iCs/>
          <w:color w:val="4A4A4A"/>
          <w:sz w:val="21"/>
          <w:szCs w:val="21"/>
          <w:lang w:eastAsia="en-GB"/>
        </w:rPr>
        <w:br/>
      </w:r>
      <w:r>
        <w:rPr>
          <w:rFonts w:eastAsia="Times New Roman" w:cs="Times New Roman"/>
          <w:color w:val="4A4A4A"/>
          <w:sz w:val="21"/>
          <w:szCs w:val="21"/>
          <w:lang w:eastAsia="en-GB"/>
        </w:rPr>
        <w:t xml:space="preserve">Some data reported by countries that do not correspond to Tourism Direct GDP or GVA and are therefore not published, can still be used in the calculation of aggregates.  </w:t>
      </w:r>
    </w:p>
    <w:p w14:paraId="29DEA537" w14:textId="77777777" w:rsidR="002C0D8F"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each year, countries without reported data for which the methodology yields negative estimates or for which no data to feed the linear models are available are discarded. Regional (and global) aggregates are then obtained by computing weighted averages of TDGDP, using total GDP as the weight, for countries within the region of interest for which data or estimates are available. </w:t>
      </w:r>
    </w:p>
    <w:p w14:paraId="5D74F5F0" w14:textId="77777777" w:rsidR="002C0D8F" w:rsidRPr="00961A2D"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GDP coverage for each aggregate is obtained by calculating the percentage of total regional GDP that is represented by countries for which data is reported or for which an estimate is available. If this coverage is relatively low (below 60 percent), estimates are published with a cautionary footnote.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5A8F671"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lang w:val="en-GB"/>
        </w:rPr>
        <w:t>The methodology is described in the </w:t>
      </w:r>
      <w:hyperlink r:id="rId13" w:tgtFrame="_blank" w:history="1">
        <w:r>
          <w:rPr>
            <w:rStyle w:val="normaltextrun"/>
            <w:rFonts w:ascii="Calibri" w:hAnsi="Calibri" w:cs="Calibri"/>
            <w:color w:val="0000FF"/>
            <w:sz w:val="21"/>
            <w:szCs w:val="21"/>
            <w:u w:val="single"/>
            <w:lang w:val="en-GB"/>
          </w:rPr>
          <w:t>Tourism Satellite Account: Recommended Methodological Framework 2008</w:t>
        </w:r>
      </w:hyperlink>
      <w:r>
        <w:rPr>
          <w:rStyle w:val="normaltextrun"/>
          <w:color w:val="4A4A4A"/>
          <w:sz w:val="21"/>
          <w:szCs w:val="21"/>
          <w:lang w:val="en-GB"/>
        </w:rPr>
        <w:t>. </w:t>
      </w:r>
      <w:r>
        <w:rPr>
          <w:rStyle w:val="eop"/>
          <w:color w:val="4A4A4A"/>
          <w:sz w:val="21"/>
          <w:szCs w:val="21"/>
        </w:rPr>
        <w:t> </w:t>
      </w:r>
    </w:p>
    <w:p w14:paraId="0E02FB96"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4A4A4A"/>
          <w:sz w:val="21"/>
          <w:szCs w:val="21"/>
        </w:rPr>
        <w:t> </w:t>
      </w:r>
    </w:p>
    <w:p w14:paraId="237A5541" w14:textId="09E34098"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94949"/>
          <w:sz w:val="21"/>
          <w:szCs w:val="21"/>
          <w:lang w:val="en-GB"/>
        </w:rPr>
        <w:t>UNWTO, in collaboration with UNSD, is currently developing a Compilation Guide for the TSA. </w:t>
      </w:r>
      <w:r>
        <w:rPr>
          <w:rStyle w:val="eop"/>
          <w:rFonts w:ascii="Calibri" w:hAnsi="Calibri" w:cs="Calibri"/>
          <w:color w:val="494949"/>
          <w:sz w:val="21"/>
          <w:szCs w:val="21"/>
        </w:rPr>
        <w:t> </w:t>
      </w:r>
    </w:p>
    <w:p w14:paraId="27255517"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494949"/>
          <w:sz w:val="21"/>
          <w:szCs w:val="21"/>
        </w:rPr>
        <w:t> </w:t>
      </w:r>
    </w:p>
    <w:p w14:paraId="5E3E08DA"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94949"/>
          <w:sz w:val="21"/>
          <w:szCs w:val="21"/>
          <w:lang w:val="en-GB"/>
        </w:rPr>
        <w:t>For the purposes of SDG reporting, UNWTO has developed an experimental approach that might be used by countries with limited data to compile estimates of TDGDP using the conceptual framing of the TSA and the most commonly available data but not requiring the full compilation of TSA. In this regard, the approach is intended to provide a starting point for countries with limited data that can then move towards the compilation of TSA and the more complete measurement of TDGDP. For more information, see</w:t>
      </w:r>
      <w:r>
        <w:rPr>
          <w:rStyle w:val="normaltextrun"/>
          <w:rFonts w:ascii="Calibri" w:hAnsi="Calibri" w:cs="Calibri"/>
          <w:sz w:val="22"/>
          <w:szCs w:val="22"/>
          <w:lang w:val="en-GB"/>
        </w:rPr>
        <w:t> </w:t>
      </w:r>
      <w:hyperlink r:id="rId14" w:tgtFrame="_blank" w:history="1">
        <w:r>
          <w:rPr>
            <w:rStyle w:val="normaltextrun"/>
            <w:rFonts w:ascii="Calibri" w:hAnsi="Calibri" w:cs="Calibri"/>
            <w:color w:val="0000FF"/>
            <w:sz w:val="21"/>
            <w:szCs w:val="21"/>
            <w:u w:val="single"/>
            <w:lang w:val="en-GB"/>
          </w:rPr>
          <w:t>Proposals for estimating Tourism Direct GDP with limited data</w:t>
        </w:r>
      </w:hyperlink>
      <w:r>
        <w:rPr>
          <w:rStyle w:val="normaltextrun"/>
          <w:rFonts w:ascii="Calibri" w:hAnsi="Calibri" w:cs="Calibri"/>
          <w:sz w:val="22"/>
          <w:szCs w:val="22"/>
          <w:lang w:val="en-GB"/>
        </w:rPr>
        <w:t>.</w:t>
      </w:r>
      <w:r>
        <w:rPr>
          <w:rStyle w:val="eop"/>
          <w:rFonts w:ascii="Calibri" w:hAnsi="Calibri" w:cs="Calibri"/>
          <w:sz w:val="22"/>
          <w:szCs w:val="22"/>
        </w:rPr>
        <w:t> </w:t>
      </w:r>
    </w:p>
    <w:p w14:paraId="2939895F" w14:textId="77777777" w:rsidR="00EC2915" w:rsidRPr="00A96255" w:rsidRDefault="00EC2915" w:rsidP="00576CFA">
      <w:pPr>
        <w:pStyle w:val="MText"/>
      </w:pPr>
    </w:p>
    <w:p w14:paraId="494C36E8" w14:textId="3CBDCB91" w:rsidR="00E1050F" w:rsidRPr="00A96255" w:rsidRDefault="00576CFA" w:rsidP="00F719A8">
      <w:pPr>
        <w:pStyle w:val="MHeader2"/>
      </w:pPr>
      <w:r w:rsidRPr="00A96255">
        <w:t xml:space="preserve">4.i. </w:t>
      </w:r>
      <w:r w:rsidR="00E1050F" w:rsidRPr="00A96255">
        <w:t>Quality management</w:t>
      </w:r>
    </w:p>
    <w:p w14:paraId="356BAA24" w14:textId="6E31AF2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5BE1121E" w:rsidR="00EC2915" w:rsidRDefault="00AB7635" w:rsidP="00576CFA">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Any discrepancies are resolved through written communication with countries.</w:t>
      </w:r>
      <w:r>
        <w:rPr>
          <w:rStyle w:val="eop"/>
          <w:rFonts w:ascii="Calibri" w:hAnsi="Calibri" w:cs="Calibri"/>
          <w:color w:val="494949"/>
          <w:shd w:val="clear" w:color="auto" w:fill="FFFFFF"/>
        </w:rPr>
        <w:t> </w:t>
      </w:r>
    </w:p>
    <w:p w14:paraId="6481025B" w14:textId="77777777" w:rsidR="00AB7635" w:rsidRPr="00A96255" w:rsidRDefault="00AB7635" w:rsidP="00576CFA">
      <w:pPr>
        <w:pStyle w:val="MText"/>
      </w:pPr>
    </w:p>
    <w:p w14:paraId="34ADD322" w14:textId="313F8D01" w:rsidR="00E1050F" w:rsidRPr="00A96255" w:rsidRDefault="00576CFA" w:rsidP="00F719A8">
      <w:pPr>
        <w:pStyle w:val="MHeader2"/>
      </w:pPr>
      <w:r w:rsidRPr="00A96255">
        <w:t>4.k Qua</w:t>
      </w:r>
      <w:r w:rsidR="00E1050F" w:rsidRPr="00A96255">
        <w:t>lity assessment</w:t>
      </w:r>
    </w:p>
    <w:p w14:paraId="6AA76230" w14:textId="03196442" w:rsidR="00576CFA" w:rsidRDefault="00576CFA" w:rsidP="00576CFA">
      <w:pPr>
        <w:pStyle w:val="MText"/>
      </w:pPr>
    </w:p>
    <w:p w14:paraId="5B7C52CE" w14:textId="7D92C170" w:rsidR="00576CFA" w:rsidRPr="00A96255" w:rsidRDefault="00576CFA" w:rsidP="00576CFA">
      <w:pPr>
        <w:pStyle w:val="MText"/>
      </w:pPr>
    </w:p>
    <w:p w14:paraId="4CD8F3EF" w14:textId="1FEE77E4" w:rsidR="00F719A8" w:rsidRPr="00791A85" w:rsidRDefault="00576CFA" w:rsidP="00791A85">
      <w:pPr>
        <w:pStyle w:val="MHeader"/>
        <w:spacing w:after="100"/>
      </w:pPr>
      <w:r w:rsidRPr="00A96255">
        <w:t>5. Data availability and disaggregation</w:t>
      </w:r>
    </w:p>
    <w:p w14:paraId="1F704C08" w14:textId="1395BB71" w:rsidR="00AB7635" w:rsidRPr="00791A85" w:rsidRDefault="00D51E7C" w:rsidP="00791A85">
      <w:pPr>
        <w:pStyle w:val="MText"/>
      </w:pPr>
      <w:r w:rsidRPr="00AB7635">
        <w:t>Data availability:</w:t>
      </w:r>
    </w:p>
    <w:p w14:paraId="322184A2" w14:textId="2E14A9AE"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More than</w:t>
      </w:r>
      <w:r>
        <w:rPr>
          <w:rStyle w:val="normaltextrun"/>
          <w:color w:val="4A4A4A"/>
          <w:sz w:val="21"/>
          <w:szCs w:val="21"/>
        </w:rPr>
        <w:t> </w:t>
      </w:r>
      <w:r>
        <w:rPr>
          <w:rStyle w:val="normaltextrun"/>
          <w:rFonts w:ascii="Calibri" w:hAnsi="Calibri" w:cs="Calibri"/>
          <w:color w:val="4A4A4A"/>
          <w:sz w:val="21"/>
          <w:szCs w:val="21"/>
        </w:rPr>
        <w:t>70 countries have some kind of TSA exercise and data available on this indicator, as shown in an international TSA data compilation exercise UNWTO realized in</w:t>
      </w:r>
      <w:r>
        <w:rPr>
          <w:rStyle w:val="normaltextrun"/>
          <w:color w:val="4A4A4A"/>
          <w:sz w:val="21"/>
          <w:szCs w:val="21"/>
        </w:rPr>
        <w:t> </w:t>
      </w:r>
      <w:r>
        <w:rPr>
          <w:rStyle w:val="normaltextrun"/>
          <w:rFonts w:ascii="Calibri" w:hAnsi="Calibri" w:cs="Calibri"/>
          <w:color w:val="4A4A4A"/>
          <w:sz w:val="21"/>
          <w:szCs w:val="21"/>
        </w:rPr>
        <w:t>2010 (see “</w:t>
      </w:r>
      <w:hyperlink r:id="rId15" w:tgtFrame="_blank" w:history="1">
        <w:r>
          <w:rPr>
            <w:rStyle w:val="normaltextrun"/>
            <w:rFonts w:ascii="Calibri" w:hAnsi="Calibri" w:cs="Calibri"/>
            <w:color w:val="0000FF"/>
            <w:sz w:val="21"/>
            <w:szCs w:val="21"/>
            <w:u w:val="single"/>
          </w:rPr>
          <w:t>TSA data around the world</w:t>
        </w:r>
      </w:hyperlink>
      <w:r>
        <w:rPr>
          <w:rStyle w:val="normaltextrun"/>
          <w:color w:val="4A4A4A"/>
          <w:sz w:val="21"/>
          <w:szCs w:val="21"/>
        </w:rPr>
        <w:t>”).</w:t>
      </w:r>
      <w:r>
        <w:rPr>
          <w:rStyle w:val="eop"/>
          <w:color w:val="4A4A4A"/>
          <w:sz w:val="21"/>
          <w:szCs w:val="21"/>
        </w:rPr>
        <w:t> </w:t>
      </w:r>
    </w:p>
    <w:p w14:paraId="361B5A4B" w14:textId="77777777" w:rsidR="00AB7635" w:rsidRPr="00C019E5" w:rsidRDefault="00AB7635" w:rsidP="00576CFA">
      <w:pPr>
        <w:pStyle w:val="MText"/>
        <w:rPr>
          <w:highlight w:val="cyan"/>
        </w:rPr>
      </w:pPr>
    </w:p>
    <w:p w14:paraId="2D0542F7" w14:textId="3DE6BFAB" w:rsidR="00D51E7C" w:rsidRPr="00C019E5" w:rsidRDefault="00D51E7C" w:rsidP="00576CFA">
      <w:pPr>
        <w:pStyle w:val="MText"/>
        <w:rPr>
          <w:highlight w:val="cyan"/>
        </w:rPr>
      </w:pPr>
    </w:p>
    <w:p w14:paraId="5853D6F7" w14:textId="5389ACD8" w:rsidR="00D51E7C" w:rsidRPr="00AB7635" w:rsidRDefault="00D51E7C" w:rsidP="00576CFA">
      <w:pPr>
        <w:pStyle w:val="MText"/>
      </w:pPr>
      <w:r w:rsidRPr="00AB7635">
        <w:t>Time series:</w:t>
      </w:r>
    </w:p>
    <w:p w14:paraId="63B8CB3C" w14:textId="0027D979" w:rsidR="00AB7635" w:rsidRPr="00C019E5" w:rsidRDefault="00AB7635" w:rsidP="00576CFA">
      <w:pPr>
        <w:pStyle w:val="MText"/>
        <w:rPr>
          <w:highlight w:val="cyan"/>
        </w:rPr>
      </w:pPr>
      <w:r>
        <w:rPr>
          <w:rStyle w:val="normaltextrun"/>
          <w:rFonts w:ascii="Calibri" w:hAnsi="Calibri" w:cs="Calibri"/>
        </w:rPr>
        <w:t xml:space="preserve">Annual data from 2008 </w:t>
      </w:r>
      <w:r w:rsidR="002C0D8F">
        <w:rPr>
          <w:rStyle w:val="normaltextrun"/>
          <w:rFonts w:ascii="Calibri" w:hAnsi="Calibri" w:cs="Calibri"/>
        </w:rPr>
        <w:t>onwards</w:t>
      </w:r>
      <w:r>
        <w:rPr>
          <w:rStyle w:val="normaltextrun"/>
        </w:rPr>
        <w:t> </w:t>
      </w:r>
      <w:r>
        <w:rPr>
          <w:rStyle w:val="normaltextrun"/>
          <w:rFonts w:ascii="Calibri" w:hAnsi="Calibri" w:cs="Calibri"/>
        </w:rPr>
        <w:t>are available.</w:t>
      </w:r>
      <w:r>
        <w:rPr>
          <w:rStyle w:val="eop"/>
          <w:rFonts w:ascii="Calibri" w:hAnsi="Calibri" w:cs="Calibri"/>
        </w:rPr>
        <w:t> </w:t>
      </w:r>
    </w:p>
    <w:p w14:paraId="760C013A" w14:textId="4597FCBD" w:rsidR="00D51E7C" w:rsidRPr="00C019E5" w:rsidRDefault="00D51E7C" w:rsidP="00576CFA">
      <w:pPr>
        <w:pStyle w:val="MText"/>
        <w:rPr>
          <w:highlight w:val="cyan"/>
        </w:rPr>
      </w:pPr>
    </w:p>
    <w:p w14:paraId="72C7C370" w14:textId="5EB5ACAE" w:rsidR="00D51E7C" w:rsidRDefault="00D51E7C" w:rsidP="00576CFA">
      <w:pPr>
        <w:pStyle w:val="MText"/>
      </w:pPr>
      <w:r w:rsidRPr="00AB7635">
        <w:t>Disaggregation:</w:t>
      </w:r>
    </w:p>
    <w:p w14:paraId="34C16B3D"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TDGDP is derived from the productive activities that cater directly to</w:t>
      </w:r>
      <w:r>
        <w:rPr>
          <w:rStyle w:val="normaltextrun"/>
          <w:color w:val="4A4A4A"/>
          <w:sz w:val="21"/>
          <w:szCs w:val="21"/>
        </w:rPr>
        <w:t> </w:t>
      </w:r>
      <w:r>
        <w:rPr>
          <w:rStyle w:val="normaltextrun"/>
          <w:rFonts w:ascii="Calibri" w:hAnsi="Calibri" w:cs="Calibri"/>
          <w:color w:val="4A4A4A"/>
          <w:sz w:val="21"/>
          <w:szCs w:val="21"/>
        </w:rPr>
        <w:t>tourism and so it could be possible to disaggregate by tourism industries (e.g. accommodation for visitors, the</w:t>
      </w:r>
      <w:r>
        <w:rPr>
          <w:rStyle w:val="normaltextrun"/>
          <w:color w:val="4A4A4A"/>
          <w:sz w:val="21"/>
          <w:szCs w:val="21"/>
        </w:rPr>
        <w:t> </w:t>
      </w:r>
      <w:r>
        <w:rPr>
          <w:rStyle w:val="normaltextrun"/>
          <w:rFonts w:ascii="Calibri" w:hAnsi="Calibri" w:cs="Calibri"/>
          <w:color w:val="4A4A4A"/>
          <w:sz w:val="21"/>
          <w:szCs w:val="21"/>
        </w:rPr>
        <w:t>different kinds of passenger transportation, etc.).</w:t>
      </w:r>
      <w:r>
        <w:rPr>
          <w:rStyle w:val="eop"/>
          <w:rFonts w:ascii="Calibri" w:hAnsi="Calibri" w:cs="Calibri"/>
          <w:color w:val="4A4A4A"/>
          <w:sz w:val="21"/>
          <w:szCs w:val="21"/>
        </w:rPr>
        <w:t> </w:t>
      </w:r>
    </w:p>
    <w:p w14:paraId="7B3BC58B"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Sub-national disaggregation/estimates of Tourism Direct GDP are possible and there are </w:t>
      </w:r>
      <w:proofErr w:type="gramStart"/>
      <w:r>
        <w:rPr>
          <w:rStyle w:val="normaltextrun"/>
          <w:rFonts w:ascii="Calibri" w:hAnsi="Calibri" w:cs="Calibri"/>
          <w:color w:val="4A4A4A"/>
          <w:sz w:val="21"/>
          <w:szCs w:val="21"/>
        </w:rPr>
        <w:t>a number of</w:t>
      </w:r>
      <w:proofErr w:type="gramEnd"/>
      <w:r>
        <w:rPr>
          <w:rStyle w:val="normaltextrun"/>
          <w:rFonts w:ascii="Calibri" w:hAnsi="Calibri" w:cs="Calibri"/>
          <w:color w:val="4A4A4A"/>
          <w:sz w:val="21"/>
          <w:szCs w:val="21"/>
        </w:rPr>
        <w:t> subnational</w:t>
      </w:r>
      <w:r>
        <w:rPr>
          <w:rStyle w:val="normaltextrun"/>
          <w:color w:val="4A4A4A"/>
          <w:sz w:val="21"/>
          <w:szCs w:val="21"/>
        </w:rPr>
        <w:t> </w:t>
      </w:r>
      <w:r>
        <w:rPr>
          <w:rStyle w:val="normaltextrun"/>
          <w:rFonts w:ascii="Calibri" w:hAnsi="Calibri" w:cs="Calibri"/>
          <w:color w:val="4A4A4A"/>
          <w:sz w:val="21"/>
          <w:szCs w:val="21"/>
        </w:rPr>
        <w:t>regions that have information on this. However, there is no consensus on a methodology for doing this</w:t>
      </w:r>
      <w:r>
        <w:rPr>
          <w:rStyle w:val="normaltextrun"/>
          <w:color w:val="4A4A4A"/>
          <w:sz w:val="21"/>
          <w:szCs w:val="21"/>
        </w:rPr>
        <w:t> </w:t>
      </w:r>
      <w:r>
        <w:rPr>
          <w:rStyle w:val="normaltextrun"/>
          <w:rFonts w:ascii="Calibri" w:hAnsi="Calibri" w:cs="Calibri"/>
          <w:color w:val="4A4A4A"/>
          <w:sz w:val="21"/>
          <w:szCs w:val="21"/>
        </w:rPr>
        <w:t>in a standardized way, compromising international comparability. In any case, it seems that collection of data would be warranted only for those</w:t>
      </w:r>
      <w:r>
        <w:rPr>
          <w:rStyle w:val="normaltextrun"/>
          <w:color w:val="4A4A4A"/>
          <w:sz w:val="21"/>
          <w:szCs w:val="21"/>
        </w:rPr>
        <w:t> </w:t>
      </w:r>
      <w:r>
        <w:rPr>
          <w:rStyle w:val="normaltextrun"/>
          <w:rFonts w:ascii="Calibri" w:hAnsi="Calibri" w:cs="Calibri"/>
          <w:color w:val="4A4A4A"/>
          <w:sz w:val="21"/>
          <w:szCs w:val="21"/>
        </w:rPr>
        <w:t>regions that consider tourism a significant (economic) activity.</w:t>
      </w:r>
      <w:r>
        <w:rPr>
          <w:rStyle w:val="eop"/>
          <w:rFonts w:ascii="Calibri" w:hAnsi="Calibri" w:cs="Calibri"/>
          <w:color w:val="4A4A4A"/>
          <w:sz w:val="21"/>
          <w:szCs w:val="21"/>
        </w:rPr>
        <w:t> </w:t>
      </w:r>
    </w:p>
    <w:p w14:paraId="42E8CA56" w14:textId="724490C7" w:rsidR="00D51E7C" w:rsidRPr="00A96255" w:rsidRDefault="00D51E7C" w:rsidP="00576CFA">
      <w:pPr>
        <w:pStyle w:val="MText"/>
      </w:pPr>
    </w:p>
    <w:p w14:paraId="4D0520F7" w14:textId="771EDC49"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31EF9D96" w:rsidR="00D51E7C" w:rsidRDefault="00D51E7C" w:rsidP="00576CFA">
      <w:pPr>
        <w:pStyle w:val="MText"/>
      </w:pPr>
      <w:r w:rsidRPr="00A0223F">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69737CB" w14:textId="77777777" w:rsidR="00AB7635" w:rsidRDefault="00A0223F" w:rsidP="00AB7635">
      <w:pPr>
        <w:pStyle w:val="paragraph"/>
        <w:spacing w:before="0" w:beforeAutospacing="0" w:after="0" w:afterAutospacing="0"/>
        <w:textAlignment w:val="baseline"/>
        <w:rPr>
          <w:rFonts w:ascii="Segoe UI" w:hAnsi="Segoe UI" w:cs="Segoe UI"/>
          <w:sz w:val="18"/>
          <w:szCs w:val="18"/>
        </w:rPr>
      </w:pPr>
      <w:hyperlink r:id="rId16" w:tgtFrame="_blank" w:history="1">
        <w:r w:rsidR="00AB7635">
          <w:rPr>
            <w:rStyle w:val="normaltextrun"/>
            <w:rFonts w:ascii="Calibri" w:hAnsi="Calibri" w:cs="Calibri"/>
            <w:i/>
            <w:iCs/>
            <w:color w:val="0000FF"/>
            <w:sz w:val="21"/>
            <w:szCs w:val="21"/>
            <w:u w:val="single"/>
          </w:rPr>
          <w:t>International Recommendations for Tourism Statistics 2008 (IRTS 2008)</w:t>
        </w:r>
      </w:hyperlink>
      <w:r w:rsidR="00AB7635">
        <w:rPr>
          <w:rStyle w:val="eop"/>
          <w:rFonts w:ascii="Calibri" w:hAnsi="Calibri" w:cs="Calibri"/>
          <w:sz w:val="21"/>
          <w:szCs w:val="21"/>
        </w:rPr>
        <w:t> </w:t>
      </w:r>
    </w:p>
    <w:p w14:paraId="724414C0" w14:textId="77777777" w:rsidR="00AB7635" w:rsidRDefault="00A0223F" w:rsidP="00AB7635">
      <w:pPr>
        <w:pStyle w:val="paragraph"/>
        <w:spacing w:before="0" w:beforeAutospacing="0" w:after="0" w:afterAutospacing="0"/>
        <w:textAlignment w:val="baseline"/>
        <w:rPr>
          <w:rFonts w:ascii="Segoe UI" w:hAnsi="Segoe UI" w:cs="Segoe UI"/>
          <w:sz w:val="18"/>
          <w:szCs w:val="18"/>
        </w:rPr>
      </w:pPr>
      <w:hyperlink r:id="rId17" w:tgtFrame="_blank" w:history="1">
        <w:r w:rsidR="00AB7635">
          <w:rPr>
            <w:rStyle w:val="normaltextrun"/>
            <w:rFonts w:ascii="Calibri" w:hAnsi="Calibri" w:cs="Calibri"/>
            <w:i/>
            <w:iCs/>
            <w:color w:val="0000FF"/>
            <w:sz w:val="21"/>
            <w:szCs w:val="21"/>
            <w:u w:val="single"/>
          </w:rPr>
          <w:t>Tourism Satellite Account: Recommended Methodological Framework 2008 (TSA: RMF 2008)</w:t>
        </w:r>
      </w:hyperlink>
      <w:r w:rsidR="00AB7635">
        <w:rPr>
          <w:rStyle w:val="eop"/>
          <w:rFonts w:ascii="Calibri" w:hAnsi="Calibri" w:cs="Calibri"/>
          <w:sz w:val="21"/>
          <w:szCs w:val="21"/>
        </w:rPr>
        <w:t> </w:t>
      </w:r>
    </w:p>
    <w:p w14:paraId="38DCF7D2"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01C06B0"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1E3947C9" w14:textId="77777777" w:rsidR="00AB7635" w:rsidRDefault="00A0223F" w:rsidP="00AB7635">
      <w:pPr>
        <w:pStyle w:val="paragraph"/>
        <w:shd w:val="clear" w:color="auto" w:fill="FFFFFF"/>
        <w:spacing w:before="0" w:beforeAutospacing="0" w:after="0" w:afterAutospacing="0"/>
        <w:textAlignment w:val="baseline"/>
        <w:rPr>
          <w:rFonts w:ascii="Segoe UI" w:hAnsi="Segoe UI" w:cs="Segoe UI"/>
          <w:sz w:val="18"/>
          <w:szCs w:val="18"/>
        </w:rPr>
      </w:pPr>
      <w:hyperlink r:id="rId18" w:tgtFrame="_blank" w:history="1">
        <w:r w:rsidR="00AB7635">
          <w:rPr>
            <w:rStyle w:val="normaltextrun"/>
            <w:rFonts w:ascii="Calibri" w:hAnsi="Calibri" w:cs="Calibri"/>
            <w:color w:val="0000FF"/>
            <w:sz w:val="21"/>
            <w:szCs w:val="21"/>
            <w:u w:val="single"/>
            <w:lang w:val="en-GB"/>
          </w:rPr>
          <w:t>https://unstats.un.org/unsd/publication/Seriesm/SeriesM_83rev1e.pdf</w:t>
        </w:r>
      </w:hyperlink>
      <w:r w:rsidR="00AB7635">
        <w:rPr>
          <w:rStyle w:val="eop"/>
          <w:color w:val="4A4A4A"/>
          <w:sz w:val="21"/>
          <w:szCs w:val="21"/>
        </w:rPr>
        <w:t> </w:t>
      </w:r>
    </w:p>
    <w:p w14:paraId="1683A631" w14:textId="77777777" w:rsidR="00AB7635" w:rsidRDefault="00A0223F" w:rsidP="00AB7635">
      <w:pPr>
        <w:pStyle w:val="paragraph"/>
        <w:shd w:val="clear" w:color="auto" w:fill="FFFFFF"/>
        <w:spacing w:before="0" w:beforeAutospacing="0" w:after="0" w:afterAutospacing="0"/>
        <w:textAlignment w:val="baseline"/>
        <w:rPr>
          <w:rFonts w:ascii="Segoe UI" w:hAnsi="Segoe UI" w:cs="Segoe UI"/>
          <w:sz w:val="18"/>
          <w:szCs w:val="18"/>
        </w:rPr>
      </w:pPr>
      <w:hyperlink r:id="rId19" w:tgtFrame="_blank" w:history="1">
        <w:r w:rsidR="00AB7635">
          <w:rPr>
            <w:rStyle w:val="normaltextrun"/>
            <w:rFonts w:ascii="Calibri" w:hAnsi="Calibri" w:cs="Calibri"/>
            <w:color w:val="0000FF"/>
            <w:sz w:val="21"/>
            <w:szCs w:val="21"/>
            <w:u w:val="single"/>
            <w:lang w:val="en-GB"/>
          </w:rPr>
          <w:t>https://unstats.un.org/unsd/publication/Seriesf/SeriesF_80rev1e.pdf</w:t>
        </w:r>
      </w:hyperlink>
      <w:r w:rsidR="00AB7635">
        <w:rPr>
          <w:rStyle w:val="eop"/>
          <w:color w:val="4A4A4A"/>
          <w:sz w:val="21"/>
          <w:szCs w:val="21"/>
        </w:rPr>
        <w:t> </w:t>
      </w:r>
    </w:p>
    <w:p w14:paraId="384B0992" w14:textId="36889691" w:rsidR="00186795" w:rsidRDefault="00186795"/>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143EC" w14:textId="77777777" w:rsidR="00345865" w:rsidRDefault="00345865" w:rsidP="00573C0B">
      <w:pPr>
        <w:spacing w:after="0" w:line="240" w:lineRule="auto"/>
      </w:pPr>
      <w:r>
        <w:separator/>
      </w:r>
    </w:p>
  </w:endnote>
  <w:endnote w:type="continuationSeparator" w:id="0">
    <w:p w14:paraId="1BA1B78E" w14:textId="77777777" w:rsidR="00345865" w:rsidRDefault="00345865" w:rsidP="00573C0B">
      <w:pPr>
        <w:spacing w:after="0" w:line="240" w:lineRule="auto"/>
      </w:pPr>
      <w:r>
        <w:continuationSeparator/>
      </w:r>
    </w:p>
  </w:endnote>
  <w:endnote w:type="continuationNotice" w:id="1">
    <w:p w14:paraId="2440CD02" w14:textId="77777777" w:rsidR="00345865" w:rsidRDefault="003458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34F74" w14:textId="77777777" w:rsidR="00345865" w:rsidRDefault="00345865" w:rsidP="00573C0B">
      <w:pPr>
        <w:spacing w:after="0" w:line="240" w:lineRule="auto"/>
      </w:pPr>
      <w:r>
        <w:separator/>
      </w:r>
    </w:p>
  </w:footnote>
  <w:footnote w:type="continuationSeparator" w:id="0">
    <w:p w14:paraId="481FE2D8" w14:textId="77777777" w:rsidR="00345865" w:rsidRDefault="00345865" w:rsidP="00573C0B">
      <w:pPr>
        <w:spacing w:after="0" w:line="240" w:lineRule="auto"/>
      </w:pPr>
      <w:r>
        <w:continuationSeparator/>
      </w:r>
    </w:p>
  </w:footnote>
  <w:footnote w:type="continuationNotice" w:id="1">
    <w:p w14:paraId="783463D4" w14:textId="77777777" w:rsidR="00345865" w:rsidRDefault="003458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5A926F5"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A55F1">
      <w:rPr>
        <w:color w:val="404040" w:themeColor="text1" w:themeTint="BF"/>
        <w:sz w:val="18"/>
        <w:szCs w:val="18"/>
      </w:rPr>
      <w:t>25</w:t>
    </w:r>
    <w:r w:rsidR="009D0BA8">
      <w:rPr>
        <w:color w:val="404040" w:themeColor="text1" w:themeTint="BF"/>
        <w:sz w:val="18"/>
        <w:szCs w:val="18"/>
      </w:rPr>
      <w:t xml:space="preserve"> March </w:t>
    </w:r>
    <w:r w:rsidR="00B329B0">
      <w:rPr>
        <w:color w:val="404040" w:themeColor="text1" w:themeTint="BF"/>
        <w:sz w:val="18"/>
        <w:szCs w:val="18"/>
      </w:rPr>
      <w:t>202</w:t>
    </w:r>
    <w:r w:rsidR="009A55F1">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606F62"/>
    <w:multiLevelType w:val="hybridMultilevel"/>
    <w:tmpl w:val="5906B856"/>
    <w:lvl w:ilvl="0" w:tplc="7694A7AE">
      <w:start w:val="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71A99"/>
    <w:multiLevelType w:val="multilevel"/>
    <w:tmpl w:val="229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0D8F"/>
    <w:rsid w:val="002C2510"/>
    <w:rsid w:val="002D714E"/>
    <w:rsid w:val="002E53C3"/>
    <w:rsid w:val="002F1468"/>
    <w:rsid w:val="002F5F0C"/>
    <w:rsid w:val="003265EB"/>
    <w:rsid w:val="0034329E"/>
    <w:rsid w:val="00343FAA"/>
    <w:rsid w:val="00345865"/>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059E0"/>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91A85"/>
    <w:rsid w:val="007B0364"/>
    <w:rsid w:val="007D0981"/>
    <w:rsid w:val="007D1929"/>
    <w:rsid w:val="007D76D1"/>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55F1"/>
    <w:rsid w:val="009A7E3A"/>
    <w:rsid w:val="009B1265"/>
    <w:rsid w:val="009B49F4"/>
    <w:rsid w:val="009B4A15"/>
    <w:rsid w:val="009B5693"/>
    <w:rsid w:val="009C61A2"/>
    <w:rsid w:val="009C78E4"/>
    <w:rsid w:val="009D0BA8"/>
    <w:rsid w:val="009D687E"/>
    <w:rsid w:val="009F6DE7"/>
    <w:rsid w:val="00A0223F"/>
    <w:rsid w:val="00A10583"/>
    <w:rsid w:val="00A37FCB"/>
    <w:rsid w:val="00A54863"/>
    <w:rsid w:val="00A61D74"/>
    <w:rsid w:val="00A8688B"/>
    <w:rsid w:val="00A91163"/>
    <w:rsid w:val="00A9286F"/>
    <w:rsid w:val="00A96255"/>
    <w:rsid w:val="00AB285B"/>
    <w:rsid w:val="00AB7635"/>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23339"/>
    <w:rsid w:val="00C35BC4"/>
    <w:rsid w:val="00C43F5B"/>
    <w:rsid w:val="00CB4371"/>
    <w:rsid w:val="00CC516D"/>
    <w:rsid w:val="00D24330"/>
    <w:rsid w:val="00D40056"/>
    <w:rsid w:val="00D51E7C"/>
    <w:rsid w:val="00D54F29"/>
    <w:rsid w:val="00D7020C"/>
    <w:rsid w:val="00D70AD9"/>
    <w:rsid w:val="00D72152"/>
    <w:rsid w:val="00D94B55"/>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20AD"/>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AB7635"/>
  </w:style>
  <w:style w:type="character" w:customStyle="1" w:styleId="eop">
    <w:name w:val="eop"/>
    <w:basedOn w:val="DefaultParagraphFont"/>
    <w:rsid w:val="00AB7635"/>
  </w:style>
  <w:style w:type="paragraph" w:customStyle="1" w:styleId="paragraph">
    <w:name w:val="paragraph"/>
    <w:basedOn w:val="Normal"/>
    <w:rsid w:val="00AB763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AB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8720">
      <w:bodyDiv w:val="1"/>
      <w:marLeft w:val="0"/>
      <w:marRight w:val="0"/>
      <w:marTop w:val="0"/>
      <w:marBottom w:val="0"/>
      <w:divBdr>
        <w:top w:val="none" w:sz="0" w:space="0" w:color="auto"/>
        <w:left w:val="none" w:sz="0" w:space="0" w:color="auto"/>
        <w:bottom w:val="none" w:sz="0" w:space="0" w:color="auto"/>
        <w:right w:val="none" w:sz="0" w:space="0" w:color="auto"/>
      </w:divBdr>
      <w:divsChild>
        <w:div w:id="5331000">
          <w:marLeft w:val="0"/>
          <w:marRight w:val="0"/>
          <w:marTop w:val="0"/>
          <w:marBottom w:val="0"/>
          <w:divBdr>
            <w:top w:val="none" w:sz="0" w:space="0" w:color="auto"/>
            <w:left w:val="none" w:sz="0" w:space="0" w:color="auto"/>
            <w:bottom w:val="none" w:sz="0" w:space="0" w:color="auto"/>
            <w:right w:val="none" w:sz="0" w:space="0" w:color="auto"/>
          </w:divBdr>
        </w:div>
        <w:div w:id="2124225541">
          <w:marLeft w:val="0"/>
          <w:marRight w:val="0"/>
          <w:marTop w:val="0"/>
          <w:marBottom w:val="0"/>
          <w:divBdr>
            <w:top w:val="none" w:sz="0" w:space="0" w:color="auto"/>
            <w:left w:val="none" w:sz="0" w:space="0" w:color="auto"/>
            <w:bottom w:val="none" w:sz="0" w:space="0" w:color="auto"/>
            <w:right w:val="none" w:sz="0" w:space="0" w:color="auto"/>
          </w:divBdr>
        </w:div>
      </w:divsChild>
    </w:div>
    <w:div w:id="460003261">
      <w:bodyDiv w:val="1"/>
      <w:marLeft w:val="0"/>
      <w:marRight w:val="0"/>
      <w:marTop w:val="0"/>
      <w:marBottom w:val="0"/>
      <w:divBdr>
        <w:top w:val="none" w:sz="0" w:space="0" w:color="auto"/>
        <w:left w:val="none" w:sz="0" w:space="0" w:color="auto"/>
        <w:bottom w:val="none" w:sz="0" w:space="0" w:color="auto"/>
        <w:right w:val="none" w:sz="0" w:space="0" w:color="auto"/>
      </w:divBdr>
      <w:divsChild>
        <w:div w:id="922762246">
          <w:marLeft w:val="0"/>
          <w:marRight w:val="0"/>
          <w:marTop w:val="0"/>
          <w:marBottom w:val="0"/>
          <w:divBdr>
            <w:top w:val="none" w:sz="0" w:space="0" w:color="auto"/>
            <w:left w:val="none" w:sz="0" w:space="0" w:color="auto"/>
            <w:bottom w:val="none" w:sz="0" w:space="0" w:color="auto"/>
            <w:right w:val="none" w:sz="0" w:space="0" w:color="auto"/>
          </w:divBdr>
        </w:div>
        <w:div w:id="1257330341">
          <w:marLeft w:val="0"/>
          <w:marRight w:val="0"/>
          <w:marTop w:val="0"/>
          <w:marBottom w:val="0"/>
          <w:divBdr>
            <w:top w:val="none" w:sz="0" w:space="0" w:color="auto"/>
            <w:left w:val="none" w:sz="0" w:space="0" w:color="auto"/>
            <w:bottom w:val="none" w:sz="0" w:space="0" w:color="auto"/>
            <w:right w:val="none" w:sz="0" w:space="0" w:color="auto"/>
          </w:divBdr>
        </w:div>
      </w:divsChild>
    </w:div>
    <w:div w:id="567573056">
      <w:bodyDiv w:val="1"/>
      <w:marLeft w:val="0"/>
      <w:marRight w:val="0"/>
      <w:marTop w:val="0"/>
      <w:marBottom w:val="0"/>
      <w:divBdr>
        <w:top w:val="none" w:sz="0" w:space="0" w:color="auto"/>
        <w:left w:val="none" w:sz="0" w:space="0" w:color="auto"/>
        <w:bottom w:val="none" w:sz="0" w:space="0" w:color="auto"/>
        <w:right w:val="none" w:sz="0" w:space="0" w:color="auto"/>
      </w:divBdr>
      <w:divsChild>
        <w:div w:id="2092703266">
          <w:marLeft w:val="0"/>
          <w:marRight w:val="0"/>
          <w:marTop w:val="0"/>
          <w:marBottom w:val="0"/>
          <w:divBdr>
            <w:top w:val="none" w:sz="0" w:space="0" w:color="auto"/>
            <w:left w:val="none" w:sz="0" w:space="0" w:color="auto"/>
            <w:bottom w:val="none" w:sz="0" w:space="0" w:color="auto"/>
            <w:right w:val="none" w:sz="0" w:space="0" w:color="auto"/>
          </w:divBdr>
        </w:div>
        <w:div w:id="8461747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9664629">
      <w:bodyDiv w:val="1"/>
      <w:marLeft w:val="0"/>
      <w:marRight w:val="0"/>
      <w:marTop w:val="0"/>
      <w:marBottom w:val="0"/>
      <w:divBdr>
        <w:top w:val="none" w:sz="0" w:space="0" w:color="auto"/>
        <w:left w:val="none" w:sz="0" w:space="0" w:color="auto"/>
        <w:bottom w:val="none" w:sz="0" w:space="0" w:color="auto"/>
        <w:right w:val="none" w:sz="0" w:space="0" w:color="auto"/>
      </w:divBdr>
      <w:divsChild>
        <w:div w:id="1410662428">
          <w:marLeft w:val="0"/>
          <w:marRight w:val="0"/>
          <w:marTop w:val="0"/>
          <w:marBottom w:val="0"/>
          <w:divBdr>
            <w:top w:val="none" w:sz="0" w:space="0" w:color="auto"/>
            <w:left w:val="none" w:sz="0" w:space="0" w:color="auto"/>
            <w:bottom w:val="none" w:sz="0" w:space="0" w:color="auto"/>
            <w:right w:val="none" w:sz="0" w:space="0" w:color="auto"/>
          </w:divBdr>
          <w:divsChild>
            <w:div w:id="734470918">
              <w:marLeft w:val="0"/>
              <w:marRight w:val="0"/>
              <w:marTop w:val="0"/>
              <w:marBottom w:val="0"/>
              <w:divBdr>
                <w:top w:val="none" w:sz="0" w:space="0" w:color="auto"/>
                <w:left w:val="none" w:sz="0" w:space="0" w:color="auto"/>
                <w:bottom w:val="none" w:sz="0" w:space="0" w:color="auto"/>
                <w:right w:val="none" w:sz="0" w:space="0" w:color="auto"/>
              </w:divBdr>
            </w:div>
            <w:div w:id="541331381">
              <w:marLeft w:val="0"/>
              <w:marRight w:val="0"/>
              <w:marTop w:val="0"/>
              <w:marBottom w:val="0"/>
              <w:divBdr>
                <w:top w:val="none" w:sz="0" w:space="0" w:color="auto"/>
                <w:left w:val="none" w:sz="0" w:space="0" w:color="auto"/>
                <w:bottom w:val="none" w:sz="0" w:space="0" w:color="auto"/>
                <w:right w:val="none" w:sz="0" w:space="0" w:color="auto"/>
              </w:divBdr>
            </w:div>
            <w:div w:id="431629794">
              <w:marLeft w:val="0"/>
              <w:marRight w:val="0"/>
              <w:marTop w:val="0"/>
              <w:marBottom w:val="0"/>
              <w:divBdr>
                <w:top w:val="none" w:sz="0" w:space="0" w:color="auto"/>
                <w:left w:val="none" w:sz="0" w:space="0" w:color="auto"/>
                <w:bottom w:val="none" w:sz="0" w:space="0" w:color="auto"/>
                <w:right w:val="none" w:sz="0" w:space="0" w:color="auto"/>
              </w:divBdr>
            </w:div>
            <w:div w:id="1444494412">
              <w:marLeft w:val="0"/>
              <w:marRight w:val="0"/>
              <w:marTop w:val="0"/>
              <w:marBottom w:val="0"/>
              <w:divBdr>
                <w:top w:val="none" w:sz="0" w:space="0" w:color="auto"/>
                <w:left w:val="none" w:sz="0" w:space="0" w:color="auto"/>
                <w:bottom w:val="none" w:sz="0" w:space="0" w:color="auto"/>
                <w:right w:val="none" w:sz="0" w:space="0" w:color="auto"/>
              </w:divBdr>
            </w:div>
          </w:divsChild>
        </w:div>
        <w:div w:id="1030649325">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546137">
      <w:bodyDiv w:val="1"/>
      <w:marLeft w:val="0"/>
      <w:marRight w:val="0"/>
      <w:marTop w:val="0"/>
      <w:marBottom w:val="0"/>
      <w:divBdr>
        <w:top w:val="none" w:sz="0" w:space="0" w:color="auto"/>
        <w:left w:val="none" w:sz="0" w:space="0" w:color="auto"/>
        <w:bottom w:val="none" w:sz="0" w:space="0" w:color="auto"/>
        <w:right w:val="none" w:sz="0" w:space="0" w:color="auto"/>
      </w:divBdr>
      <w:divsChild>
        <w:div w:id="1230965281">
          <w:marLeft w:val="0"/>
          <w:marRight w:val="0"/>
          <w:marTop w:val="0"/>
          <w:marBottom w:val="0"/>
          <w:divBdr>
            <w:top w:val="none" w:sz="0" w:space="0" w:color="auto"/>
            <w:left w:val="none" w:sz="0" w:space="0" w:color="auto"/>
            <w:bottom w:val="none" w:sz="0" w:space="0" w:color="auto"/>
            <w:right w:val="none" w:sz="0" w:space="0" w:color="auto"/>
          </w:divBdr>
        </w:div>
        <w:div w:id="587470931">
          <w:marLeft w:val="0"/>
          <w:marRight w:val="0"/>
          <w:marTop w:val="0"/>
          <w:marBottom w:val="0"/>
          <w:divBdr>
            <w:top w:val="none" w:sz="0" w:space="0" w:color="auto"/>
            <w:left w:val="none" w:sz="0" w:space="0" w:color="auto"/>
            <w:bottom w:val="none" w:sz="0" w:space="0" w:color="auto"/>
            <w:right w:val="none" w:sz="0" w:space="0" w:color="auto"/>
          </w:divBdr>
        </w:div>
        <w:div w:id="860358994">
          <w:marLeft w:val="0"/>
          <w:marRight w:val="0"/>
          <w:marTop w:val="0"/>
          <w:marBottom w:val="0"/>
          <w:divBdr>
            <w:top w:val="none" w:sz="0" w:space="0" w:color="auto"/>
            <w:left w:val="none" w:sz="0" w:space="0" w:color="auto"/>
            <w:bottom w:val="none" w:sz="0" w:space="0" w:color="auto"/>
            <w:right w:val="none" w:sz="0" w:space="0" w:color="auto"/>
          </w:divBdr>
        </w:div>
        <w:div w:id="434832297">
          <w:marLeft w:val="0"/>
          <w:marRight w:val="0"/>
          <w:marTop w:val="0"/>
          <w:marBottom w:val="0"/>
          <w:divBdr>
            <w:top w:val="none" w:sz="0" w:space="0" w:color="auto"/>
            <w:left w:val="none" w:sz="0" w:space="0" w:color="auto"/>
            <w:bottom w:val="none" w:sz="0" w:space="0" w:color="auto"/>
            <w:right w:val="none" w:sz="0" w:space="0" w:color="auto"/>
          </w:divBdr>
        </w:div>
        <w:div w:id="1836145559">
          <w:marLeft w:val="0"/>
          <w:marRight w:val="0"/>
          <w:marTop w:val="0"/>
          <w:marBottom w:val="0"/>
          <w:divBdr>
            <w:top w:val="none" w:sz="0" w:space="0" w:color="auto"/>
            <w:left w:val="none" w:sz="0" w:space="0" w:color="auto"/>
            <w:bottom w:val="none" w:sz="0" w:space="0" w:color="auto"/>
            <w:right w:val="none" w:sz="0" w:space="0" w:color="auto"/>
          </w:divBdr>
        </w:div>
      </w:divsChild>
    </w:div>
    <w:div w:id="1280379431">
      <w:bodyDiv w:val="1"/>
      <w:marLeft w:val="0"/>
      <w:marRight w:val="0"/>
      <w:marTop w:val="0"/>
      <w:marBottom w:val="0"/>
      <w:divBdr>
        <w:top w:val="none" w:sz="0" w:space="0" w:color="auto"/>
        <w:left w:val="none" w:sz="0" w:space="0" w:color="auto"/>
        <w:bottom w:val="none" w:sz="0" w:space="0" w:color="auto"/>
        <w:right w:val="none" w:sz="0" w:space="0" w:color="auto"/>
      </w:divBdr>
      <w:divsChild>
        <w:div w:id="1908415984">
          <w:marLeft w:val="0"/>
          <w:marRight w:val="0"/>
          <w:marTop w:val="0"/>
          <w:marBottom w:val="0"/>
          <w:divBdr>
            <w:top w:val="none" w:sz="0" w:space="0" w:color="auto"/>
            <w:left w:val="none" w:sz="0" w:space="0" w:color="auto"/>
            <w:bottom w:val="none" w:sz="0" w:space="0" w:color="auto"/>
            <w:right w:val="none" w:sz="0" w:space="0" w:color="auto"/>
          </w:divBdr>
        </w:div>
        <w:div w:id="247422529">
          <w:marLeft w:val="0"/>
          <w:marRight w:val="0"/>
          <w:marTop w:val="0"/>
          <w:marBottom w:val="0"/>
          <w:divBdr>
            <w:top w:val="none" w:sz="0" w:space="0" w:color="auto"/>
            <w:left w:val="none" w:sz="0" w:space="0" w:color="auto"/>
            <w:bottom w:val="none" w:sz="0" w:space="0" w:color="auto"/>
            <w:right w:val="none" w:sz="0" w:space="0" w:color="auto"/>
          </w:divBdr>
        </w:div>
        <w:div w:id="121924132">
          <w:marLeft w:val="0"/>
          <w:marRight w:val="0"/>
          <w:marTop w:val="0"/>
          <w:marBottom w:val="0"/>
          <w:divBdr>
            <w:top w:val="none" w:sz="0" w:space="0" w:color="auto"/>
            <w:left w:val="none" w:sz="0" w:space="0" w:color="auto"/>
            <w:bottom w:val="none" w:sz="0" w:space="0" w:color="auto"/>
            <w:right w:val="none" w:sz="0" w:space="0" w:color="auto"/>
          </w:divBdr>
        </w:div>
        <w:div w:id="260263223">
          <w:marLeft w:val="0"/>
          <w:marRight w:val="0"/>
          <w:marTop w:val="0"/>
          <w:marBottom w:val="0"/>
          <w:divBdr>
            <w:top w:val="none" w:sz="0" w:space="0" w:color="auto"/>
            <w:left w:val="none" w:sz="0" w:space="0" w:color="auto"/>
            <w:bottom w:val="none" w:sz="0" w:space="0" w:color="auto"/>
            <w:right w:val="none" w:sz="0" w:space="0" w:color="auto"/>
          </w:divBdr>
        </w:div>
        <w:div w:id="1390609393">
          <w:marLeft w:val="0"/>
          <w:marRight w:val="0"/>
          <w:marTop w:val="0"/>
          <w:marBottom w:val="0"/>
          <w:divBdr>
            <w:top w:val="none" w:sz="0" w:space="0" w:color="auto"/>
            <w:left w:val="none" w:sz="0" w:space="0" w:color="auto"/>
            <w:bottom w:val="none" w:sz="0" w:space="0" w:color="auto"/>
            <w:right w:val="none" w:sz="0" w:space="0" w:color="auto"/>
          </w:divBdr>
        </w:div>
        <w:div w:id="808402467">
          <w:marLeft w:val="0"/>
          <w:marRight w:val="0"/>
          <w:marTop w:val="0"/>
          <w:marBottom w:val="0"/>
          <w:divBdr>
            <w:top w:val="none" w:sz="0" w:space="0" w:color="auto"/>
            <w:left w:val="none" w:sz="0" w:space="0" w:color="auto"/>
            <w:bottom w:val="none" w:sz="0" w:space="0" w:color="auto"/>
            <w:right w:val="none" w:sz="0" w:space="0" w:color="auto"/>
          </w:divBdr>
        </w:div>
      </w:divsChild>
    </w:div>
    <w:div w:id="1522821524">
      <w:bodyDiv w:val="1"/>
      <w:marLeft w:val="0"/>
      <w:marRight w:val="0"/>
      <w:marTop w:val="0"/>
      <w:marBottom w:val="0"/>
      <w:divBdr>
        <w:top w:val="none" w:sz="0" w:space="0" w:color="auto"/>
        <w:left w:val="none" w:sz="0" w:space="0" w:color="auto"/>
        <w:bottom w:val="none" w:sz="0" w:space="0" w:color="auto"/>
        <w:right w:val="none" w:sz="0" w:space="0" w:color="auto"/>
      </w:divBdr>
    </w:div>
    <w:div w:id="1921208747">
      <w:bodyDiv w:val="1"/>
      <w:marLeft w:val="0"/>
      <w:marRight w:val="0"/>
      <w:marTop w:val="0"/>
      <w:marBottom w:val="0"/>
      <w:divBdr>
        <w:top w:val="none" w:sz="0" w:space="0" w:color="auto"/>
        <w:left w:val="none" w:sz="0" w:space="0" w:color="auto"/>
        <w:bottom w:val="none" w:sz="0" w:space="0" w:color="auto"/>
        <w:right w:val="none" w:sz="0" w:space="0" w:color="auto"/>
      </w:divBdr>
      <w:divsChild>
        <w:div w:id="377776823">
          <w:marLeft w:val="0"/>
          <w:marRight w:val="0"/>
          <w:marTop w:val="0"/>
          <w:marBottom w:val="0"/>
          <w:divBdr>
            <w:top w:val="none" w:sz="0" w:space="0" w:color="auto"/>
            <w:left w:val="none" w:sz="0" w:space="0" w:color="auto"/>
            <w:bottom w:val="none" w:sz="0" w:space="0" w:color="auto"/>
            <w:right w:val="none" w:sz="0" w:space="0" w:color="auto"/>
          </w:divBdr>
        </w:div>
        <w:div w:id="587541116">
          <w:marLeft w:val="0"/>
          <w:marRight w:val="0"/>
          <w:marTop w:val="0"/>
          <w:marBottom w:val="0"/>
          <w:divBdr>
            <w:top w:val="none" w:sz="0" w:space="0" w:color="auto"/>
            <w:left w:val="none" w:sz="0" w:space="0" w:color="auto"/>
            <w:bottom w:val="none" w:sz="0" w:space="0" w:color="auto"/>
            <w:right w:val="none" w:sz="0" w:space="0" w:color="auto"/>
          </w:divBdr>
        </w:div>
      </w:divsChild>
    </w:div>
    <w:div w:id="1970015092">
      <w:bodyDiv w:val="1"/>
      <w:marLeft w:val="0"/>
      <w:marRight w:val="0"/>
      <w:marTop w:val="0"/>
      <w:marBottom w:val="0"/>
      <w:divBdr>
        <w:top w:val="none" w:sz="0" w:space="0" w:color="auto"/>
        <w:left w:val="none" w:sz="0" w:space="0" w:color="auto"/>
        <w:bottom w:val="none" w:sz="0" w:space="0" w:color="auto"/>
        <w:right w:val="none" w:sz="0" w:space="0" w:color="auto"/>
      </w:divBdr>
      <w:divsChild>
        <w:div w:id="1943370627">
          <w:marLeft w:val="0"/>
          <w:marRight w:val="0"/>
          <w:marTop w:val="0"/>
          <w:marBottom w:val="0"/>
          <w:divBdr>
            <w:top w:val="none" w:sz="0" w:space="0" w:color="auto"/>
            <w:left w:val="none" w:sz="0" w:space="0" w:color="auto"/>
            <w:bottom w:val="none" w:sz="0" w:space="0" w:color="auto"/>
            <w:right w:val="none" w:sz="0" w:space="0" w:color="auto"/>
          </w:divBdr>
        </w:div>
        <w:div w:id="181403985">
          <w:marLeft w:val="0"/>
          <w:marRight w:val="0"/>
          <w:marTop w:val="0"/>
          <w:marBottom w:val="0"/>
          <w:divBdr>
            <w:top w:val="none" w:sz="0" w:space="0" w:color="auto"/>
            <w:left w:val="none" w:sz="0" w:space="0" w:color="auto"/>
            <w:bottom w:val="none" w:sz="0" w:space="0" w:color="auto"/>
            <w:right w:val="none" w:sz="0" w:space="0" w:color="auto"/>
          </w:divBdr>
        </w:div>
        <w:div w:id="177307290">
          <w:marLeft w:val="0"/>
          <w:marRight w:val="0"/>
          <w:marTop w:val="0"/>
          <w:marBottom w:val="0"/>
          <w:divBdr>
            <w:top w:val="none" w:sz="0" w:space="0" w:color="auto"/>
            <w:left w:val="none" w:sz="0" w:space="0" w:color="auto"/>
            <w:bottom w:val="none" w:sz="0" w:space="0" w:color="auto"/>
            <w:right w:val="none" w:sz="0" w:space="0" w:color="auto"/>
          </w:divBdr>
        </w:div>
        <w:div w:id="305934314">
          <w:marLeft w:val="0"/>
          <w:marRight w:val="0"/>
          <w:marTop w:val="0"/>
          <w:marBottom w:val="0"/>
          <w:divBdr>
            <w:top w:val="none" w:sz="0" w:space="0" w:color="auto"/>
            <w:left w:val="none" w:sz="0" w:space="0" w:color="auto"/>
            <w:bottom w:val="none" w:sz="0" w:space="0" w:color="auto"/>
            <w:right w:val="none" w:sz="0" w:space="0" w:color="auto"/>
          </w:divBdr>
        </w:div>
        <w:div w:id="824781571">
          <w:marLeft w:val="0"/>
          <w:marRight w:val="0"/>
          <w:marTop w:val="0"/>
          <w:marBottom w:val="0"/>
          <w:divBdr>
            <w:top w:val="none" w:sz="0" w:space="0" w:color="auto"/>
            <w:left w:val="none" w:sz="0" w:space="0" w:color="auto"/>
            <w:bottom w:val="none" w:sz="0" w:space="0" w:color="auto"/>
            <w:right w:val="none" w:sz="0" w:space="0" w:color="auto"/>
          </w:divBdr>
        </w:div>
        <w:div w:id="742214458">
          <w:marLeft w:val="0"/>
          <w:marRight w:val="0"/>
          <w:marTop w:val="0"/>
          <w:marBottom w:val="0"/>
          <w:divBdr>
            <w:top w:val="none" w:sz="0" w:space="0" w:color="auto"/>
            <w:left w:val="none" w:sz="0" w:space="0" w:color="auto"/>
            <w:bottom w:val="none" w:sz="0" w:space="0" w:color="auto"/>
            <w:right w:val="none" w:sz="0" w:space="0" w:color="auto"/>
          </w:divBdr>
        </w:div>
        <w:div w:id="168717411">
          <w:marLeft w:val="0"/>
          <w:marRight w:val="0"/>
          <w:marTop w:val="0"/>
          <w:marBottom w:val="0"/>
          <w:divBdr>
            <w:top w:val="none" w:sz="0" w:space="0" w:color="auto"/>
            <w:left w:val="none" w:sz="0" w:space="0" w:color="auto"/>
            <w:bottom w:val="none" w:sz="0" w:space="0" w:color="auto"/>
            <w:right w:val="none" w:sz="0" w:space="0" w:color="auto"/>
          </w:divBdr>
        </w:div>
        <w:div w:id="712461683">
          <w:marLeft w:val="0"/>
          <w:marRight w:val="0"/>
          <w:marTop w:val="0"/>
          <w:marBottom w:val="0"/>
          <w:divBdr>
            <w:top w:val="none" w:sz="0" w:space="0" w:color="auto"/>
            <w:left w:val="none" w:sz="0" w:space="0" w:color="auto"/>
            <w:bottom w:val="none" w:sz="0" w:space="0" w:color="auto"/>
            <w:right w:val="none" w:sz="0" w:space="0" w:color="auto"/>
          </w:divBdr>
        </w:div>
        <w:div w:id="1558390640">
          <w:marLeft w:val="0"/>
          <w:marRight w:val="0"/>
          <w:marTop w:val="0"/>
          <w:marBottom w:val="0"/>
          <w:divBdr>
            <w:top w:val="none" w:sz="0" w:space="0" w:color="auto"/>
            <w:left w:val="none" w:sz="0" w:space="0" w:color="auto"/>
            <w:bottom w:val="none" w:sz="0" w:space="0" w:color="auto"/>
            <w:right w:val="none" w:sz="0" w:space="0" w:color="auto"/>
          </w:divBdr>
        </w:div>
        <w:div w:id="233903963">
          <w:marLeft w:val="0"/>
          <w:marRight w:val="0"/>
          <w:marTop w:val="0"/>
          <w:marBottom w:val="0"/>
          <w:divBdr>
            <w:top w:val="none" w:sz="0" w:space="0" w:color="auto"/>
            <w:left w:val="none" w:sz="0" w:space="0" w:color="auto"/>
            <w:bottom w:val="none" w:sz="0" w:space="0" w:color="auto"/>
            <w:right w:val="none" w:sz="0" w:space="0" w:color="auto"/>
          </w:divBdr>
        </w:div>
        <w:div w:id="30228611">
          <w:marLeft w:val="0"/>
          <w:marRight w:val="0"/>
          <w:marTop w:val="0"/>
          <w:marBottom w:val="0"/>
          <w:divBdr>
            <w:top w:val="none" w:sz="0" w:space="0" w:color="auto"/>
            <w:left w:val="none" w:sz="0" w:space="0" w:color="auto"/>
            <w:bottom w:val="none" w:sz="0" w:space="0" w:color="auto"/>
            <w:right w:val="none" w:sz="0" w:space="0" w:color="auto"/>
          </w:divBdr>
        </w:div>
        <w:div w:id="2112043696">
          <w:marLeft w:val="0"/>
          <w:marRight w:val="0"/>
          <w:marTop w:val="0"/>
          <w:marBottom w:val="0"/>
          <w:divBdr>
            <w:top w:val="none" w:sz="0" w:space="0" w:color="auto"/>
            <w:left w:val="none" w:sz="0" w:space="0" w:color="auto"/>
            <w:bottom w:val="none" w:sz="0" w:space="0" w:color="auto"/>
            <w:right w:val="none" w:sz="0" w:space="0" w:color="auto"/>
          </w:divBdr>
        </w:div>
        <w:div w:id="42868111">
          <w:marLeft w:val="0"/>
          <w:marRight w:val="0"/>
          <w:marTop w:val="0"/>
          <w:marBottom w:val="0"/>
          <w:divBdr>
            <w:top w:val="none" w:sz="0" w:space="0" w:color="auto"/>
            <w:left w:val="none" w:sz="0" w:space="0" w:color="auto"/>
            <w:bottom w:val="none" w:sz="0" w:space="0" w:color="auto"/>
            <w:right w:val="none" w:sz="0" w:space="0" w:color="auto"/>
          </w:divBdr>
        </w:div>
        <w:div w:id="433793502">
          <w:marLeft w:val="0"/>
          <w:marRight w:val="0"/>
          <w:marTop w:val="0"/>
          <w:marBottom w:val="0"/>
          <w:divBdr>
            <w:top w:val="none" w:sz="0" w:space="0" w:color="auto"/>
            <w:left w:val="none" w:sz="0" w:space="0" w:color="auto"/>
            <w:bottom w:val="none" w:sz="0" w:space="0" w:color="auto"/>
            <w:right w:val="none" w:sz="0" w:space="0" w:color="auto"/>
          </w:divBdr>
        </w:div>
        <w:div w:id="1258707935">
          <w:marLeft w:val="0"/>
          <w:marRight w:val="0"/>
          <w:marTop w:val="0"/>
          <w:marBottom w:val="0"/>
          <w:divBdr>
            <w:top w:val="none" w:sz="0" w:space="0" w:color="auto"/>
            <w:left w:val="none" w:sz="0" w:space="0" w:color="auto"/>
            <w:bottom w:val="none" w:sz="0" w:space="0" w:color="auto"/>
            <w:right w:val="none" w:sz="0" w:space="0" w:color="auto"/>
          </w:divBdr>
        </w:div>
        <w:div w:id="42279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tradeserv/tourism/manual.html" TargetMode="External"/><Relationship Id="rId18" Type="http://schemas.openxmlformats.org/officeDocument/2006/relationships/hyperlink" Target="https://unstats.un.org/unsd/publication/Seriesm/SeriesM_83rev1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mf.org/external/pubs/ft/bop/2007/pdf/bpm6.pdf" TargetMode="External"/><Relationship Id="rId17" Type="http://schemas.openxmlformats.org/officeDocument/2006/relationships/hyperlink" Target="https://unstats.un.org/unsd/publication/Seriesf/SeriesF_80rev1e.pdf" TargetMode="External"/><Relationship Id="rId2" Type="http://schemas.openxmlformats.org/officeDocument/2006/relationships/customXml" Target="../customXml/item2.xml"/><Relationship Id="rId16" Type="http://schemas.openxmlformats.org/officeDocument/2006/relationships/hyperlink" Target="https://unstats.un.org/unsd/publication/Seriesm/SeriesM_83rev1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f/seriesf_80rev1e.pdf" TargetMode="External"/><Relationship Id="rId5" Type="http://schemas.openxmlformats.org/officeDocument/2006/relationships/numbering" Target="numbering.xml"/><Relationship Id="rId15" Type="http://schemas.openxmlformats.org/officeDocument/2006/relationships/hyperlink" Target="http://statistics.unwto.org/sites/all/files/pdf/tsa_data.pdf" TargetMode="External"/><Relationship Id="rId10" Type="http://schemas.openxmlformats.org/officeDocument/2006/relationships/endnotes" Target="endnotes.xml"/><Relationship Id="rId19" Type="http://schemas.openxmlformats.org/officeDocument/2006/relationships/hyperlink" Target="https://unstats.un.org/unsd/publication/Seriesf/SeriesF_80rev1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f.cdn.unwto.org/sites/all/files/pdf/mst_research_paper_measuring_tdgdp.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ACDB486E-6D4C-4EBE-834C-3C5521F6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1843</Words>
  <Characters>10510</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2021-03-28T04:06:00Z</dcterms:created>
  <dcterms:modified xsi:type="dcterms:W3CDTF">2021-03-28T04:06:00Z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