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AE51CBA" w14:textId="77777777" w:rsidR="00336BAB" w:rsidRDefault="00336BAB" w:rsidP="00D24330">
      <w:pPr>
        <w:pStyle w:val="MIndHeader"/>
        <w:rPr>
          <w:color w:val="333333"/>
          <w:sz w:val="21"/>
          <w:szCs w:val="21"/>
        </w:rPr>
      </w:pPr>
      <w:r w:rsidRPr="00336BAB">
        <w:rPr>
          <w:color w:val="333333"/>
          <w:sz w:val="21"/>
          <w:szCs w:val="21"/>
        </w:rPr>
        <w:t>Goal 10: Reduce inequality within and among countries</w:t>
      </w:r>
    </w:p>
    <w:p w14:paraId="084142D2" w14:textId="4CC70A5B" w:rsidR="00D24330" w:rsidRPr="00A96255" w:rsidRDefault="00D24330" w:rsidP="00D24330">
      <w:pPr>
        <w:pStyle w:val="MIndHeader"/>
      </w:pPr>
      <w:r w:rsidRPr="00A96255">
        <w:t>0.b. Target</w:t>
      </w:r>
    </w:p>
    <w:p w14:paraId="6CB77036" w14:textId="52F3E692" w:rsidR="00336BAB" w:rsidRPr="00A96255" w:rsidRDefault="00336BAB" w:rsidP="00D24330">
      <w:pPr>
        <w:pStyle w:val="MGTHeader"/>
      </w:pPr>
      <w:r w:rsidRPr="00336BAB">
        <w:t>Target 10.6: Ensure enhanced representation and voice for developing countries in decision-making in global international economic and financial institutions in order to deliver more effective, credible, accountable and legitimate institutions</w:t>
      </w:r>
    </w:p>
    <w:p w14:paraId="3E67E7E0" w14:textId="77777777" w:rsidR="00D24330" w:rsidRPr="00A96255" w:rsidRDefault="00D24330" w:rsidP="00D24330">
      <w:pPr>
        <w:pStyle w:val="MIndHeader"/>
      </w:pPr>
      <w:r w:rsidRPr="00A96255">
        <w:t>0.c. Indicator</w:t>
      </w:r>
    </w:p>
    <w:p w14:paraId="04598313" w14:textId="2B00AF52" w:rsidR="00336BAB" w:rsidRPr="00A96255" w:rsidRDefault="00336BAB" w:rsidP="00D24330">
      <w:pPr>
        <w:pStyle w:val="MGTHeader"/>
      </w:pPr>
      <w:r w:rsidRPr="00336BAB">
        <w:t>Indicator 10.6.1: Proportion of members and voting rights of developing countries in international organizations</w:t>
      </w:r>
    </w:p>
    <w:p w14:paraId="37E5E4F6" w14:textId="77777777" w:rsidR="00D24330" w:rsidRPr="00A96255" w:rsidRDefault="00D24330" w:rsidP="00D24330">
      <w:pPr>
        <w:pStyle w:val="MIndHeader"/>
      </w:pPr>
      <w:r w:rsidRPr="00A96255">
        <w:t>0.d. Series</w:t>
      </w:r>
    </w:p>
    <w:p w14:paraId="771888BA" w14:textId="68012D0B" w:rsidR="00D24330" w:rsidRPr="00A96255" w:rsidRDefault="00D24330" w:rsidP="007407C3">
      <w:pPr>
        <w:pStyle w:val="MGTHeader"/>
        <w:spacing w:after="0"/>
      </w:pPr>
    </w:p>
    <w:p w14:paraId="157DACE7" w14:textId="77777777" w:rsidR="00D24330" w:rsidRPr="00A96255" w:rsidRDefault="00D24330" w:rsidP="00D24330">
      <w:pPr>
        <w:pStyle w:val="MIndHeader"/>
      </w:pPr>
      <w:r w:rsidRPr="00A96255">
        <w:t>0.e. Metadata update</w:t>
      </w:r>
    </w:p>
    <w:p w14:paraId="7A742CCF" w14:textId="6FC5B7C4" w:rsidR="00336BAB" w:rsidRPr="00A96255" w:rsidRDefault="00DC4DEA" w:rsidP="00D24330">
      <w:pPr>
        <w:pStyle w:val="MGTHeader"/>
      </w:pPr>
      <w:r>
        <w:t>May 2021</w:t>
      </w:r>
    </w:p>
    <w:p w14:paraId="415C9FF1" w14:textId="77777777" w:rsidR="00D24330" w:rsidRPr="00A96255" w:rsidRDefault="00D24330" w:rsidP="00D24330">
      <w:pPr>
        <w:pStyle w:val="MIndHeader"/>
      </w:pPr>
      <w:r w:rsidRPr="00A96255">
        <w:t>0.f. Related indicators</w:t>
      </w:r>
    </w:p>
    <w:p w14:paraId="21524279" w14:textId="1029E906" w:rsidR="00D24330" w:rsidRPr="00A96255" w:rsidRDefault="00D24330" w:rsidP="007407C3">
      <w:pPr>
        <w:pStyle w:val="MGTHeader"/>
        <w:spacing w:after="0"/>
      </w:pPr>
    </w:p>
    <w:p w14:paraId="077BC49E" w14:textId="77777777" w:rsidR="00D24330" w:rsidRPr="00A96255" w:rsidRDefault="00D24330" w:rsidP="00D24330">
      <w:pPr>
        <w:pStyle w:val="MIndHeader"/>
      </w:pPr>
      <w:r w:rsidRPr="00A96255">
        <w:t>0.g. International organisations(s) responsible for global monitoring</w:t>
      </w:r>
    </w:p>
    <w:p w14:paraId="3DD6C951" w14:textId="0F27D923" w:rsidR="00336BAB" w:rsidRPr="00A96255" w:rsidRDefault="00336BAB" w:rsidP="00D24330">
      <w:pPr>
        <w:pStyle w:val="MGTHeader"/>
        <w:rPr>
          <w:color w:val="4A4A4A"/>
        </w:rPr>
      </w:pPr>
      <w:r w:rsidRPr="00336BAB">
        <w:t xml:space="preserve">Financing for </w:t>
      </w:r>
      <w:r w:rsidR="00972AA8">
        <w:t xml:space="preserve">Sustainable </w:t>
      </w:r>
      <w:r w:rsidRPr="00336BAB">
        <w:t xml:space="preserve">Development Office, DESA </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06C1BBCE" w:rsidR="00F719A8" w:rsidRDefault="00336BAB" w:rsidP="00576CFA">
      <w:pPr>
        <w:pStyle w:val="MText"/>
      </w:pPr>
      <w:r w:rsidRPr="00336BAB">
        <w:t xml:space="preserve">Financing for </w:t>
      </w:r>
      <w:r w:rsidR="00972AA8">
        <w:t xml:space="preserve">Sustainable </w:t>
      </w:r>
      <w:r w:rsidRPr="00336BAB">
        <w:t xml:space="preserve">Development Office, DESA </w:t>
      </w:r>
    </w:p>
    <w:p w14:paraId="1633AA71" w14:textId="77777777" w:rsidR="00336BAB" w:rsidRDefault="00336BAB"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01FDDB7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b/>
          <w:bCs/>
          <w:color w:val="4A4A4A"/>
          <w:sz w:val="21"/>
          <w:szCs w:val="21"/>
          <w:lang w:eastAsia="en-GB"/>
        </w:rPr>
        <w:t>Definition:</w:t>
      </w:r>
    </w:p>
    <w:p w14:paraId="003E3B86"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6E7E270A"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78AC9904" w14:textId="77777777" w:rsidR="00336BAB" w:rsidRPr="00B1402E" w:rsidRDefault="00336BAB" w:rsidP="00336BAB">
      <w:pPr>
        <w:shd w:val="clear" w:color="auto" w:fill="FFFFFF"/>
        <w:spacing w:after="0"/>
        <w:contextualSpacing/>
        <w:rPr>
          <w:rFonts w:eastAsia="Times New Roman" w:cs="Times New Roman"/>
          <w:b/>
          <w:bCs/>
          <w:color w:val="4A4A4A"/>
          <w:sz w:val="21"/>
          <w:szCs w:val="21"/>
          <w:lang w:eastAsia="en-GB"/>
        </w:rPr>
      </w:pPr>
      <w:r w:rsidRPr="00B1402E">
        <w:rPr>
          <w:rFonts w:eastAsia="Times New Roman" w:cs="Times New Roman"/>
          <w:b/>
          <w:bCs/>
          <w:color w:val="4A4A4A"/>
          <w:sz w:val="21"/>
          <w:szCs w:val="21"/>
          <w:lang w:eastAsia="en-GB"/>
        </w:rPr>
        <w:t>Concepts:</w:t>
      </w:r>
    </w:p>
    <w:p w14:paraId="10771CA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4493D3D1"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153B09C3" w14:textId="26EA844E" w:rsidR="00D51E7C" w:rsidRPr="00336BAB"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regions or areas. The aggregation across all institutions is currently done according to the United Nations M.49 statistical standard which includes designation of “developed regions” and “developing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548E9AAA" w14:textId="09A3DE3F" w:rsidR="00EC2915" w:rsidRDefault="00972AA8" w:rsidP="00576CFA">
      <w:pPr>
        <w:pStyle w:val="MText"/>
      </w:pPr>
      <w:r>
        <w:t>Proportion of membership or voting rights.</w:t>
      </w:r>
    </w:p>
    <w:p w14:paraId="6E91D094" w14:textId="77777777" w:rsidR="00597963" w:rsidRPr="00A96255" w:rsidRDefault="00597963"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8E03683"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b/>
          <w:bCs/>
          <w:color w:val="4A4A4A"/>
          <w:sz w:val="21"/>
          <w:szCs w:val="21"/>
          <w:lang w:eastAsia="en-GB"/>
        </w:rPr>
        <w:t>Description:</w:t>
      </w:r>
    </w:p>
    <w:p w14:paraId="634AD4AA"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Annual reports, as presented on the website of the institution in question, are used as sources of data. Sources of information by institution:</w:t>
      </w:r>
    </w:p>
    <w:p w14:paraId="48CD666F"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0ADF80A7"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United Nations General Assembly: </w:t>
      </w:r>
    </w:p>
    <w:p w14:paraId="3B572F5B"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website of the General Assembly</w:t>
      </w:r>
    </w:p>
    <w:p w14:paraId="1AC081B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663DF4AB"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United Nations Security Council: </w:t>
      </w:r>
    </w:p>
    <w:p w14:paraId="71E0291F"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Report of the Security Council for the respective year</w:t>
      </w:r>
    </w:p>
    <w:p w14:paraId="3F9684C5"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0C7052CF"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United Nations Economic and Social Council: </w:t>
      </w:r>
    </w:p>
    <w:p w14:paraId="4C258F7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Report of the Economic and Social Council for the respective year</w:t>
      </w:r>
    </w:p>
    <w:p w14:paraId="57FE8267"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59DD9B02"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International Monetary Fund: </w:t>
      </w:r>
    </w:p>
    <w:p w14:paraId="259083A7"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Annual Report for the respective year</w:t>
      </w:r>
    </w:p>
    <w:p w14:paraId="34177509"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02F1AC2C"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International Bank for Reconstruction and Development: </w:t>
      </w:r>
    </w:p>
    <w:p w14:paraId="0C66B58E"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Management’s Discussion &amp; Analysis and Financial Statements for the respective year</w:t>
      </w:r>
    </w:p>
    <w:p w14:paraId="5B4FCA73"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1F1681A6"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International Finance Corporation: </w:t>
      </w:r>
    </w:p>
    <w:p w14:paraId="3D788CBB"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Annual Report (volume 2) for the respective year</w:t>
      </w:r>
    </w:p>
    <w:p w14:paraId="54BBAA17"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3E790B1F"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African Development Bank: </w:t>
      </w:r>
    </w:p>
    <w:p w14:paraId="44AC8B23"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Annual Report for the respective year </w:t>
      </w:r>
    </w:p>
    <w:p w14:paraId="2A62A69E"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259EBA44"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Asian Development Bank: </w:t>
      </w:r>
    </w:p>
    <w:p w14:paraId="555C8563"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lastRenderedPageBreak/>
        <w:t>Annual Report for the respective year</w:t>
      </w:r>
    </w:p>
    <w:p w14:paraId="59761A21"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22D544CC"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Inter-American Development Bank: </w:t>
      </w:r>
    </w:p>
    <w:p w14:paraId="6ABD13A8"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Annual Report for the respective year</w:t>
      </w:r>
    </w:p>
    <w:p w14:paraId="72A81428"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351A3399"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World Trade Organisation: </w:t>
      </w:r>
    </w:p>
    <w:p w14:paraId="493A522B"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WTO Annual Report 2015</w:t>
      </w:r>
    </w:p>
    <w:p w14:paraId="5D6F1070"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08D68A35"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Financial Stability Board: </w:t>
      </w:r>
    </w:p>
    <w:p w14:paraId="2980CDD9"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Charters of the Financial Stability Board</w:t>
      </w:r>
    </w:p>
    <w:p w14:paraId="4D65D952"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574EF04F" w14:textId="77777777" w:rsidR="00336BAB" w:rsidRPr="00B1402E" w:rsidRDefault="00336BAB" w:rsidP="00336BAB">
      <w:pPr>
        <w:keepNext/>
        <w:keepLines/>
        <w:shd w:val="clear" w:color="auto" w:fill="FFFFFF"/>
        <w:spacing w:after="0"/>
        <w:contextualSpacing/>
        <w:rPr>
          <w:rFonts w:eastAsia="Times New Roman" w:cs="Times New Roman"/>
          <w:b/>
          <w:bCs/>
          <w:color w:val="4A4A4A"/>
          <w:sz w:val="21"/>
          <w:szCs w:val="21"/>
          <w:lang w:eastAsia="en-GB"/>
        </w:rPr>
      </w:pPr>
      <w:r w:rsidRPr="00B1402E">
        <w:rPr>
          <w:rFonts w:eastAsia="Times New Roman" w:cs="Times New Roman"/>
          <w:b/>
          <w:bCs/>
          <w:color w:val="4A4A4A"/>
          <w:sz w:val="21"/>
          <w:szCs w:val="21"/>
          <w:lang w:eastAsia="en-GB"/>
        </w:rPr>
        <w:t>List:</w:t>
      </w:r>
    </w:p>
    <w:p w14:paraId="04FBB66D" w14:textId="77777777" w:rsidR="00336BAB" w:rsidRPr="00B1402E" w:rsidRDefault="00336BAB" w:rsidP="00336BAB">
      <w:pPr>
        <w:keepNext/>
        <w:keepLines/>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General Assembly website; </w:t>
      </w:r>
    </w:p>
    <w:p w14:paraId="4792183D" w14:textId="77777777" w:rsidR="00336BAB" w:rsidRPr="00B1402E" w:rsidRDefault="00336BAB" w:rsidP="00336BAB">
      <w:pPr>
        <w:keepNext/>
        <w:keepLines/>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Report of the Security Council; </w:t>
      </w:r>
    </w:p>
    <w:p w14:paraId="4AB8AF2E" w14:textId="77777777" w:rsidR="00336BAB" w:rsidRPr="00B1402E" w:rsidRDefault="00336BAB" w:rsidP="00336BAB">
      <w:pPr>
        <w:keepNext/>
        <w:keepLines/>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Report of the Economic and Social Council, </w:t>
      </w:r>
    </w:p>
    <w:p w14:paraId="2A255B71" w14:textId="77777777" w:rsidR="00336BAB" w:rsidRPr="00B1402E" w:rsidRDefault="00336BAB" w:rsidP="00336BAB">
      <w:pPr>
        <w:keepNext/>
        <w:keepLines/>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Report of the International Monetary Fund; </w:t>
      </w:r>
    </w:p>
    <w:p w14:paraId="7631CED2" w14:textId="77777777" w:rsidR="00336BAB" w:rsidRPr="00B1402E" w:rsidRDefault="00336BAB" w:rsidP="00336BAB">
      <w:pPr>
        <w:keepNext/>
        <w:keepLines/>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IBRD's Management’s Discussion &amp; Analysis and Financial Statements; </w:t>
      </w:r>
    </w:p>
    <w:p w14:paraId="6FD84725" w14:textId="77777777" w:rsidR="00336BAB" w:rsidRPr="00B1402E" w:rsidRDefault="00336BAB" w:rsidP="00336BAB">
      <w:pPr>
        <w:keepNext/>
        <w:keepLines/>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IFC Annual Report (volume 2); </w:t>
      </w:r>
    </w:p>
    <w:p w14:paraId="572E5631"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AfDB Annual Report; </w:t>
      </w:r>
    </w:p>
    <w:p w14:paraId="27AD8A77"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ADB Annual Report; </w:t>
      </w:r>
    </w:p>
    <w:p w14:paraId="47A5C9F3"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IADB Annual Report; </w:t>
      </w:r>
    </w:p>
    <w:p w14:paraId="3E415D7F"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WTO Annual Report; </w:t>
      </w:r>
    </w:p>
    <w:p w14:paraId="3018A8D8" w14:textId="1168CADC" w:rsidR="00EC2915"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Charters of the Financial Stability Board</w:t>
      </w:r>
      <w:r w:rsidR="006972FF">
        <w:rPr>
          <w:rFonts w:eastAsia="Times New Roman" w:cs="Times New Roman"/>
          <w:color w:val="4A4A4A"/>
          <w:sz w:val="21"/>
          <w:szCs w:val="21"/>
          <w:lang w:eastAsia="en-GB"/>
        </w:rPr>
        <w:t>; FSB Annual Report</w:t>
      </w:r>
    </w:p>
    <w:p w14:paraId="798A0663" w14:textId="77777777" w:rsidR="00336BAB" w:rsidRPr="00336BAB" w:rsidRDefault="00336BAB" w:rsidP="00336BAB">
      <w:pPr>
        <w:shd w:val="clear" w:color="auto" w:fill="FFFFFF"/>
        <w:spacing w:after="0"/>
        <w:contextualSpacing/>
        <w:rPr>
          <w:rFonts w:eastAsia="Times New Roman" w:cs="Times New Roman"/>
          <w:color w:val="4A4A4A"/>
          <w:sz w:val="21"/>
          <w:szCs w:val="21"/>
          <w:lang w:eastAsia="en-GB"/>
        </w:rPr>
      </w:pPr>
    </w:p>
    <w:p w14:paraId="79368080" w14:textId="32CB9C2E" w:rsidR="008B0AC7" w:rsidRPr="00A96255" w:rsidRDefault="00576CFA" w:rsidP="00F719A8">
      <w:pPr>
        <w:pStyle w:val="MHeader2"/>
      </w:pPr>
      <w:r w:rsidRPr="00A96255">
        <w:t>3.b</w:t>
      </w:r>
      <w:r w:rsidR="008B0AC7" w:rsidRPr="00A96255">
        <w:t>. Data collection method</w:t>
      </w:r>
    </w:p>
    <w:p w14:paraId="4C80F6F3" w14:textId="21F4A4EE" w:rsidR="00DC4DEA" w:rsidRPr="00A96255" w:rsidRDefault="0063736F" w:rsidP="00576CFA">
      <w:pPr>
        <w:pStyle w:val="MText"/>
      </w:pPr>
      <w:r>
        <w:t>Desk review.</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41680532" w:rsidR="00576CFA" w:rsidRPr="00A96255" w:rsidRDefault="0063736F" w:rsidP="00576CFA">
      <w:pPr>
        <w:pStyle w:val="MText"/>
      </w:pPr>
      <w:bookmarkStart w:id="5" w:name="_Hlk72332444"/>
      <w:r>
        <w:t>Annual</w:t>
      </w:r>
      <w:r w:rsidR="00C51E3F">
        <w:t>ly in March.</w:t>
      </w:r>
      <w:bookmarkEnd w:id="5"/>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7F039144"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United Nations General Assembly:</w:t>
      </w:r>
    </w:p>
    <w:p w14:paraId="46E8D2E4"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continuous</w:t>
      </w:r>
    </w:p>
    <w:p w14:paraId="6CEF51F6"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3428421B"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United Nations Security Council:</w:t>
      </w:r>
    </w:p>
    <w:p w14:paraId="077CC37A"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annually in September </w:t>
      </w:r>
    </w:p>
    <w:p w14:paraId="5863E59A"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0B6C2D53" w14:textId="77777777" w:rsidR="00336BAB" w:rsidRPr="00B1402E" w:rsidRDefault="00336BAB" w:rsidP="00336BAB">
      <w:pPr>
        <w:keepNext/>
        <w:keepLines/>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United Nations Economic and Social Council: </w:t>
      </w:r>
    </w:p>
    <w:p w14:paraId="50137D9A" w14:textId="77777777" w:rsidR="00336BAB" w:rsidRPr="00B1402E" w:rsidRDefault="00336BAB" w:rsidP="00336BAB">
      <w:pPr>
        <w:keepNext/>
        <w:keepLines/>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annually in October</w:t>
      </w:r>
    </w:p>
    <w:p w14:paraId="16C65C7B"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52D6A4D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International Monetary Fund: </w:t>
      </w:r>
    </w:p>
    <w:p w14:paraId="0F7F8562"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annually in October </w:t>
      </w:r>
    </w:p>
    <w:p w14:paraId="2A2CC4F0"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128BF7D8"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International Bank for Reconstruction and Development: </w:t>
      </w:r>
    </w:p>
    <w:p w14:paraId="1EAFC5FB"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annually in September </w:t>
      </w:r>
    </w:p>
    <w:p w14:paraId="584ADD9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4B24A90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International Finance Corporation: </w:t>
      </w:r>
    </w:p>
    <w:p w14:paraId="58762978"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annually in September</w:t>
      </w:r>
    </w:p>
    <w:p w14:paraId="4821C0F4"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51F41ABE"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African Development Bank: </w:t>
      </w:r>
    </w:p>
    <w:p w14:paraId="1CB2DD84"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annually in May </w:t>
      </w:r>
    </w:p>
    <w:p w14:paraId="14E8D969"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43E95D6C"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Asian Development Bank: </w:t>
      </w:r>
    </w:p>
    <w:p w14:paraId="6AB1CEA0"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annually in April </w:t>
      </w:r>
    </w:p>
    <w:p w14:paraId="4250BA86"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2E107DD3"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Inter-American Development Bank: </w:t>
      </w:r>
    </w:p>
    <w:p w14:paraId="49B7C4A5"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annually in April </w:t>
      </w:r>
    </w:p>
    <w:p w14:paraId="29FFC23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53CB5EE6"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World Trade Organisation: </w:t>
      </w:r>
    </w:p>
    <w:p w14:paraId="3C0474FF"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annually in May </w:t>
      </w:r>
    </w:p>
    <w:p w14:paraId="12093381"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06099FA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Financial Stability Board: </w:t>
      </w:r>
    </w:p>
    <w:p w14:paraId="3A3F7216"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annually in January </w:t>
      </w:r>
    </w:p>
    <w:p w14:paraId="2F087F59"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740A4C80"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(UNGA: continuous UNSC: September 2016 ECOSOC: October 2016 IMF: October 2016 IBRD: September 2016 IFC: September 2016 AfDB: May 2017 ADB: April 2017 IADB: April 2017 WTO: May 2017 FSB: January 2017)</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12C17057"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b/>
          <w:bCs/>
          <w:color w:val="4A4A4A"/>
          <w:sz w:val="21"/>
          <w:szCs w:val="21"/>
          <w:lang w:eastAsia="en-GB"/>
        </w:rPr>
        <w:t>Name:</w:t>
      </w:r>
    </w:p>
    <w:p w14:paraId="21FF7B78"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UNGA, UNSC, ECOSOC, IMF, IBRD, IFC, AfDB, ADB, IADB, WTO, FSB</w:t>
      </w:r>
    </w:p>
    <w:p w14:paraId="61307778" w14:textId="77777777" w:rsidR="00336BAB" w:rsidRPr="00B1402E" w:rsidRDefault="00336BAB" w:rsidP="00336BAB">
      <w:pPr>
        <w:shd w:val="clear" w:color="auto" w:fill="FFFFFF"/>
        <w:spacing w:after="0"/>
        <w:contextualSpacing/>
        <w:rPr>
          <w:rFonts w:eastAsia="Times New Roman" w:cs="Times New Roman"/>
          <w:b/>
          <w:bCs/>
          <w:color w:val="4A4A4A"/>
          <w:sz w:val="21"/>
          <w:szCs w:val="21"/>
          <w:lang w:eastAsia="en-GB"/>
        </w:rPr>
      </w:pPr>
    </w:p>
    <w:p w14:paraId="1B641E5F"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b/>
          <w:bCs/>
          <w:color w:val="4A4A4A"/>
          <w:sz w:val="21"/>
          <w:szCs w:val="21"/>
          <w:lang w:eastAsia="en-GB"/>
        </w:rPr>
        <w:t>Description:</w:t>
      </w:r>
    </w:p>
    <w:p w14:paraId="6AEDEBF0"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758DBD6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b/>
          <w:bCs/>
          <w:color w:val="4A4A4A"/>
          <w:sz w:val="21"/>
          <w:szCs w:val="21"/>
          <w:lang w:eastAsia="en-GB"/>
        </w:rPr>
        <w:t>Name:</w:t>
      </w:r>
    </w:p>
    <w:p w14:paraId="59A8FB34"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FFD/UN-DESA</w:t>
      </w:r>
    </w:p>
    <w:p w14:paraId="42B9D66D"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6E63F9F2"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b/>
          <w:bCs/>
          <w:color w:val="4A4A4A"/>
          <w:sz w:val="21"/>
          <w:szCs w:val="21"/>
          <w:lang w:eastAsia="en-GB"/>
        </w:rPr>
        <w:t>Description:</w:t>
      </w:r>
    </w:p>
    <w:p w14:paraId="0C78BDC4" w14:textId="3755A56F"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 xml:space="preserve">The data is compiled and the proportions calculated by the Financing for </w:t>
      </w:r>
      <w:r w:rsidR="004B100D">
        <w:rPr>
          <w:rFonts w:eastAsia="Times New Roman" w:cs="Times New Roman"/>
          <w:color w:val="4A4A4A"/>
          <w:sz w:val="21"/>
          <w:szCs w:val="21"/>
          <w:lang w:eastAsia="en-GB"/>
        </w:rPr>
        <w:t xml:space="preserve">Sustainable </w:t>
      </w:r>
      <w:r w:rsidRPr="00B1402E">
        <w:rPr>
          <w:rFonts w:eastAsia="Times New Roman" w:cs="Times New Roman"/>
          <w:color w:val="4A4A4A"/>
          <w:sz w:val="21"/>
          <w:szCs w:val="21"/>
          <w:lang w:eastAsia="en-GB"/>
        </w:rPr>
        <w:t>Development Office, United Nations Department of Economic and Social Affairs.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lastRenderedPageBreak/>
        <w:t>4. Other methodological considerations</w:t>
      </w:r>
    </w:p>
    <w:p w14:paraId="1AFA5517" w14:textId="54FD9B10" w:rsidR="00AF5ED1" w:rsidRPr="00A96255" w:rsidRDefault="00576CFA" w:rsidP="00F719A8">
      <w:pPr>
        <w:pStyle w:val="MHeader2"/>
      </w:pPr>
      <w:r w:rsidRPr="00A96255">
        <w:t>4.a. Rationale</w:t>
      </w:r>
    </w:p>
    <w:p w14:paraId="18EA7892" w14:textId="7A1365D4" w:rsidR="00576CFA" w:rsidRDefault="00336BAB" w:rsidP="00576CFA">
      <w:pPr>
        <w:pStyle w:val="MText"/>
      </w:pPr>
      <w:r w:rsidRPr="00336BAB">
        <w:t>The United Nations is based on a principle of sovereign equality of all its Member States (Article 2, UN Charter). This indicator aims to measure the degree to which States enjoy equal representation in different international organizations.</w:t>
      </w:r>
    </w:p>
    <w:p w14:paraId="553673E5" w14:textId="77777777" w:rsidR="00336BAB" w:rsidRPr="00A96255" w:rsidRDefault="00336BAB" w:rsidP="00576CFA">
      <w:pPr>
        <w:pStyle w:val="MText"/>
      </w:pPr>
    </w:p>
    <w:p w14:paraId="2529B069" w14:textId="618DCD10" w:rsidR="00E1050F" w:rsidRPr="00A96255" w:rsidRDefault="00E1050F" w:rsidP="00F719A8">
      <w:pPr>
        <w:pStyle w:val="MHeader2"/>
      </w:pPr>
      <w:r w:rsidRPr="00A96255">
        <w:t>4.b. Comment and limitations</w:t>
      </w:r>
    </w:p>
    <w:p w14:paraId="398C00AE" w14:textId="671C7254" w:rsidR="00EC2915" w:rsidRDefault="00336BAB" w:rsidP="00576CFA">
      <w:pPr>
        <w:pStyle w:val="MText"/>
      </w:pPr>
      <w:r w:rsidRPr="00336BAB">
        <w:t>Cross institutional comparisons need to pay attention to the different membership of the institutions. Voting rights and membership in their institutions are agreed by the Member States themselves. As a structural indicator, there will be only small changes over time to reflect agreement on new States joining as Members, suspension of voting rights, membership withdrawal and negotiated voting rights changes.</w:t>
      </w:r>
    </w:p>
    <w:p w14:paraId="206BE244" w14:textId="77777777" w:rsidR="00336BAB" w:rsidRPr="00A96255" w:rsidRDefault="00336BAB" w:rsidP="00576CFA">
      <w:pPr>
        <w:pStyle w:val="MText"/>
      </w:pPr>
    </w:p>
    <w:p w14:paraId="79EEEE38" w14:textId="75AB172D" w:rsidR="00E1050F" w:rsidRPr="00A96255" w:rsidRDefault="00E1050F" w:rsidP="00F719A8">
      <w:pPr>
        <w:pStyle w:val="MHeader2"/>
      </w:pPr>
      <w:r w:rsidRPr="00A96255">
        <w:t>4.c. Method of computation</w:t>
      </w:r>
    </w:p>
    <w:p w14:paraId="6A89839E" w14:textId="17791D66" w:rsidR="00576CFA" w:rsidRDefault="00336BAB" w:rsidP="00576CFA">
      <w:pPr>
        <w:pStyle w:val="MText"/>
      </w:pPr>
      <w:r w:rsidRPr="00336BAB">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p w14:paraId="1C698A54" w14:textId="77777777" w:rsidR="00336BAB" w:rsidRPr="00A96255" w:rsidRDefault="00336BAB" w:rsidP="00576CFA">
      <w:pPr>
        <w:pStyle w:val="MText"/>
      </w:pPr>
    </w:p>
    <w:p w14:paraId="514CE3C0" w14:textId="3F3F7A53" w:rsidR="00E1050F" w:rsidRPr="00A96255" w:rsidRDefault="00576CFA" w:rsidP="00F719A8">
      <w:pPr>
        <w:pStyle w:val="MHeader2"/>
      </w:pPr>
      <w:r w:rsidRPr="00A96255">
        <w:t>4.d. Validation</w:t>
      </w:r>
    </w:p>
    <w:p w14:paraId="388B39BD" w14:textId="663F1E67" w:rsidR="00576CFA" w:rsidRPr="00A96255" w:rsidRDefault="00AF5A56" w:rsidP="00576CFA">
      <w:pPr>
        <w:pStyle w:val="MText"/>
      </w:pPr>
      <w:bookmarkStart w:id="6" w:name="_Hlk72332568"/>
      <w:r>
        <w:t>N/A</w:t>
      </w:r>
      <w:bookmarkEnd w:id="6"/>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4AC52FA" w14:textId="1B84ADC9" w:rsidR="00DC4DEA" w:rsidRPr="00A96255" w:rsidRDefault="00AF5A56" w:rsidP="00576CFA">
      <w:pPr>
        <w:pStyle w:val="MText"/>
      </w:pPr>
      <w:r>
        <w:t>N/A</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67043C18" w14:textId="417B291A" w:rsidR="00D51E7C" w:rsidRDefault="0043400D" w:rsidP="00DA615C">
      <w:pPr>
        <w:pStyle w:val="MText"/>
      </w:pPr>
      <w:r>
        <w:t>N/A</w:t>
      </w:r>
    </w:p>
    <w:p w14:paraId="2CE4923A" w14:textId="77777777" w:rsidR="00597963" w:rsidRDefault="00597963" w:rsidP="00DA615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0D4D0D5F" w:rsidR="00576CFA" w:rsidRPr="00A96255" w:rsidRDefault="008368E6" w:rsidP="00E1050F">
      <w:pPr>
        <w:pStyle w:val="MText"/>
      </w:pPr>
      <w:bookmarkStart w:id="7" w:name="_Hlk72332666"/>
      <w:r>
        <w:t>Aggregations are additive, with no weighting.</w:t>
      </w:r>
      <w:bookmarkEnd w:id="7"/>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3DE75F1" w14:textId="0FA39731" w:rsidR="00DC4DEA" w:rsidRPr="00A96255" w:rsidRDefault="007C5666" w:rsidP="00576CFA">
      <w:pPr>
        <w:pStyle w:val="MText"/>
      </w:pPr>
      <w:r>
        <w:t>N/A</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56BAA24" w14:textId="11EBEFA5" w:rsidR="00576CFA" w:rsidRPr="00A96255" w:rsidRDefault="007C5666" w:rsidP="00576CFA">
      <w:pPr>
        <w:pStyle w:val="MText"/>
      </w:pPr>
      <w:bookmarkStart w:id="8" w:name="_Hlk72332696"/>
      <w:r>
        <w:t>Internal review.</w:t>
      </w:r>
      <w:bookmarkEnd w:id="8"/>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4.j Quality assurance</w:t>
      </w:r>
    </w:p>
    <w:p w14:paraId="03EF3244" w14:textId="623A2840" w:rsidR="00EC2915" w:rsidRDefault="00EC2915" w:rsidP="00576CFA">
      <w:pPr>
        <w:pStyle w:val="MText"/>
      </w:pPr>
    </w:p>
    <w:p w14:paraId="6C270FCA" w14:textId="77777777" w:rsidR="00597963" w:rsidRPr="00A96255" w:rsidRDefault="00597963"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5B7C52CE" w14:textId="3195B1D8" w:rsidR="00576CFA" w:rsidRDefault="00576CFA" w:rsidP="00576CFA">
      <w:pPr>
        <w:pStyle w:val="MText"/>
      </w:pPr>
    </w:p>
    <w:p w14:paraId="56D46FE1" w14:textId="77777777" w:rsidR="00597963" w:rsidRPr="00A96255" w:rsidRDefault="00597963" w:rsidP="00576CFA">
      <w:pPr>
        <w:pStyle w:val="MText"/>
      </w:pPr>
    </w:p>
    <w:p w14:paraId="4CD8F3EF" w14:textId="0B631D7C" w:rsidR="00F719A8" w:rsidRPr="00336BAB" w:rsidRDefault="00576CFA" w:rsidP="00336BAB">
      <w:pPr>
        <w:pStyle w:val="MHeader"/>
        <w:spacing w:after="100"/>
      </w:pPr>
      <w:r w:rsidRPr="00A96255">
        <w:t>5. Data availability and disaggregation</w:t>
      </w:r>
    </w:p>
    <w:p w14:paraId="464A8CCF" w14:textId="63537C48" w:rsidR="00576CFA" w:rsidRPr="00336BAB" w:rsidRDefault="00D51E7C" w:rsidP="00576CFA">
      <w:pPr>
        <w:pStyle w:val="MText"/>
      </w:pPr>
      <w:r w:rsidRPr="00336BAB">
        <w:t>Data availability:</w:t>
      </w:r>
    </w:p>
    <w:p w14:paraId="19866AA1"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color w:val="4A4A4A"/>
          <w:sz w:val="21"/>
          <w:szCs w:val="21"/>
          <w:lang w:eastAsia="en-GB"/>
        </w:rPr>
        <w:t>Available for all countries.</w:t>
      </w:r>
    </w:p>
    <w:p w14:paraId="2D0542F7" w14:textId="3DE6BFAB" w:rsidR="00D51E7C" w:rsidRPr="00C019E5" w:rsidRDefault="00D51E7C" w:rsidP="00576CFA">
      <w:pPr>
        <w:pStyle w:val="MText"/>
        <w:rPr>
          <w:highlight w:val="cyan"/>
        </w:rPr>
      </w:pPr>
    </w:p>
    <w:p w14:paraId="5853D6F7" w14:textId="44EE14E1" w:rsidR="00D51E7C" w:rsidRPr="007407C3" w:rsidRDefault="00D51E7C" w:rsidP="00576CFA">
      <w:pPr>
        <w:pStyle w:val="MText"/>
      </w:pPr>
      <w:r w:rsidRPr="007407C3">
        <w:t>Time series:</w:t>
      </w:r>
    </w:p>
    <w:p w14:paraId="794351FA" w14:textId="77777777" w:rsidR="00F17947" w:rsidRPr="007407C3" w:rsidRDefault="00F17947" w:rsidP="00F17947">
      <w:pPr>
        <w:pStyle w:val="MText"/>
      </w:pPr>
      <w:r w:rsidRPr="007407C3">
        <w:t>2000, 2005, 2010, 2015, and annually thereafter</w:t>
      </w:r>
    </w:p>
    <w:p w14:paraId="760C013A" w14:textId="4597FCBD" w:rsidR="00D51E7C" w:rsidRPr="00C019E5" w:rsidRDefault="00D51E7C" w:rsidP="00576CFA">
      <w:pPr>
        <w:pStyle w:val="MText"/>
        <w:rPr>
          <w:highlight w:val="cyan"/>
        </w:rPr>
      </w:pPr>
    </w:p>
    <w:p w14:paraId="72C7C370" w14:textId="665645A8" w:rsidR="00D51E7C" w:rsidRDefault="00D51E7C" w:rsidP="00576CFA">
      <w:pPr>
        <w:pStyle w:val="MText"/>
      </w:pPr>
      <w:r w:rsidRPr="00336BAB">
        <w:t>Disaggregation:</w:t>
      </w:r>
    </w:p>
    <w:p w14:paraId="16BB243C" w14:textId="17400C51" w:rsidR="00336BAB" w:rsidRDefault="00336BAB" w:rsidP="00576CFA">
      <w:pPr>
        <w:pStyle w:val="MText"/>
      </w:pPr>
      <w:r w:rsidRPr="00336BAB">
        <w:t>Data is calculated and presented separately for each international organization.</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08AEC0" w14:textId="37633E2C" w:rsidR="00576CFA" w:rsidRPr="00A96255" w:rsidRDefault="004D0D8C" w:rsidP="00576CFA">
      <w:pPr>
        <w:pStyle w:val="MText"/>
      </w:pPr>
      <w:bookmarkStart w:id="9" w:name="_GoBack"/>
      <w:bookmarkEnd w:id="9"/>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60848AA"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r w:rsidRPr="00B1402E">
        <w:rPr>
          <w:rFonts w:eastAsia="Times New Roman" w:cs="Times New Roman"/>
          <w:b/>
          <w:bCs/>
          <w:color w:val="4A4A4A"/>
          <w:sz w:val="21"/>
          <w:szCs w:val="21"/>
          <w:lang w:eastAsia="en-GB"/>
        </w:rPr>
        <w:t>URL:</w:t>
      </w:r>
    </w:p>
    <w:p w14:paraId="26D85742" w14:textId="77777777" w:rsidR="00336BAB" w:rsidRPr="00B1402E" w:rsidRDefault="00336BAB" w:rsidP="00336BAB">
      <w:pPr>
        <w:shd w:val="clear" w:color="auto" w:fill="FFFFFF"/>
        <w:spacing w:after="0"/>
        <w:contextualSpacing/>
        <w:rPr>
          <w:rFonts w:eastAsia="Times New Roman" w:cs="Times New Roman"/>
          <w:color w:val="4A4A4A"/>
          <w:sz w:val="21"/>
          <w:szCs w:val="21"/>
          <w:lang w:eastAsia="en-GB"/>
        </w:rPr>
      </w:pPr>
    </w:p>
    <w:p w14:paraId="54984CFA" w14:textId="77777777" w:rsidR="00336BAB" w:rsidRPr="00B1402E" w:rsidRDefault="007407C3" w:rsidP="00336BAB">
      <w:pPr>
        <w:shd w:val="clear" w:color="auto" w:fill="FFFFFF"/>
        <w:spacing w:after="0"/>
        <w:contextualSpacing/>
        <w:rPr>
          <w:rFonts w:eastAsia="Times New Roman" w:cs="Times New Roman"/>
          <w:color w:val="4A4A4A"/>
          <w:sz w:val="21"/>
          <w:szCs w:val="21"/>
          <w:lang w:eastAsia="en-GB"/>
        </w:rPr>
      </w:pPr>
      <w:hyperlink r:id="rId11" w:history="1">
        <w:r w:rsidR="00336BAB" w:rsidRPr="00B1402E">
          <w:rPr>
            <w:rStyle w:val="Hyperlink"/>
            <w:rFonts w:eastAsia="Times New Roman" w:cs="Times New Roman"/>
            <w:sz w:val="21"/>
            <w:szCs w:val="21"/>
            <w:lang w:eastAsia="en-GB"/>
          </w:rPr>
          <w:t>https://www.un.org/development/desa/en/</w:t>
        </w:r>
      </w:hyperlink>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A269E" w14:textId="77777777" w:rsidR="00DC6538" w:rsidRDefault="00DC6538" w:rsidP="00573C0B">
      <w:pPr>
        <w:spacing w:after="0" w:line="240" w:lineRule="auto"/>
      </w:pPr>
      <w:r>
        <w:separator/>
      </w:r>
    </w:p>
  </w:endnote>
  <w:endnote w:type="continuationSeparator" w:id="0">
    <w:p w14:paraId="04BC7DA2" w14:textId="77777777" w:rsidR="00DC6538" w:rsidRDefault="00DC6538" w:rsidP="00573C0B">
      <w:pPr>
        <w:spacing w:after="0" w:line="240" w:lineRule="auto"/>
      </w:pPr>
      <w:r>
        <w:continuationSeparator/>
      </w:r>
    </w:p>
  </w:endnote>
  <w:endnote w:type="continuationNotice" w:id="1">
    <w:p w14:paraId="192790F7" w14:textId="77777777" w:rsidR="00DC6538" w:rsidRDefault="00DC65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0D6DD" w14:textId="77777777" w:rsidR="00DC6538" w:rsidRDefault="00DC6538" w:rsidP="00573C0B">
      <w:pPr>
        <w:spacing w:after="0" w:line="240" w:lineRule="auto"/>
      </w:pPr>
      <w:r>
        <w:separator/>
      </w:r>
    </w:p>
  </w:footnote>
  <w:footnote w:type="continuationSeparator" w:id="0">
    <w:p w14:paraId="37F2E2C8" w14:textId="77777777" w:rsidR="00DC6538" w:rsidRDefault="00DC6538" w:rsidP="00573C0B">
      <w:pPr>
        <w:spacing w:after="0" w:line="240" w:lineRule="auto"/>
      </w:pPr>
      <w:r>
        <w:continuationSeparator/>
      </w:r>
    </w:p>
  </w:footnote>
  <w:footnote w:type="continuationNotice" w:id="1">
    <w:p w14:paraId="31A9B2D6" w14:textId="77777777" w:rsidR="00DC6538" w:rsidRDefault="00DC65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29732875"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530842">
      <w:rPr>
        <w:color w:val="404040" w:themeColor="text1" w:themeTint="BF"/>
        <w:sz w:val="18"/>
        <w:szCs w:val="18"/>
      </w:rPr>
      <w:t>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41C2D"/>
    <w:rsid w:val="00185354"/>
    <w:rsid w:val="001854DC"/>
    <w:rsid w:val="00186795"/>
    <w:rsid w:val="00194D09"/>
    <w:rsid w:val="001A7D5C"/>
    <w:rsid w:val="001B60AA"/>
    <w:rsid w:val="001B63C8"/>
    <w:rsid w:val="001C1972"/>
    <w:rsid w:val="001C421F"/>
    <w:rsid w:val="001D360D"/>
    <w:rsid w:val="00261A8D"/>
    <w:rsid w:val="00283C1C"/>
    <w:rsid w:val="0029125A"/>
    <w:rsid w:val="00291A00"/>
    <w:rsid w:val="00291A11"/>
    <w:rsid w:val="002A315C"/>
    <w:rsid w:val="002A3342"/>
    <w:rsid w:val="002A64BA"/>
    <w:rsid w:val="002B4989"/>
    <w:rsid w:val="002C2510"/>
    <w:rsid w:val="002D714E"/>
    <w:rsid w:val="002E53C3"/>
    <w:rsid w:val="002E5D95"/>
    <w:rsid w:val="002F1468"/>
    <w:rsid w:val="002F5F0C"/>
    <w:rsid w:val="003265EB"/>
    <w:rsid w:val="00336BA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3400D"/>
    <w:rsid w:val="004456ED"/>
    <w:rsid w:val="0048045A"/>
    <w:rsid w:val="004841B8"/>
    <w:rsid w:val="004930F2"/>
    <w:rsid w:val="004B0F1C"/>
    <w:rsid w:val="004B100D"/>
    <w:rsid w:val="004D0D8C"/>
    <w:rsid w:val="004F2EE6"/>
    <w:rsid w:val="00502DBA"/>
    <w:rsid w:val="005040C4"/>
    <w:rsid w:val="00507637"/>
    <w:rsid w:val="00507852"/>
    <w:rsid w:val="00514DBF"/>
    <w:rsid w:val="00530842"/>
    <w:rsid w:val="00550921"/>
    <w:rsid w:val="00563712"/>
    <w:rsid w:val="00573631"/>
    <w:rsid w:val="00573C0B"/>
    <w:rsid w:val="00576CFA"/>
    <w:rsid w:val="0058556D"/>
    <w:rsid w:val="00592AF2"/>
    <w:rsid w:val="005947AD"/>
    <w:rsid w:val="00597748"/>
    <w:rsid w:val="00597963"/>
    <w:rsid w:val="005979E8"/>
    <w:rsid w:val="005C7630"/>
    <w:rsid w:val="005D0AF4"/>
    <w:rsid w:val="005E54BD"/>
    <w:rsid w:val="005F6CCA"/>
    <w:rsid w:val="006104AF"/>
    <w:rsid w:val="00621893"/>
    <w:rsid w:val="006351E1"/>
    <w:rsid w:val="0063736F"/>
    <w:rsid w:val="006447B1"/>
    <w:rsid w:val="00662775"/>
    <w:rsid w:val="006852FC"/>
    <w:rsid w:val="006972FF"/>
    <w:rsid w:val="006B40AB"/>
    <w:rsid w:val="006B5DC5"/>
    <w:rsid w:val="006C4BFD"/>
    <w:rsid w:val="006C7D30"/>
    <w:rsid w:val="006E3C08"/>
    <w:rsid w:val="00700ACF"/>
    <w:rsid w:val="00712487"/>
    <w:rsid w:val="007407C3"/>
    <w:rsid w:val="007530CA"/>
    <w:rsid w:val="00756D68"/>
    <w:rsid w:val="007578D9"/>
    <w:rsid w:val="00757E8A"/>
    <w:rsid w:val="00763E43"/>
    <w:rsid w:val="00764EB5"/>
    <w:rsid w:val="007737B0"/>
    <w:rsid w:val="00777A95"/>
    <w:rsid w:val="00782416"/>
    <w:rsid w:val="007B0364"/>
    <w:rsid w:val="007C20F0"/>
    <w:rsid w:val="007C5666"/>
    <w:rsid w:val="007D0981"/>
    <w:rsid w:val="007D1929"/>
    <w:rsid w:val="00803CF1"/>
    <w:rsid w:val="008104BB"/>
    <w:rsid w:val="008249C5"/>
    <w:rsid w:val="008368E6"/>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72AA8"/>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A56"/>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51E3F"/>
    <w:rsid w:val="00CB4371"/>
    <w:rsid w:val="00CC516D"/>
    <w:rsid w:val="00D24330"/>
    <w:rsid w:val="00D40056"/>
    <w:rsid w:val="00D51E7C"/>
    <w:rsid w:val="00D54F29"/>
    <w:rsid w:val="00D7020C"/>
    <w:rsid w:val="00D7081F"/>
    <w:rsid w:val="00D70AD9"/>
    <w:rsid w:val="00D72152"/>
    <w:rsid w:val="00D94BA5"/>
    <w:rsid w:val="00D9510F"/>
    <w:rsid w:val="00DA615C"/>
    <w:rsid w:val="00DC4DEA"/>
    <w:rsid w:val="00DC6538"/>
    <w:rsid w:val="00DD1BC6"/>
    <w:rsid w:val="00DE5DC3"/>
    <w:rsid w:val="00E00D8A"/>
    <w:rsid w:val="00E1050F"/>
    <w:rsid w:val="00E11604"/>
    <w:rsid w:val="00E11D92"/>
    <w:rsid w:val="00E130A0"/>
    <w:rsid w:val="00E210C4"/>
    <w:rsid w:val="00E23DB7"/>
    <w:rsid w:val="00E27E3C"/>
    <w:rsid w:val="00E46D96"/>
    <w:rsid w:val="00E52CCA"/>
    <w:rsid w:val="00E66409"/>
    <w:rsid w:val="00E76BD6"/>
    <w:rsid w:val="00E81D5B"/>
    <w:rsid w:val="00E976B9"/>
    <w:rsid w:val="00EA05D3"/>
    <w:rsid w:val="00EB19AD"/>
    <w:rsid w:val="00EB2F31"/>
    <w:rsid w:val="00EB6493"/>
    <w:rsid w:val="00EC2915"/>
    <w:rsid w:val="00ED05A9"/>
    <w:rsid w:val="00ED1BA0"/>
    <w:rsid w:val="00ED2123"/>
    <w:rsid w:val="00F17257"/>
    <w:rsid w:val="00F17947"/>
    <w:rsid w:val="00F255A2"/>
    <w:rsid w:val="00F34D24"/>
    <w:rsid w:val="00F4130B"/>
    <w:rsid w:val="00F556A2"/>
    <w:rsid w:val="00F719A8"/>
    <w:rsid w:val="00F878B9"/>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205719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org/development/desa/e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DFED4EB9-8026-4418-B87D-C42335D49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2021-07-06T04:23:00Z</dcterms:created>
  <dcterms:modified xsi:type="dcterms:W3CDTF">2021-07-06T04:23:00Z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