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47EF6807" w:rsidR="0058556D" w:rsidRPr="004B0A64" w:rsidRDefault="00DC5CA5" w:rsidP="004B0A64">
      <w:pPr>
        <w:pStyle w:val="MGTHeader"/>
      </w:pPr>
      <w:bookmarkStart w:id="0" w:name="_Hlk526121308"/>
      <w:r>
        <w:t>Goal 10:</w:t>
      </w:r>
      <w:bookmarkStart w:id="1" w:name="_GoBack"/>
      <w:bookmarkEnd w:id="1"/>
      <w:r w:rsidR="004C5B7F" w:rsidRPr="004B0A64">
        <w:t xml:space="preserve"> Reduce inequality within and among countries</w:t>
      </w:r>
      <w:bookmarkEnd w:id="0"/>
    </w:p>
    <w:p w14:paraId="190357AD" w14:textId="4F1E24C6" w:rsidR="0058556D" w:rsidRPr="004B0A64" w:rsidRDefault="00DC5CA5" w:rsidP="004B0A64">
      <w:pPr>
        <w:pStyle w:val="MGTHeader"/>
      </w:pPr>
      <w:r>
        <w:t>Target</w:t>
      </w:r>
      <w:r w:rsidR="0058556D" w:rsidRPr="004B0A64">
        <w:t xml:space="preserve"> </w:t>
      </w:r>
      <w:bookmarkStart w:id="2" w:name="_Hlk526121322"/>
      <w:r w:rsidR="004C5B7F" w:rsidRPr="004B0A64">
        <w:t>10.7</w:t>
      </w:r>
      <w:r>
        <w:t>:</w:t>
      </w:r>
      <w:r w:rsidR="004C5B7F" w:rsidRPr="004B0A64">
        <w:t xml:space="preserve"> Facilitate orderly, safe, regular and responsible migration and mobility of people, including through the implementation of planned and well-managed migration policies</w:t>
      </w:r>
    </w:p>
    <w:p w14:paraId="304744C4" w14:textId="1BA33D48" w:rsidR="0058556D" w:rsidRPr="004B0A64" w:rsidRDefault="00DC5CA5" w:rsidP="004B0A64">
      <w:pPr>
        <w:pStyle w:val="MIndHeader"/>
      </w:pPr>
      <w:bookmarkStart w:id="3" w:name="_Hlk526121334"/>
      <w:bookmarkEnd w:id="2"/>
      <w:r>
        <w:t>Indicator</w:t>
      </w:r>
      <w:r w:rsidR="004C5B7F" w:rsidRPr="004B0A64">
        <w:t xml:space="preserve"> 10.7.1</w:t>
      </w:r>
      <w:r>
        <w:t>:</w:t>
      </w:r>
      <w:r w:rsidR="004C5B7F" w:rsidRPr="004B0A64">
        <w:t xml:space="preserve"> Recruitment cost borne by employee as a proportion of yearly income earned in country of destination</w:t>
      </w:r>
    </w:p>
    <w:bookmarkEnd w:id="3"/>
    <w:p w14:paraId="32A3DF5D" w14:textId="77777777" w:rsidR="0084686A" w:rsidRPr="0084686A" w:rsidRDefault="0084686A" w:rsidP="00573C0B">
      <w:pPr>
        <w:pStyle w:val="MHeader"/>
        <w:rPr>
          <w:sz w:val="26"/>
          <w:szCs w:val="26"/>
        </w:rPr>
      </w:pPr>
    </w:p>
    <w:p w14:paraId="7D238643" w14:textId="0DB9F976"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41AE85B3" w14:textId="19FF665E" w:rsidR="004C5B7F" w:rsidRPr="0084686A" w:rsidRDefault="004C5B7F" w:rsidP="0084686A">
      <w:pPr>
        <w:pStyle w:val="MText"/>
      </w:pPr>
      <w:bookmarkStart w:id="4" w:name="_Hlk526119319"/>
      <w:r w:rsidRPr="0084686A">
        <w:t xml:space="preserve">International Labour Organization (ILO) </w:t>
      </w:r>
      <w:r w:rsidR="0042357B" w:rsidRPr="0084686A">
        <w:t xml:space="preserve">and </w:t>
      </w:r>
      <w:r w:rsidRPr="0084686A">
        <w:t>World Bank (WB)</w:t>
      </w:r>
    </w:p>
    <w:bookmarkEnd w:id="4"/>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84686A">
      <w:pPr>
        <w:pStyle w:val="MHeader"/>
      </w:pPr>
      <w:r w:rsidRPr="00573631">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62D6F895" w:rsidR="0058556D" w:rsidRPr="00573631" w:rsidRDefault="0058556D" w:rsidP="0084686A">
      <w:pPr>
        <w:pStyle w:val="MSubHeader"/>
      </w:pPr>
      <w:r w:rsidRPr="00573631">
        <w:t>Definition</w:t>
      </w:r>
      <w:r w:rsidR="00A04466">
        <w:t>s</w:t>
      </w:r>
      <w:r w:rsidRPr="00573631">
        <w:t>:</w:t>
      </w:r>
    </w:p>
    <w:p w14:paraId="2C15E317" w14:textId="4F4E2FA4" w:rsidR="0058556D" w:rsidRDefault="00A04466" w:rsidP="0084686A">
      <w:pPr>
        <w:pStyle w:val="MText"/>
      </w:pPr>
      <w:bookmarkStart w:id="5" w:name="_Hlk526121701"/>
      <w:r w:rsidRPr="00A04466">
        <w:t>SDG indicator 10.7.1 is defined as: “Recruitment cost borne by employee as a proportion of monthly income earned in country of destination”, i.e. a ratio between a cost measure and an income</w:t>
      </w:r>
      <w:r>
        <w:t xml:space="preserve"> </w:t>
      </w:r>
      <w:r w:rsidRPr="00A04466">
        <w:t>measur</w:t>
      </w:r>
      <w:r>
        <w:t>e. T</w:t>
      </w:r>
      <w:r w:rsidRPr="00A04466">
        <w:t>he statistics used for the numerators and denominators for indicator 10.7.1 should be based on costs and earnings observed for the same</w:t>
      </w:r>
      <w:r>
        <w:t xml:space="preserve"> individual international migrant worker.</w:t>
      </w:r>
    </w:p>
    <w:bookmarkEnd w:id="5"/>
    <w:p w14:paraId="4BECD4FE" w14:textId="57B3F501" w:rsidR="00A04466" w:rsidRDefault="00A04466"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84686A">
      <w:pPr>
        <w:pStyle w:val="MSubHeader"/>
      </w:pPr>
      <w:r w:rsidRPr="00573631">
        <w:t>Rationale:</w:t>
      </w:r>
    </w:p>
    <w:p w14:paraId="09170CB3" w14:textId="5873B8DA" w:rsidR="005E6A1E" w:rsidRDefault="001403C5" w:rsidP="0084686A">
      <w:pPr>
        <w:pStyle w:val="MText"/>
      </w:pPr>
      <w:r w:rsidRPr="001403C5">
        <w:t>The high economic and social costs incurred by migrants are increasingly recognized as serious impediments to realizing sustainable development outcomes from international migration. A critical role of migration policies is reducing the financial costs of recruitment incurred by migrant workers seeking jobs abroad</w:t>
      </w:r>
      <w:r w:rsidR="005E6A1E">
        <w:t>.</w:t>
      </w:r>
      <w:r w:rsidR="005E6A1E" w:rsidRPr="005E6A1E">
        <w:t xml:space="preserve"> </w:t>
      </w:r>
      <w:r w:rsidR="00C2176B" w:rsidRPr="00AB364A">
        <w:t xml:space="preserve">Recruitment costs paid by migrant workers to recruitment agents, on top of the fees paid by the employers, are a major drain on poor migrants’ incomes and remittances. They divert the money sent by migrants from the family to illicit recruitment agents and money lenders. Almost 10 million people use regular channels to migrate in search of employment every year. </w:t>
      </w:r>
      <w:proofErr w:type="gramStart"/>
      <w:r w:rsidR="00C2176B" w:rsidRPr="00AB364A">
        <w:t>A large number of</w:t>
      </w:r>
      <w:proofErr w:type="gramEnd"/>
      <w:r w:rsidR="00C2176B" w:rsidRPr="00AB364A">
        <w:t xml:space="preserve"> them pay illegal recruitment fees to the recruitment agents. </w:t>
      </w:r>
    </w:p>
    <w:p w14:paraId="6A875A1C" w14:textId="77777777" w:rsidR="0084686A" w:rsidRPr="00AB364A" w:rsidRDefault="0084686A" w:rsidP="0084686A">
      <w:pPr>
        <w:pStyle w:val="MText"/>
      </w:pPr>
    </w:p>
    <w:p w14:paraId="60152BCC" w14:textId="4496E2D7" w:rsidR="0058556D" w:rsidRDefault="005E6A1E" w:rsidP="0084686A">
      <w:pPr>
        <w:pStyle w:val="MText"/>
      </w:pPr>
      <w:r w:rsidRPr="005E6A1E">
        <w:t>High costs that migrants pay for their jobs, including recruitment fees,</w:t>
      </w:r>
      <w:r>
        <w:t xml:space="preserve"> </w:t>
      </w:r>
      <w:r w:rsidRPr="005E6A1E">
        <w:t>significantly increase risk of forced labour, debt bondage, and human trafficking, especially for low-skilled workers</w:t>
      </w:r>
      <w:r>
        <w:t>.</w:t>
      </w:r>
      <w:r w:rsidRPr="005E6A1E">
        <w:t xml:space="preserve"> Too often, migrant workers are subject to abusive practices in the workplace and pay high fees that can deplete their savings and make them more vulnerable during the recruitment and placement processes. </w:t>
      </w:r>
      <w:r w:rsidR="001403C5" w:rsidRPr="001403C5">
        <w:t>The international community, such as through the Addis Ababa Action Agenda (4A) of the Third UN International Conference on Financing for Development affirmed the imperative to lower the cost of recruitment for migrant workers.</w:t>
      </w:r>
    </w:p>
    <w:p w14:paraId="5B081F74" w14:textId="77777777" w:rsidR="001403C5" w:rsidRPr="001403C5" w:rsidRDefault="001403C5" w:rsidP="0084686A">
      <w:pPr>
        <w:pStyle w:val="MText"/>
      </w:pPr>
    </w:p>
    <w:p w14:paraId="62B6B9FB" w14:textId="50467E9A" w:rsidR="00AC47FC" w:rsidRDefault="00E37CDB" w:rsidP="0084686A">
      <w:pPr>
        <w:pStyle w:val="MText"/>
      </w:pPr>
      <w:r w:rsidRPr="00911916">
        <w:t xml:space="preserve">Policymakers should endeavour to eliminate illegal recruitment </w:t>
      </w:r>
      <w:r w:rsidR="00FD23E1" w:rsidRPr="00911916">
        <w:t>fees,</w:t>
      </w:r>
      <w:r w:rsidRPr="00911916">
        <w:t xml:space="preserve"> and this would</w:t>
      </w:r>
      <w:r>
        <w:t xml:space="preserve"> require effective </w:t>
      </w:r>
      <w:r w:rsidRPr="00911916">
        <w:t>regulation and monitoring of recruitment agencies and combating</w:t>
      </w:r>
      <w:r>
        <w:t xml:space="preserve"> </w:t>
      </w:r>
      <w:r w:rsidRPr="00911916">
        <w:t>unscrupulous recruiters implemented in constructive collaboration between the sending</w:t>
      </w:r>
      <w:r>
        <w:t xml:space="preserve"> </w:t>
      </w:r>
      <w:r w:rsidRPr="00911916">
        <w:t>and the receiving countries. Improving migrants’ access to information can help improve</w:t>
      </w:r>
      <w:r>
        <w:t xml:space="preserve"> </w:t>
      </w:r>
      <w:r w:rsidRPr="00911916">
        <w:t>the effectiveness of migration–related policies and regulations.</w:t>
      </w:r>
      <w:r>
        <w:t xml:space="preserve"> </w:t>
      </w:r>
      <w:r w:rsidR="005E6A1E">
        <w:t xml:space="preserve">The recent ILO </w:t>
      </w:r>
      <w:r w:rsidR="005E6A1E" w:rsidRPr="005E6A1E">
        <w:t>General principles and operational guidelines for fair recruitment</w:t>
      </w:r>
      <w:r w:rsidR="005E6A1E">
        <w:t xml:space="preserve"> emphasizes as one of key principles that “</w:t>
      </w:r>
      <w:r w:rsidR="005E6A1E" w:rsidRPr="005E6A1E">
        <w:t>No recruitment fees or related costs should be charged to, or otherwise borne by, workers or jobseekers</w:t>
      </w:r>
      <w:r w:rsidR="005E6A1E">
        <w:t>” (</w:t>
      </w:r>
      <w:hyperlink r:id="rId8" w:history="1">
        <w:r w:rsidR="005E6A1E" w:rsidRPr="000D5F74">
          <w:rPr>
            <w:rStyle w:val="Hyperlink"/>
          </w:rPr>
          <w:t>http://www.ilo.org/global/topics/fair-recruitment/WCMS_536755/lang--</w:t>
        </w:r>
        <w:r w:rsidR="005E6A1E" w:rsidRPr="000D5F74">
          <w:rPr>
            <w:rStyle w:val="Hyperlink"/>
          </w:rPr>
          <w:lastRenderedPageBreak/>
          <w:t>en/index.htm</w:t>
        </w:r>
      </w:hyperlink>
      <w:r w:rsidR="005E6A1E">
        <w:t xml:space="preserve"> )</w:t>
      </w:r>
      <w:r w:rsidR="005E6A1E" w:rsidRPr="005E6A1E">
        <w:t>.</w:t>
      </w:r>
      <w:r w:rsidR="00AC47FC">
        <w:t xml:space="preserve">The indicator is meant to show the levels of costs that are still incurred </w:t>
      </w:r>
      <w:r w:rsidR="0042357B">
        <w:t xml:space="preserve">by </w:t>
      </w:r>
      <w:r w:rsidR="00AC47FC">
        <w:t xml:space="preserve">migrant workers in order to secure a job abroad, </w:t>
      </w:r>
      <w:r w:rsidR="0042357B">
        <w:t xml:space="preserve">relative to the </w:t>
      </w:r>
      <w:r w:rsidR="00AC47FC">
        <w:t xml:space="preserve">income they </w:t>
      </w:r>
      <w:r w:rsidR="0042357B">
        <w:t>earn</w:t>
      </w:r>
      <w:r w:rsidR="00AC47FC">
        <w:t xml:space="preserve"> from working abroad. </w:t>
      </w:r>
      <w:r w:rsidR="00AC47FC" w:rsidRPr="00AC47FC">
        <w:t xml:space="preserve">The recruitment costs </w:t>
      </w:r>
      <w:r w:rsidR="00AC47FC">
        <w:t xml:space="preserve">indicator </w:t>
      </w:r>
      <w:r w:rsidR="00AC47FC" w:rsidRPr="00AC47FC">
        <w:t xml:space="preserve">can be expressed </w:t>
      </w:r>
      <w:r w:rsidR="0042357B">
        <w:t xml:space="preserve">as a multiple of </w:t>
      </w:r>
      <w:r w:rsidR="00AC47FC">
        <w:t xml:space="preserve">the </w:t>
      </w:r>
      <w:r w:rsidR="00AC47FC" w:rsidRPr="00AC47FC">
        <w:t xml:space="preserve">number of monthly earnings for the reporting of the indicator </w:t>
      </w:r>
      <w:proofErr w:type="gramStart"/>
      <w:r w:rsidR="00AC47FC" w:rsidRPr="00AC47FC">
        <w:t>in order to</w:t>
      </w:r>
      <w:proofErr w:type="gramEnd"/>
      <w:r w:rsidR="00AC47FC" w:rsidRPr="00AC47FC">
        <w:t xml:space="preserve"> illustrate the </w:t>
      </w:r>
      <w:r w:rsidR="0042357B">
        <w:t xml:space="preserve">financial </w:t>
      </w:r>
      <w:r w:rsidR="00AC47FC" w:rsidRPr="00AC47FC">
        <w:t>burden on the worker.</w:t>
      </w:r>
    </w:p>
    <w:p w14:paraId="60AC9605" w14:textId="77777777" w:rsidR="00AC47FC" w:rsidRDefault="00AC47FC"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84686A">
      <w:pPr>
        <w:pStyle w:val="MSubHeader"/>
      </w:pPr>
      <w:r w:rsidRPr="00573631">
        <w:t>Concepts:</w:t>
      </w:r>
    </w:p>
    <w:p w14:paraId="1959D335" w14:textId="2D0B1FF9" w:rsidR="00D1492C" w:rsidRDefault="0089362A" w:rsidP="0084686A">
      <w:pPr>
        <w:pStyle w:val="MText"/>
      </w:pPr>
      <w:r w:rsidRPr="00AB364A">
        <w:rPr>
          <w:u w:val="single"/>
        </w:rPr>
        <w:t>Target population</w:t>
      </w:r>
      <w:r w:rsidRPr="0089362A">
        <w:t xml:space="preserve"> (</w:t>
      </w:r>
      <w:r w:rsidR="00267328">
        <w:t>i</w:t>
      </w:r>
      <w:r w:rsidRPr="0089362A">
        <w:t xml:space="preserve">nternational migrant, </w:t>
      </w:r>
      <w:r w:rsidR="00267328">
        <w:t>i</w:t>
      </w:r>
      <w:r w:rsidRPr="0089362A">
        <w:t>nternational migrant workers)</w:t>
      </w:r>
      <w:r w:rsidR="00D1492C">
        <w:t xml:space="preserve">: the </w:t>
      </w:r>
      <w:r w:rsidR="00D1492C" w:rsidRPr="00D1492C">
        <w:t>term ‘international migrant worker’ is to be understood to mean someone who leaves his/her country of usual residence with the documented intention to work in another country, as a wage/salary earner.  Thus, the term’s concept does not include those who leave their area of usual residence to work in another area in the same country, nor those who can commute for work across an international border, on a daily or weekly basis without changing the country of usual residence.  These draft Guidelines exclude consideration of other migrant workers whose usual residence may be hard to confirm, such as seafarers who work on a vessel registered to a country different from their country of origin</w:t>
      </w:r>
      <w:r w:rsidR="00D1492C">
        <w:t xml:space="preserve">. The concept </w:t>
      </w:r>
      <w:r w:rsidR="00D1492C" w:rsidRPr="00D1492C">
        <w:t xml:space="preserve">should cover all international migrant workers who have changed their country of usual residence </w:t>
      </w:r>
      <w:r w:rsidR="00057E87" w:rsidRPr="00D1492C">
        <w:t xml:space="preserve">with the documented </w:t>
      </w:r>
      <w:r w:rsidR="000A1A62" w:rsidRPr="00D1492C">
        <w:t>intention to</w:t>
      </w:r>
      <w:r w:rsidR="00D1492C" w:rsidRPr="00D1492C">
        <w:t xml:space="preserve"> work in another country, whether they are engaged through formal or through ‘informal’ recruitment processes</w:t>
      </w:r>
      <w:r w:rsidR="00D1492C">
        <w:t>.</w:t>
      </w:r>
    </w:p>
    <w:p w14:paraId="0748A08E" w14:textId="77777777" w:rsidR="00D1492C" w:rsidRPr="0089362A" w:rsidRDefault="00D1492C" w:rsidP="0089362A">
      <w:pPr>
        <w:shd w:val="clear" w:color="auto" w:fill="FFFFFF"/>
        <w:spacing w:after="0"/>
        <w:rPr>
          <w:rFonts w:eastAsia="Times New Roman" w:cs="Times New Roman"/>
          <w:color w:val="4A4A4A"/>
          <w:sz w:val="21"/>
          <w:szCs w:val="21"/>
          <w:lang w:eastAsia="en-GB"/>
        </w:rPr>
      </w:pPr>
    </w:p>
    <w:p w14:paraId="55DDB1A4" w14:textId="090E5060" w:rsidR="0089362A" w:rsidRDefault="0089362A" w:rsidP="0084686A">
      <w:pPr>
        <w:pStyle w:val="MText"/>
      </w:pPr>
      <w:r w:rsidRPr="00AB364A">
        <w:rPr>
          <w:u w:val="single"/>
        </w:rPr>
        <w:t>Reference period</w:t>
      </w:r>
      <w:r w:rsidR="00D1492C" w:rsidRPr="00AB364A">
        <w:rPr>
          <w:u w:val="single"/>
        </w:rPr>
        <w:t xml:space="preserve">: </w:t>
      </w:r>
      <w:r w:rsidR="00D1492C" w:rsidRPr="00D1492C">
        <w:t>the statistics/estimates on costs and earnings used to calculate 10.7.1 should refer to the first job obtained in the country of destination and the first year of employment abroad of the</w:t>
      </w:r>
      <w:r w:rsidR="00D813F6">
        <w:t xml:space="preserve"> </w:t>
      </w:r>
      <w:r w:rsidR="00D1492C" w:rsidRPr="00D1492C">
        <w:t>international migrant worker</w:t>
      </w:r>
      <w:r w:rsidR="00D813F6">
        <w:t>.</w:t>
      </w:r>
    </w:p>
    <w:p w14:paraId="7211AFBF" w14:textId="77777777" w:rsidR="00D1492C" w:rsidRPr="0089362A" w:rsidRDefault="00D1492C" w:rsidP="0084686A">
      <w:pPr>
        <w:pStyle w:val="MText"/>
      </w:pPr>
    </w:p>
    <w:p w14:paraId="34F4B22D" w14:textId="0DF21815" w:rsidR="0089362A" w:rsidRDefault="0089362A" w:rsidP="0084686A">
      <w:pPr>
        <w:pStyle w:val="MText"/>
      </w:pPr>
      <w:r w:rsidRPr="00AB364A">
        <w:rPr>
          <w:u w:val="single"/>
        </w:rPr>
        <w:t>Cost</w:t>
      </w:r>
      <w:r w:rsidR="00267328" w:rsidRPr="00AB364A">
        <w:rPr>
          <w:u w:val="single"/>
        </w:rPr>
        <w:t>s</w:t>
      </w:r>
      <w:r w:rsidR="00D813F6" w:rsidRPr="00AB364A">
        <w:rPr>
          <w:u w:val="single"/>
        </w:rPr>
        <w:t>:</w:t>
      </w:r>
      <w:r w:rsidR="00D813F6">
        <w:t xml:space="preserve"> </w:t>
      </w:r>
      <w:r w:rsidR="00D813F6" w:rsidRPr="00D813F6">
        <w:t xml:space="preserve">Recruitment costs refer to any fees or costs incurred in the recruitment process </w:t>
      </w:r>
      <w:proofErr w:type="gramStart"/>
      <w:r w:rsidR="00D813F6" w:rsidRPr="00D813F6">
        <w:t>in order for</w:t>
      </w:r>
      <w:proofErr w:type="gramEnd"/>
      <w:r w:rsidR="00D813F6" w:rsidRPr="00D813F6">
        <w:t xml:space="preserve"> workers to secure employment or placement, regardless of the manner, timing or location of their imposition or collection</w:t>
      </w:r>
      <w:r w:rsidR="00D813F6">
        <w:t xml:space="preserve">. </w:t>
      </w:r>
      <w:r w:rsidR="00D813F6" w:rsidRPr="00D813F6">
        <w:t xml:space="preserve">These are </w:t>
      </w:r>
      <w:r w:rsidR="00267328">
        <w:t>equal to the total amount that</w:t>
      </w:r>
      <w:r w:rsidR="00D813F6" w:rsidRPr="00D813F6">
        <w:t xml:space="preserve"> migrant workers and/or their families paid to find, qualify for, and secure a concrete job offer from a foreign employer and to reach the place of employment</w:t>
      </w:r>
      <w:r w:rsidR="0042357B">
        <w:t xml:space="preserve"> for the first job abroad</w:t>
      </w:r>
      <w:r w:rsidR="00D813F6" w:rsidRPr="00D813F6">
        <w:t>.</w:t>
      </w:r>
      <w:r w:rsidR="00D813F6">
        <w:t xml:space="preserve"> Recommended costs items are indicated in Paragraphs 22 to 24 of the draft Guidelines </w:t>
      </w:r>
      <w:r w:rsidR="0042357B">
        <w:t xml:space="preserve">on </w:t>
      </w:r>
      <w:r w:rsidR="00D813F6">
        <w:t>statistics for SDG indicator 10.7.1.</w:t>
      </w:r>
    </w:p>
    <w:p w14:paraId="646A9811" w14:textId="77777777" w:rsidR="00D813F6" w:rsidRPr="0089362A" w:rsidRDefault="00D813F6" w:rsidP="0084686A">
      <w:pPr>
        <w:pStyle w:val="MText"/>
      </w:pPr>
    </w:p>
    <w:p w14:paraId="6750E3E1" w14:textId="458554CF" w:rsidR="00803CF1" w:rsidRDefault="0089362A" w:rsidP="0084686A">
      <w:pPr>
        <w:pStyle w:val="MText"/>
      </w:pPr>
      <w:r w:rsidRPr="00AB364A">
        <w:rPr>
          <w:u w:val="single"/>
        </w:rPr>
        <w:t>Earning</w:t>
      </w:r>
      <w:r w:rsidR="00267328" w:rsidRPr="00AB364A">
        <w:rPr>
          <w:u w:val="single"/>
        </w:rPr>
        <w:t>s</w:t>
      </w:r>
      <w:r w:rsidR="00D813F6" w:rsidRPr="00AB364A">
        <w:rPr>
          <w:u w:val="single"/>
        </w:rPr>
        <w:t>:</w:t>
      </w:r>
      <w:r w:rsidR="00D813F6">
        <w:t xml:space="preserve"> statistics on earnings of migrant workers abroad should cover </w:t>
      </w:r>
      <w:r w:rsidR="00D813F6" w:rsidRPr="00D813F6">
        <w:t>the actual income received for the last month in the first job in the destination country, including bonuses and other earnings (e.g. for over-time work). Adjustments should be made for any deductions for destination country taxes and social security contributions, as well as for any deductions in wages made to recover any recruitment costs initially paid by the employer.</w:t>
      </w:r>
    </w:p>
    <w:p w14:paraId="226CF0E5" w14:textId="77777777" w:rsidR="0089362A" w:rsidRDefault="0089362A" w:rsidP="00573631">
      <w:pPr>
        <w:shd w:val="clear" w:color="auto" w:fill="FFFFFF"/>
        <w:spacing w:after="0"/>
        <w:rPr>
          <w:rFonts w:eastAsia="Times New Roman" w:cs="Times New Roman"/>
          <w:color w:val="4A4A4A"/>
          <w:sz w:val="21"/>
          <w:szCs w:val="21"/>
          <w:lang w:eastAsia="en-GB"/>
        </w:rPr>
      </w:pPr>
    </w:p>
    <w:p w14:paraId="25430C07" w14:textId="77777777" w:rsidR="00803CF1" w:rsidRPr="00573631" w:rsidRDefault="00803CF1" w:rsidP="0084686A">
      <w:pPr>
        <w:pStyle w:val="MSubHeader"/>
      </w:pPr>
      <w:r>
        <w:t>Comments and limitations:</w:t>
      </w:r>
    </w:p>
    <w:p w14:paraId="7D3A2EEB" w14:textId="03333B45" w:rsidR="00AC47FC" w:rsidRDefault="00045D3A" w:rsidP="0084686A">
      <w:pPr>
        <w:pStyle w:val="MText"/>
      </w:pPr>
      <w:r>
        <w:t>The proposed Guidelines have recommended using one month of earnings a</w:t>
      </w:r>
      <w:r w:rsidR="00DF26AE">
        <w:t>s</w:t>
      </w:r>
      <w:r>
        <w:t xml:space="preserve"> the denominator, and </w:t>
      </w:r>
      <w:r w:rsidR="00DF26AE">
        <w:t xml:space="preserve">to </w:t>
      </w:r>
      <w:r>
        <w:t xml:space="preserve">express the indicator as the </w:t>
      </w:r>
      <w:r w:rsidR="00B74153">
        <w:t xml:space="preserve">proportion of </w:t>
      </w:r>
      <w:r>
        <w:t>monthly earnings paid by the migrant worker to obtain the job</w:t>
      </w:r>
      <w:r w:rsidR="00AC47FC">
        <w:t xml:space="preserve"> abroad</w:t>
      </w:r>
      <w:r>
        <w:t>.</w:t>
      </w:r>
      <w:r w:rsidR="00AC47FC">
        <w:t xml:space="preserve"> </w:t>
      </w:r>
      <w:r>
        <w:t>The Guidelines recommend us</w:t>
      </w:r>
      <w:r w:rsidR="00DF26AE">
        <w:t>ing</w:t>
      </w:r>
      <w:r>
        <w:t xml:space="preserve"> earnings of the last month of the first job abroad. However monthly earnings of migrant workers may vary considerably for each month worked, particularly if migrant workers </w:t>
      </w:r>
      <w:r w:rsidR="00DF26AE">
        <w:t xml:space="preserve">often </w:t>
      </w:r>
      <w:r>
        <w:t>change the</w:t>
      </w:r>
      <w:r w:rsidR="00DF26AE">
        <w:t>ir</w:t>
      </w:r>
      <w:r>
        <w:t xml:space="preserve"> job during their first 12 months abroad. </w:t>
      </w:r>
      <w:r w:rsidR="00DF26AE">
        <w:t xml:space="preserve">Accordingly, </w:t>
      </w:r>
      <w:r>
        <w:t>the Guidelines recommend using the first job abroad</w:t>
      </w:r>
      <w:r w:rsidR="00AC47FC">
        <w:t xml:space="preserve">. </w:t>
      </w:r>
    </w:p>
    <w:p w14:paraId="3B91DC4B" w14:textId="77777777" w:rsidR="00AC47FC" w:rsidRDefault="00AC47FC" w:rsidP="0084686A">
      <w:pPr>
        <w:pStyle w:val="MText"/>
      </w:pPr>
    </w:p>
    <w:p w14:paraId="36EBE2DA" w14:textId="31242CB6" w:rsidR="00045D3A" w:rsidRDefault="00AC47FC" w:rsidP="0084686A">
      <w:pPr>
        <w:pStyle w:val="MText"/>
      </w:pPr>
      <w:r>
        <w:t>Recall may be an issue if the first job abroad was undertaken many years ago. The Guidelines suggests that when developing the data collection system</w:t>
      </w:r>
      <w:r w:rsidR="00C23800">
        <w:t>, the focus should be on migrant workers whose first job abroad happened less than a given period, such as 3 years</w:t>
      </w:r>
      <w:r w:rsidR="0042357B">
        <w:t xml:space="preserve"> prior or less</w:t>
      </w:r>
      <w:r w:rsidR="00C23800">
        <w:t>.</w:t>
      </w:r>
    </w:p>
    <w:p w14:paraId="16DE60AF" w14:textId="77777777" w:rsidR="00045D3A" w:rsidRPr="00573631" w:rsidRDefault="00045D3A"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84686A">
      <w:pPr>
        <w:pStyle w:val="MHeader"/>
      </w:pPr>
      <w:r w:rsidRPr="00573631">
        <w:lastRenderedPageBreak/>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84686A">
      <w:pPr>
        <w:pStyle w:val="MSubHeader"/>
      </w:pPr>
      <w:r w:rsidRPr="00573631">
        <w:t>Computation Method:</w:t>
      </w:r>
    </w:p>
    <w:p w14:paraId="2909C813" w14:textId="33245C8A" w:rsidR="00F7446C" w:rsidRPr="00F7446C" w:rsidRDefault="00F7446C" w:rsidP="0084686A">
      <w:pPr>
        <w:pStyle w:val="MText"/>
      </w:pPr>
      <w:r w:rsidRPr="00F7446C">
        <w:t xml:space="preserve">RCI = Proportion of recruitment costs in the </w:t>
      </w:r>
      <w:r>
        <w:t>monthly</w:t>
      </w:r>
      <w:r w:rsidRPr="00F7446C">
        <w:t xml:space="preserve"> employment earnings</w:t>
      </w:r>
      <w:r>
        <w:t xml:space="preserve">, is a ratio </w:t>
      </w:r>
    </w:p>
    <w:p w14:paraId="6BD31163" w14:textId="3A73A456" w:rsidR="00F7446C" w:rsidRDefault="00F7446C" w:rsidP="0084686A">
      <w:pPr>
        <w:pStyle w:val="MText"/>
      </w:pPr>
      <w:r w:rsidRPr="00F7446C">
        <w:t xml:space="preserve">Calculation: </w:t>
      </w:r>
    </w:p>
    <w:p w14:paraId="64E4A95E" w14:textId="26589A1B" w:rsidR="00F7446C" w:rsidRPr="00F7446C" w:rsidRDefault="00F7446C" w:rsidP="0084686A">
      <w:pPr>
        <w:pStyle w:val="MText"/>
      </w:pPr>
      <w:r>
        <w:tab/>
      </w:r>
      <w:r>
        <w:rPr>
          <w:rFonts w:ascii="Cambria Math" w:hAnsi="Cambria Math" w:cs="Cambria Math"/>
          <w:noProof/>
        </w:rPr>
        <w:drawing>
          <wp:inline distT="0" distB="0" distL="0" distR="0" wp14:anchorId="0A37ADFB" wp14:editId="151A205F">
            <wp:extent cx="908050" cy="4024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042" cy="417534"/>
                    </a:xfrm>
                    <a:prstGeom prst="rect">
                      <a:avLst/>
                    </a:prstGeom>
                    <a:noFill/>
                  </pic:spPr>
                </pic:pic>
              </a:graphicData>
            </a:graphic>
          </wp:inline>
        </w:drawing>
      </w:r>
    </w:p>
    <w:p w14:paraId="3C8210AF" w14:textId="77777777" w:rsidR="00F7446C" w:rsidRPr="00F7446C" w:rsidRDefault="00F7446C" w:rsidP="0084686A">
      <w:pPr>
        <w:pStyle w:val="MText"/>
      </w:pPr>
      <w:r w:rsidRPr="00F7446C">
        <w:t>Where</w:t>
      </w:r>
    </w:p>
    <w:p w14:paraId="64C6EE6D" w14:textId="7BCE9E6F" w:rsidR="00F7446C" w:rsidRPr="00F7446C" w:rsidRDefault="00F7446C" w:rsidP="0084686A">
      <w:pPr>
        <w:pStyle w:val="MText"/>
      </w:pPr>
      <w:r w:rsidRPr="00F7446C">
        <w:tab/>
        <w:t>f may take on various functions’ forms</w:t>
      </w:r>
      <w:r>
        <w:t>, such as</w:t>
      </w:r>
      <w:r w:rsidRPr="00F7446C">
        <w:t>: mean, median and 4th quintile</w:t>
      </w:r>
    </w:p>
    <w:p w14:paraId="3EB5B82B" w14:textId="77777777" w:rsidR="00F7446C" w:rsidRPr="00F7446C" w:rsidRDefault="00F7446C" w:rsidP="0084686A">
      <w:pPr>
        <w:pStyle w:val="MText"/>
      </w:pPr>
      <w:r w:rsidRPr="00F7446C">
        <w:tab/>
        <w:t>C</w:t>
      </w:r>
      <w:r w:rsidRPr="00BC50DE">
        <w:rPr>
          <w:vertAlign w:val="subscript"/>
        </w:rPr>
        <w:t xml:space="preserve">k </w:t>
      </w:r>
      <w:r w:rsidRPr="00F7446C">
        <w:t>= is the recruitment costs paid by individual migrant worker k;</w:t>
      </w:r>
    </w:p>
    <w:p w14:paraId="12E6A004" w14:textId="106D10F7" w:rsidR="0058556D" w:rsidRDefault="00F7446C" w:rsidP="0084686A">
      <w:pPr>
        <w:pStyle w:val="MText"/>
      </w:pPr>
      <w:r w:rsidRPr="00F7446C">
        <w:tab/>
        <w:t>E</w:t>
      </w:r>
      <w:r w:rsidRPr="00BC50DE">
        <w:rPr>
          <w:vertAlign w:val="subscript"/>
        </w:rPr>
        <w:t>k</w:t>
      </w:r>
      <w:r w:rsidRPr="00F7446C">
        <w:t xml:space="preserve"> = is the </w:t>
      </w:r>
      <w:r>
        <w:t xml:space="preserve">monthly </w:t>
      </w:r>
      <w:r w:rsidRPr="00F7446C">
        <w:t>earnings of the same migrant worker k.</w:t>
      </w:r>
    </w:p>
    <w:p w14:paraId="29E247AD" w14:textId="77777777" w:rsidR="00045D3A" w:rsidRPr="00573631" w:rsidRDefault="00045D3A" w:rsidP="00573631">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84686A">
      <w:pPr>
        <w:pStyle w:val="MSubHeader"/>
      </w:pPr>
      <w:r w:rsidRPr="00573631">
        <w:t>Disaggregation:</w:t>
      </w:r>
    </w:p>
    <w:p w14:paraId="454042DD" w14:textId="0451FF1C" w:rsidR="00F7446C" w:rsidRPr="00BC50DE" w:rsidRDefault="00DF26AE" w:rsidP="0084686A">
      <w:pPr>
        <w:pStyle w:val="MText"/>
      </w:pPr>
      <w:r w:rsidRPr="00BC50DE">
        <w:t xml:space="preserve">Desired </w:t>
      </w:r>
      <w:r w:rsidR="00C23800" w:rsidRPr="00DF26AE">
        <w:t>disaggregation</w:t>
      </w:r>
      <w:r w:rsidRPr="00BC50DE">
        <w:t xml:space="preserve"> include</w:t>
      </w:r>
      <w:r w:rsidR="00C23800">
        <w:t>s</w:t>
      </w:r>
      <w:r w:rsidR="00F7446C" w:rsidRPr="00BC50DE">
        <w:t>: sex, age</w:t>
      </w:r>
      <w:r w:rsidR="00B74153">
        <w:t xml:space="preserve"> group</w:t>
      </w:r>
      <w:r w:rsidR="00F7446C" w:rsidRPr="00BC50DE">
        <w:t xml:space="preserve">, </w:t>
      </w:r>
      <w:r w:rsidR="00B74153">
        <w:t xml:space="preserve">education groups, </w:t>
      </w:r>
      <w:r w:rsidR="00F7446C" w:rsidRPr="00BC50DE">
        <w:t xml:space="preserve">and </w:t>
      </w:r>
      <w:r w:rsidR="00B74153">
        <w:t>major destination countries (as recruitment costs have been documented to vary considerably by migration corridors).</w:t>
      </w:r>
    </w:p>
    <w:p w14:paraId="62ADF84D" w14:textId="252E770C" w:rsidR="00F7446C" w:rsidRPr="00BC50DE" w:rsidRDefault="00F7446C" w:rsidP="00F7446C">
      <w:pPr>
        <w:shd w:val="clear" w:color="auto" w:fill="FFFFFF"/>
        <w:spacing w:after="0"/>
        <w:rPr>
          <w:rFonts w:eastAsia="Times New Roman" w:cs="Times New Roman"/>
          <w:color w:val="404040" w:themeColor="text1" w:themeTint="BF"/>
          <w:sz w:val="21"/>
          <w:szCs w:val="21"/>
          <w:lang w:eastAsia="en-GB"/>
        </w:rPr>
      </w:pPr>
    </w:p>
    <w:p w14:paraId="7A3E0DD3" w14:textId="68D011AD" w:rsidR="00DF26AE" w:rsidRPr="00BC50DE" w:rsidRDefault="00B74153" w:rsidP="0084686A">
      <w:pPr>
        <w:pStyle w:val="MText"/>
      </w:pPr>
      <w:r>
        <w:t xml:space="preserve">Additional </w:t>
      </w:r>
      <w:r w:rsidR="00DF26AE" w:rsidRPr="00BC50DE">
        <w:t>statistics may be presented by:</w:t>
      </w:r>
    </w:p>
    <w:p w14:paraId="4EAEC005" w14:textId="3D6D2E3C" w:rsidR="00DF26AE" w:rsidRPr="00BC50DE" w:rsidRDefault="00F7446C" w:rsidP="0084686A">
      <w:pPr>
        <w:pStyle w:val="MText"/>
        <w:numPr>
          <w:ilvl w:val="0"/>
          <w:numId w:val="11"/>
        </w:numPr>
      </w:pPr>
      <w:r w:rsidRPr="00BC50DE">
        <w:t>type of migration process (documented, undocumented migrant workers)</w:t>
      </w:r>
    </w:p>
    <w:p w14:paraId="0A9776FC" w14:textId="53F3B34E" w:rsidR="00DF26AE" w:rsidRPr="00BC50DE" w:rsidRDefault="00F7446C" w:rsidP="0084686A">
      <w:pPr>
        <w:pStyle w:val="MText"/>
        <w:numPr>
          <w:ilvl w:val="0"/>
          <w:numId w:val="11"/>
        </w:numPr>
      </w:pPr>
      <w:r w:rsidRPr="00BC50DE">
        <w:t xml:space="preserve">occupation (ISCO-08): to assess skills levels such as high-skill </w:t>
      </w:r>
      <w:r w:rsidR="00DF26AE">
        <w:t>and</w:t>
      </w:r>
      <w:r w:rsidR="00DF26AE" w:rsidRPr="00BC50DE">
        <w:t xml:space="preserve"> </w:t>
      </w:r>
      <w:r w:rsidRPr="00BC50DE">
        <w:t>low-skill groups</w:t>
      </w:r>
    </w:p>
    <w:p w14:paraId="71B24091" w14:textId="5E10DF8B" w:rsidR="00DF26AE" w:rsidRPr="00BC50DE" w:rsidRDefault="00DF26AE" w:rsidP="0084686A">
      <w:pPr>
        <w:pStyle w:val="MText"/>
        <w:numPr>
          <w:ilvl w:val="0"/>
          <w:numId w:val="11"/>
        </w:numPr>
      </w:pPr>
      <w:r w:rsidRPr="00BC50DE">
        <w:t>m</w:t>
      </w:r>
      <w:r w:rsidR="00F7446C" w:rsidRPr="00BC50DE">
        <w:t>ajor occupational groups: to assess which skills groups have the highest recruitment costs</w:t>
      </w:r>
    </w:p>
    <w:p w14:paraId="1EC54082" w14:textId="6F1FFE12" w:rsidR="00F7446C" w:rsidRPr="00BC50DE" w:rsidRDefault="00F7446C" w:rsidP="0084686A">
      <w:pPr>
        <w:pStyle w:val="MText"/>
        <w:numPr>
          <w:ilvl w:val="0"/>
          <w:numId w:val="11"/>
        </w:numPr>
      </w:pPr>
      <w:r w:rsidRPr="00BC50DE">
        <w:t>major industry (ISIC Rev.4): to assess main sectors where migrant workers are engaged</w:t>
      </w:r>
      <w:r w:rsidR="00DF26AE">
        <w:t xml:space="preserve"> </w:t>
      </w:r>
      <w:r w:rsidRPr="00BC50DE">
        <w:t>and to assess recruitment costs in industries of key policy concern (</w:t>
      </w:r>
      <w:r w:rsidR="00DF26AE">
        <w:t xml:space="preserve">e.g. </w:t>
      </w:r>
      <w:r w:rsidRPr="00BC50DE">
        <w:t>agriculture, construction, retail, and domestic work)</w:t>
      </w:r>
    </w:p>
    <w:p w14:paraId="6D9351B0" w14:textId="77777777" w:rsidR="00F7446C" w:rsidRPr="00573631" w:rsidRDefault="00F7446C"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1E89A45E" w14:textId="28F387AE" w:rsidR="00B260C4" w:rsidRPr="00BC50DE" w:rsidRDefault="00FA0B33" w:rsidP="0084686A">
      <w:pPr>
        <w:pStyle w:val="MText"/>
      </w:pPr>
      <w:r w:rsidRPr="00BC50DE">
        <w:t>The indicator</w:t>
      </w:r>
      <w:r>
        <w:t xml:space="preserve"> is expected to be produced on an annual basis subject to a country’s administration of household-based surveys. In years when a household survey is not conducted, the indicator will not be reported. Imputation of missing values at this level is not feasible given the complex interplay of various agents and factors that directly and indirectly influence the indicator.</w:t>
      </w:r>
    </w:p>
    <w:p w14:paraId="5FE5F2BA" w14:textId="77777777" w:rsidR="00FA0B33" w:rsidRDefault="00FA0B33" w:rsidP="00A61D74">
      <w:pPr>
        <w:shd w:val="clear" w:color="auto" w:fill="FFFFFF"/>
        <w:spacing w:after="0"/>
        <w:rPr>
          <w:rFonts w:eastAsia="Times New Roman" w:cs="Times New Roman"/>
          <w:color w:val="4A4A4A"/>
          <w:sz w:val="21"/>
          <w:szCs w:val="21"/>
          <w:highlight w:val="yellow"/>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1F869CC4" w14:textId="067D369D" w:rsidR="00FA0B33" w:rsidRPr="00FA0B33" w:rsidRDefault="00FA0B33" w:rsidP="0084686A">
      <w:pPr>
        <w:pStyle w:val="MText"/>
      </w:pPr>
      <w:r>
        <w:t xml:space="preserve">As recruitments costs are </w:t>
      </w:r>
      <w:r w:rsidRPr="00FA0B33">
        <w:t>country-specific</w:t>
      </w:r>
      <w:r>
        <w:t xml:space="preserve">, there is </w:t>
      </w:r>
      <w:r w:rsidRPr="00FA0B33">
        <w:t>no aggregation at the regional or global</w:t>
      </w:r>
    </w:p>
    <w:p w14:paraId="6C66844B" w14:textId="0A38DA8E" w:rsidR="00FA0B33" w:rsidRDefault="00FA0B33" w:rsidP="0084686A">
      <w:pPr>
        <w:pStyle w:val="MText"/>
        <w:rPr>
          <w:highlight w:val="yellow"/>
        </w:rPr>
      </w:pPr>
      <w:r w:rsidRPr="00FA0B33">
        <w:t>level.</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84686A">
      <w:pPr>
        <w:pStyle w:val="MSubHeader"/>
      </w:pPr>
      <w:r w:rsidRPr="00573631">
        <w:t>Regional aggregates:</w:t>
      </w:r>
    </w:p>
    <w:p w14:paraId="6D30CB25" w14:textId="2E6CA186" w:rsidR="00E62CC8" w:rsidRPr="00BC50DE" w:rsidRDefault="00E62CC8" w:rsidP="0084686A">
      <w:pPr>
        <w:pStyle w:val="MText"/>
      </w:pPr>
      <w:r w:rsidRPr="00BC50DE">
        <w:t xml:space="preserve">No regional aggregates will be produced for this indicator. </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84686A">
      <w:pPr>
        <w:pStyle w:val="MSubHeader"/>
      </w:pPr>
      <w:r w:rsidRPr="00573631">
        <w:t>Sources of discrepancies:</w:t>
      </w:r>
    </w:p>
    <w:p w14:paraId="6148B452" w14:textId="28590F70" w:rsidR="00E62CC8" w:rsidRPr="00BC50DE" w:rsidRDefault="00E62CC8" w:rsidP="0084686A">
      <w:pPr>
        <w:pStyle w:val="MText"/>
      </w:pPr>
      <w:r>
        <w:t xml:space="preserve">Not applicable for this indicator. </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84686A">
      <w:pPr>
        <w:pStyle w:val="MSubHeader"/>
      </w:pPr>
      <w:r w:rsidRPr="00D54F29">
        <w:t>Methods and guidance</w:t>
      </w:r>
      <w:r w:rsidR="0034329E">
        <w:t xml:space="preserve"> </w:t>
      </w:r>
      <w:r w:rsidR="00507852">
        <w:t>available</w:t>
      </w:r>
      <w:r w:rsidR="0034329E">
        <w:t xml:space="preserve"> to countries</w:t>
      </w:r>
      <w:r w:rsidRPr="00D54F29">
        <w:t xml:space="preserve"> for the compilation of the data at the national level:</w:t>
      </w:r>
    </w:p>
    <w:p w14:paraId="1FC8CC05" w14:textId="4391292C" w:rsidR="00371A20" w:rsidRDefault="00E62CC8" w:rsidP="0084686A">
      <w:pPr>
        <w:pStyle w:val="MText"/>
      </w:pPr>
      <w:r w:rsidRPr="00E62CC8">
        <w:t xml:space="preserve">Draft guidelines </w:t>
      </w:r>
      <w:r>
        <w:t xml:space="preserve">for countries </w:t>
      </w:r>
      <w:r w:rsidRPr="00E62CC8">
        <w:t xml:space="preserve">has been prepared </w:t>
      </w:r>
      <w:r>
        <w:t xml:space="preserve">by </w:t>
      </w:r>
      <w:r w:rsidRPr="00E62CC8">
        <w:t>the World Bank and ILO. Please refer to</w:t>
      </w:r>
      <w:r w:rsidR="00AB364A">
        <w:t xml:space="preserve"> </w:t>
      </w:r>
      <w:proofErr w:type="gramStart"/>
      <w:r w:rsidR="00AB364A">
        <w:t xml:space="preserve">attachment </w:t>
      </w:r>
      <w:r w:rsidRPr="00E62CC8">
        <w:t xml:space="preserve"> “</w:t>
      </w:r>
      <w:proofErr w:type="gramEnd"/>
      <w:r w:rsidRPr="00E62CC8">
        <w:t>Statistics for SDG indicator 10.7.1 Draft Guidelines for their Collection</w:t>
      </w:r>
      <w:r w:rsidR="00AB364A">
        <w:t>.</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84686A">
      <w:pPr>
        <w:pStyle w:val="MSubHeader"/>
      </w:pPr>
      <w:r w:rsidRPr="00D54F29">
        <w:lastRenderedPageBreak/>
        <w:t>Quality assurance</w:t>
      </w:r>
    </w:p>
    <w:p w14:paraId="17D42520" w14:textId="7F7E37CB" w:rsidR="00422EA5" w:rsidRPr="00D54F29" w:rsidRDefault="00EE074C" w:rsidP="0084686A">
      <w:pPr>
        <w:pStyle w:val="MText"/>
        <w:rPr>
          <w:highlight w:val="yellow"/>
        </w:rPr>
      </w:pPr>
      <w:r>
        <w:rPr>
          <w:lang w:val="en-US"/>
        </w:rPr>
        <w:t>C</w:t>
      </w:r>
      <w:r w:rsidRPr="00EE074C">
        <w:rPr>
          <w:lang w:val="en-US"/>
        </w:rPr>
        <w:t>onsultations</w:t>
      </w:r>
      <w:r>
        <w:rPr>
          <w:lang w:val="en-US"/>
        </w:rPr>
        <w:t xml:space="preserve"> on the methodology and draft guidelines</w:t>
      </w:r>
      <w:r w:rsidRPr="00EE074C">
        <w:rPr>
          <w:lang w:val="en-US"/>
        </w:rPr>
        <w:t xml:space="preserve"> </w:t>
      </w:r>
      <w:r>
        <w:rPr>
          <w:lang w:val="en-US"/>
        </w:rPr>
        <w:t>took place earlier in April and June 2018 with</w:t>
      </w:r>
      <w:r w:rsidRPr="00EE074C">
        <w:rPr>
          <w:lang w:val="en-US"/>
        </w:rPr>
        <w:t xml:space="preserve"> NSOs experts from Bangladesh, India, Korea (Republic of), Sri Lanka, Germany Israel, Mexico, Tunisia, Turkey and Unites States of America.</w:t>
      </w:r>
      <w:r>
        <w:t xml:space="preserve"> </w:t>
      </w:r>
      <w:r w:rsidR="00BC34B9" w:rsidRPr="00BC34B9">
        <w:t>The latest of such consultation took place in September 2018 with representatives of NSOs</w:t>
      </w:r>
      <w:r>
        <w:t xml:space="preserve"> </w:t>
      </w:r>
      <w:r w:rsidR="00C54300">
        <w:t xml:space="preserve">from </w:t>
      </w:r>
      <w:r w:rsidR="00C54300">
        <w:rPr>
          <w:lang w:val="en-US"/>
        </w:rPr>
        <w:t>Indonesia, Jamaica, Lao</w:t>
      </w:r>
      <w:r w:rsidR="00030D7B">
        <w:rPr>
          <w:lang w:val="en-US"/>
        </w:rPr>
        <w:t>s</w:t>
      </w:r>
      <w:r w:rsidR="00C54300">
        <w:rPr>
          <w:lang w:val="en-US"/>
        </w:rPr>
        <w:t xml:space="preserve"> PDR, Malaysia, Mexico, Nigeria, Philippines, Senegal, Sri Lanka, Thailand and </w:t>
      </w:r>
      <w:r w:rsidR="00FD23E1">
        <w:rPr>
          <w:lang w:val="en-US"/>
        </w:rPr>
        <w:t xml:space="preserve">Uganda </w:t>
      </w:r>
      <w:r w:rsidR="00FD23E1" w:rsidRPr="006661CD">
        <w:rPr>
          <w:lang w:val="en-US"/>
        </w:rPr>
        <w:t>in</w:t>
      </w:r>
      <w:r w:rsidR="00BC34B9" w:rsidRPr="00BC34B9">
        <w:t xml:space="preserve"> Washington </w:t>
      </w:r>
      <w:proofErr w:type="gramStart"/>
      <w:r w:rsidR="00BC34B9" w:rsidRPr="00BC34B9">
        <w:t>D.C</w:t>
      </w:r>
      <w:r>
        <w:t xml:space="preserve"> </w:t>
      </w:r>
      <w:r w:rsidR="00BC34B9" w:rsidRPr="00BC34B9">
        <w:t>,</w:t>
      </w:r>
      <w:proofErr w:type="gramEnd"/>
      <w:r w:rsidR="00BC34B9" w:rsidRPr="00BC34B9">
        <w:t xml:space="preserve"> who provided additional revisions and endorsed the draft Guidelines, as ready to be implemented at national level.</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84686A">
      <w:pPr>
        <w:pStyle w:val="MHeader"/>
      </w:pPr>
      <w:r w:rsidRPr="00573631">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84686A">
      <w:pPr>
        <w:pStyle w:val="MSubHeader"/>
      </w:pPr>
      <w:r w:rsidRPr="00573631">
        <w:t>Description:</w:t>
      </w:r>
    </w:p>
    <w:p w14:paraId="2FC6719E" w14:textId="32E568BB" w:rsidR="00C767E7" w:rsidRDefault="00DF26AE" w:rsidP="0084686A">
      <w:pPr>
        <w:pStyle w:val="MText"/>
      </w:pPr>
      <w:r>
        <w:t>S</w:t>
      </w:r>
      <w:r w:rsidR="00C767E7">
        <w:t>tatistics on SDG indicator 10.7.1 should be collected primarily by using existing data collection systems such as household</w:t>
      </w:r>
      <w:r w:rsidR="00B74153">
        <w:t>-based</w:t>
      </w:r>
      <w:r w:rsidR="00C767E7">
        <w:t xml:space="preserve"> surveys</w:t>
      </w:r>
      <w:r w:rsidR="00AB364A">
        <w:t xml:space="preserve">. </w:t>
      </w:r>
      <w:r w:rsidR="0024055D">
        <w:t xml:space="preserve"> This will ensure </w:t>
      </w:r>
      <w:r>
        <w:t xml:space="preserve">coherence with </w:t>
      </w:r>
      <w:r w:rsidR="0024055D">
        <w:t xml:space="preserve">existing </w:t>
      </w:r>
      <w:r>
        <w:t xml:space="preserve">national sources, methodologies </w:t>
      </w:r>
      <w:r w:rsidR="0024055D">
        <w:t>and sampling frame</w:t>
      </w:r>
      <w:r w:rsidR="00631B33">
        <w:t>s</w:t>
      </w:r>
      <w:r w:rsidR="0024055D">
        <w:t>, including types of interviews, field organization, etc.</w:t>
      </w:r>
    </w:p>
    <w:p w14:paraId="7A7EF8CC" w14:textId="77777777" w:rsidR="00AB364A" w:rsidRDefault="00AB364A" w:rsidP="0084686A">
      <w:pPr>
        <w:pStyle w:val="MText"/>
      </w:pPr>
    </w:p>
    <w:p w14:paraId="344514FE" w14:textId="039EB47E" w:rsidR="00C767E7" w:rsidRDefault="00AB364A" w:rsidP="0084686A">
      <w:pPr>
        <w:pStyle w:val="MText"/>
      </w:pPr>
      <w:r w:rsidRPr="00AB364A">
        <w:t>A general household survey strategy has two advantages:</w:t>
      </w:r>
      <w:r>
        <w:t xml:space="preserve"> a) </w:t>
      </w:r>
      <w:r w:rsidRPr="00AB364A">
        <w:t>a survey of this type may already have been well established in the country of origin as well as in host countries; and</w:t>
      </w:r>
      <w:r>
        <w:t xml:space="preserve"> b) </w:t>
      </w:r>
      <w:r w:rsidRPr="00AB364A">
        <w:t>this type of survey may already collect some of the relevant information from the members of the household (even from absent members in the country of origin).</w:t>
      </w:r>
    </w:p>
    <w:p w14:paraId="211D7F05" w14:textId="77777777" w:rsidR="00AB364A" w:rsidRDefault="00AB364A" w:rsidP="0084686A">
      <w:pPr>
        <w:pStyle w:val="MText"/>
      </w:pPr>
    </w:p>
    <w:p w14:paraId="268FF8EB" w14:textId="5BD0E638" w:rsidR="00C767E7" w:rsidRDefault="005F0BD2" w:rsidP="0084686A">
      <w:pPr>
        <w:pStyle w:val="MText"/>
      </w:pPr>
      <w:r w:rsidRPr="005F0BD2">
        <w:t xml:space="preserve">In order to reduce the operational challenges/costs as much as possible, the primary instruments for data collection should be household-based surveys </w:t>
      </w:r>
      <w:r w:rsidR="00C767E7">
        <w:t>(</w:t>
      </w:r>
      <w:r w:rsidR="00C767E7" w:rsidRPr="00C767E7">
        <w:t>such as a labour force survey, household income and expenditure survey, or multi-purpose surveys that include questions on employment and migration</w:t>
      </w:r>
      <w:r w:rsidR="00C767E7">
        <w:t xml:space="preserve">) </w:t>
      </w:r>
      <w:r w:rsidRPr="005F0BD2">
        <w:t xml:space="preserve">in order to rely on existing programmes carried out on regular basis by countries; </w:t>
      </w:r>
      <w:r w:rsidR="00631B33">
        <w:t>these</w:t>
      </w:r>
      <w:r w:rsidR="00631B33" w:rsidRPr="005F0BD2">
        <w:t xml:space="preserve"> </w:t>
      </w:r>
      <w:r w:rsidRPr="005F0BD2">
        <w:t>could be complemented with establishment surveys for destination countries, and administrative records. In case</w:t>
      </w:r>
      <w:r w:rsidR="00631B33">
        <w:t>s</w:t>
      </w:r>
      <w:r w:rsidRPr="005F0BD2">
        <w:t xml:space="preserve"> where such data are not available, as a last recourse, </w:t>
      </w:r>
      <w:r w:rsidR="00B74153">
        <w:t xml:space="preserve">shorter </w:t>
      </w:r>
      <w:r w:rsidRPr="005F0BD2">
        <w:t xml:space="preserve">traveller surveys of migrant workers </w:t>
      </w:r>
      <w:r w:rsidR="00B74153">
        <w:t>at ports of departure</w:t>
      </w:r>
      <w:r w:rsidR="00700322">
        <w:t>/</w:t>
      </w:r>
      <w:r w:rsidR="00B74153">
        <w:t>entry</w:t>
      </w:r>
      <w:r w:rsidR="00E37CDB">
        <w:t xml:space="preserve">. Migrants could be surveyed </w:t>
      </w:r>
      <w:r w:rsidRPr="005F0BD2">
        <w:t xml:space="preserve">during visits </w:t>
      </w:r>
      <w:r w:rsidR="00E37CDB">
        <w:t xml:space="preserve">to their home countries or when they </w:t>
      </w:r>
      <w:proofErr w:type="gramStart"/>
      <w:r w:rsidR="00E37CDB">
        <w:t>return back</w:t>
      </w:r>
      <w:proofErr w:type="gramEnd"/>
      <w:r w:rsidR="00E37CDB">
        <w:t xml:space="preserve"> home</w:t>
      </w:r>
      <w:r w:rsidRPr="005F0BD2">
        <w:t xml:space="preserve">. </w:t>
      </w:r>
    </w:p>
    <w:p w14:paraId="3222689E" w14:textId="77777777" w:rsidR="00C767E7" w:rsidRDefault="00C767E7" w:rsidP="00573631">
      <w:pPr>
        <w:shd w:val="clear" w:color="auto" w:fill="FFFFFF"/>
        <w:spacing w:after="0"/>
        <w:rPr>
          <w:rFonts w:eastAsia="Times New Roman" w:cs="Times New Roman"/>
          <w:color w:val="4A4A4A"/>
          <w:sz w:val="21"/>
          <w:szCs w:val="21"/>
          <w:lang w:eastAsia="en-GB"/>
        </w:rPr>
      </w:pPr>
    </w:p>
    <w:p w14:paraId="259CB792" w14:textId="118F4E0D" w:rsidR="00901DE4" w:rsidRDefault="005F0BD2" w:rsidP="0084686A">
      <w:pPr>
        <w:pStyle w:val="MText"/>
        <w:numPr>
          <w:ilvl w:val="0"/>
          <w:numId w:val="10"/>
        </w:numPr>
      </w:pPr>
      <w:r w:rsidRPr="005F0BD2">
        <w:t xml:space="preserve">The sampling strategy and the data collection instrument (questionnaire) should be aimed at gathering representative statistics for the </w:t>
      </w:r>
      <w:r w:rsidR="00631B33">
        <w:t xml:space="preserve">concerned </w:t>
      </w:r>
      <w:r w:rsidRPr="005F0BD2">
        <w:t xml:space="preserve">country </w:t>
      </w:r>
      <w:r w:rsidR="00057E87">
        <w:t>and/</w:t>
      </w:r>
      <w:r w:rsidRPr="005F0BD2">
        <w:t xml:space="preserve">or </w:t>
      </w:r>
      <w:proofErr w:type="gramStart"/>
      <w:r w:rsidRPr="005F0BD2">
        <w:t>corridor</w:t>
      </w:r>
      <w:r w:rsidR="00700322">
        <w:t>s</w:t>
      </w:r>
      <w:r w:rsidRPr="005F0BD2">
        <w:t>, if</w:t>
      </w:r>
      <w:proofErr w:type="gramEnd"/>
      <w:r w:rsidRPr="005F0BD2">
        <w:t xml:space="preserve"> major bilateral migration corridors are targeted.</w:t>
      </w:r>
      <w:r w:rsidR="00C767E7">
        <w:t xml:space="preserve"> </w:t>
      </w:r>
      <w:r w:rsidR="00C767E7" w:rsidRPr="00C767E7">
        <w:t xml:space="preserve">However, in a country of origin the sampling strategy may have to be modified to over- sample in regions/villages from </w:t>
      </w:r>
      <w:r w:rsidR="00631B33">
        <w:t>which</w:t>
      </w:r>
      <w:r w:rsidR="00631B33" w:rsidRPr="00C767E7">
        <w:t xml:space="preserve"> </w:t>
      </w:r>
      <w:r w:rsidR="00C767E7" w:rsidRPr="00C767E7">
        <w:t xml:space="preserve">migrant workers are most frequently recruited, to obtain a large enough number of target group respondents </w:t>
      </w:r>
      <w:r w:rsidR="00631B33">
        <w:t>for</w:t>
      </w:r>
      <w:r w:rsidR="00C767E7" w:rsidRPr="00C767E7">
        <w:t xml:space="preserve"> sufficiently precise estimates.</w:t>
      </w:r>
      <w:r w:rsidR="00B61742">
        <w:t xml:space="preserve"> </w:t>
      </w:r>
      <w:r w:rsidR="00B61742" w:rsidRPr="00B61742">
        <w:t>Different strategies could be used to design an adequate sampling frame including use of area sampling, use of electricity/mobile bills, combine the information from household surveys with establishment surveys and other administrative registries, where available</w:t>
      </w:r>
      <w:r w:rsidR="00B61742">
        <w:t xml:space="preserve">. </w:t>
      </w:r>
      <w:r w:rsidR="00C767E7">
        <w:t xml:space="preserve"> </w:t>
      </w:r>
      <w:r w:rsidR="00C767E7" w:rsidRPr="00C767E7">
        <w:t xml:space="preserve">If the data is collected through a general household survey in a destination country, the sampling frame </w:t>
      </w:r>
      <w:r w:rsidR="0084686A">
        <w:t>may need to be</w:t>
      </w:r>
      <w:r w:rsidR="00C767E7" w:rsidRPr="00C767E7">
        <w:t xml:space="preserve"> supplemented by collective households</w:t>
      </w:r>
      <w:r w:rsidR="00B61742">
        <w:t xml:space="preserve"> (</w:t>
      </w:r>
      <w:r w:rsidR="00B61742" w:rsidRPr="00B61742">
        <w:t>workers’ residence, dormitories</w:t>
      </w:r>
      <w:r w:rsidR="00B61742">
        <w:t>)</w:t>
      </w:r>
      <w:r w:rsidR="00C767E7" w:rsidRPr="00C767E7">
        <w:t xml:space="preserve"> likely to serve as dwellings for (foreign) migrant workers.</w:t>
      </w:r>
      <w:r w:rsidR="00901DE4">
        <w:t xml:space="preserve"> The sampling strategy and the data collection instrument (questionnaire) should all be aimed at gathering representative statistics for the country or for the concerned “corridors</w:t>
      </w:r>
      <w:proofErr w:type="gramStart"/>
      <w:r w:rsidR="00901DE4">
        <w:t>”, if</w:t>
      </w:r>
      <w:proofErr w:type="gramEnd"/>
      <w:r w:rsidR="00901DE4" w:rsidRPr="009D4790">
        <w:rPr>
          <w:spacing w:val="-11"/>
        </w:rPr>
        <w:t xml:space="preserve"> </w:t>
      </w:r>
      <w:r w:rsidR="00901DE4">
        <w:t>major bilateral migration corridors are targeted.</w:t>
      </w:r>
    </w:p>
    <w:p w14:paraId="15F89E10" w14:textId="2D90C32F" w:rsidR="00A61D74" w:rsidRDefault="00A61D74" w:rsidP="00C767E7">
      <w:pPr>
        <w:shd w:val="clear" w:color="auto" w:fill="FFFFFF"/>
        <w:spacing w:after="0"/>
        <w:rPr>
          <w:rFonts w:eastAsia="Times New Roman" w:cs="Times New Roman"/>
          <w:color w:val="4A4A4A"/>
          <w:sz w:val="21"/>
          <w:szCs w:val="21"/>
          <w:lang w:eastAsia="en-GB"/>
        </w:rPr>
      </w:pPr>
    </w:p>
    <w:p w14:paraId="44BB3CE6" w14:textId="5E1C252F" w:rsidR="00B61742" w:rsidRDefault="00B61742" w:rsidP="00C767E7">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84686A">
      <w:pPr>
        <w:pStyle w:val="MSubHeader"/>
      </w:pPr>
      <w:r w:rsidRPr="00573631">
        <w:t>Collection process:</w:t>
      </w:r>
    </w:p>
    <w:p w14:paraId="1C99878C" w14:textId="57465B73" w:rsidR="0058556D" w:rsidRDefault="0024055D" w:rsidP="0084686A">
      <w:pPr>
        <w:pStyle w:val="MText"/>
      </w:pPr>
      <w:r w:rsidRPr="0024055D">
        <w:lastRenderedPageBreak/>
        <w:t xml:space="preserve">The statistics </w:t>
      </w:r>
      <w:r>
        <w:t>collected for this indicator should</w:t>
      </w:r>
      <w:r w:rsidRPr="0024055D">
        <w:t xml:space="preserve"> be recognized </w:t>
      </w:r>
      <w:r>
        <w:t>at</w:t>
      </w:r>
      <w:r w:rsidR="00631B33">
        <w:t xml:space="preserve"> the</w:t>
      </w:r>
      <w:r>
        <w:t xml:space="preserve"> national level </w:t>
      </w:r>
      <w:r w:rsidRPr="0024055D">
        <w:t>as official statistics by the proper authorities in the country producing them, e.g. the National Statistical Office (NSO), the Ministry of Labo</w:t>
      </w:r>
      <w:r>
        <w:t>u</w:t>
      </w:r>
      <w:r w:rsidRPr="0024055D">
        <w:t>r (MoL), or other official agency within the system for national official statistics.</w:t>
      </w:r>
      <w:r>
        <w:t xml:space="preserve"> </w:t>
      </w:r>
      <w:r w:rsidR="00631B33">
        <w:t xml:space="preserve">The </w:t>
      </w:r>
      <w:r>
        <w:t>NSO</w:t>
      </w:r>
      <w:r w:rsidR="00631B33">
        <w:t>, MoL</w:t>
      </w:r>
      <w:r>
        <w:t xml:space="preserve"> or </w:t>
      </w:r>
      <w:r w:rsidR="00631B33">
        <w:t>other</w:t>
      </w:r>
      <w:r>
        <w:t xml:space="preserve"> official agency should be the counterpart for the collection of statistics on SDG 10.7.1.</w:t>
      </w:r>
    </w:p>
    <w:p w14:paraId="27F63B39" w14:textId="4629BA36" w:rsidR="0024055D" w:rsidRDefault="0024055D" w:rsidP="0084686A">
      <w:pPr>
        <w:pStyle w:val="MText"/>
      </w:pPr>
    </w:p>
    <w:p w14:paraId="33B26712" w14:textId="215007D6" w:rsidR="00E37CDB" w:rsidRDefault="00E37CDB" w:rsidP="0084686A">
      <w:pPr>
        <w:pStyle w:val="MText"/>
      </w:pPr>
      <w:r w:rsidRPr="00AB364A">
        <w:t>The survey data will be collected by NSO using already existing survey instruments</w:t>
      </w:r>
      <w:r w:rsidR="0088438F">
        <w:t>.</w:t>
      </w:r>
      <w:r w:rsidRPr="00AB364A">
        <w:t xml:space="preserve"> </w:t>
      </w:r>
    </w:p>
    <w:p w14:paraId="16495025" w14:textId="77777777" w:rsidR="0088438F" w:rsidRPr="00AB364A" w:rsidRDefault="0088438F" w:rsidP="0084686A">
      <w:pPr>
        <w:pStyle w:val="MText"/>
      </w:pPr>
    </w:p>
    <w:p w14:paraId="6836E9D2" w14:textId="77777777" w:rsidR="0088438F" w:rsidRDefault="00E37CDB" w:rsidP="0084686A">
      <w:pPr>
        <w:pStyle w:val="MText"/>
      </w:pPr>
      <w:r w:rsidRPr="00AB364A">
        <w:t xml:space="preserve">Survey data: A standalone and succinct module </w:t>
      </w:r>
      <w:r w:rsidR="0088438F">
        <w:t xml:space="preserve">and a set of questions is being </w:t>
      </w:r>
      <w:r w:rsidRPr="00AB364A">
        <w:t xml:space="preserve">developed </w:t>
      </w:r>
      <w:r w:rsidR="0088438F">
        <w:t xml:space="preserve">by </w:t>
      </w:r>
      <w:r w:rsidRPr="00AB364A">
        <w:t>the custodians to ensure a harmonized approach</w:t>
      </w:r>
      <w:r w:rsidR="0088438F">
        <w:t xml:space="preserve"> in the countries.</w:t>
      </w:r>
    </w:p>
    <w:p w14:paraId="5E28F654" w14:textId="5307AAF9" w:rsidR="00E37CDB" w:rsidRPr="00AB364A" w:rsidRDefault="00E37CDB" w:rsidP="0084686A">
      <w:pPr>
        <w:pStyle w:val="MText"/>
      </w:pPr>
      <w:r w:rsidRPr="00AB364A">
        <w:t xml:space="preserve"> </w:t>
      </w:r>
    </w:p>
    <w:p w14:paraId="71269A90" w14:textId="23038440" w:rsidR="00E37CDB" w:rsidRDefault="00E37CDB" w:rsidP="0084686A">
      <w:pPr>
        <w:pStyle w:val="MText"/>
      </w:pPr>
      <w:r w:rsidRPr="00AB364A">
        <w:t xml:space="preserve">The module will be made available to NSO for integration in household survey instruments already in place and will be used by other international household survey programs working with NSO, (such as LSMS and UIS), and can be used by any other complementary survey instrument that meet the SDG quality requirements, while producing data approved and reported by NSO. </w:t>
      </w:r>
    </w:p>
    <w:p w14:paraId="58F54026" w14:textId="77777777" w:rsidR="0088438F" w:rsidRPr="00AB364A" w:rsidRDefault="0088438F" w:rsidP="0084686A">
      <w:pPr>
        <w:pStyle w:val="MText"/>
      </w:pPr>
    </w:p>
    <w:p w14:paraId="49D97213" w14:textId="432C5EFB" w:rsidR="00E37CDB" w:rsidRDefault="00E37CDB" w:rsidP="0084686A">
      <w:pPr>
        <w:pStyle w:val="MText"/>
      </w:pPr>
      <w:r w:rsidRPr="00AB364A">
        <w:t xml:space="preserve">Capacity building material </w:t>
      </w:r>
      <w:r w:rsidR="0088438F">
        <w:t xml:space="preserve">will be developed. </w:t>
      </w:r>
      <w:r w:rsidRPr="00AB364A">
        <w:t xml:space="preserve">A tailor-made approach </w:t>
      </w:r>
      <w:r w:rsidR="0088438F">
        <w:t xml:space="preserve">will be applied, </w:t>
      </w:r>
      <w:r w:rsidRPr="00AB364A">
        <w:t xml:space="preserve">where each country will be assisted, upon request, with integration of the essential questions in existing survey instruments and customization.  </w:t>
      </w:r>
    </w:p>
    <w:p w14:paraId="184492D6" w14:textId="77777777" w:rsidR="0088438F" w:rsidRPr="00573631" w:rsidRDefault="0088438F" w:rsidP="00E37CDB">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84686A">
      <w:pPr>
        <w:pStyle w:val="MHeader"/>
      </w:pPr>
      <w:r w:rsidRPr="00573631">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84686A">
      <w:pPr>
        <w:pStyle w:val="MSubHeader"/>
      </w:pPr>
      <w:r w:rsidRPr="00573631">
        <w:t>Description:</w:t>
      </w:r>
    </w:p>
    <w:p w14:paraId="76A6DC0E" w14:textId="0AED81B8" w:rsidR="00590FF8" w:rsidRDefault="00590FF8" w:rsidP="0084686A">
      <w:pPr>
        <w:pStyle w:val="MText"/>
      </w:pPr>
      <w:r w:rsidRPr="0084686A">
        <w:t>During various development stages of the methodologies from 2014 to 2016, the following 10 countries were involved in initial small-scale pilot tests of the methodology: Ethiopia in Africa; Mexico in Latin America; India, Malaysia, Nepal, Pakistan, Russia, and the Philippines in Asia and the Pacific; and Italy in Europe.</w:t>
      </w:r>
      <w:r w:rsidR="00700322" w:rsidRPr="0084686A">
        <w:t xml:space="preserve"> The datasets and documentation for these surveys are be found at </w:t>
      </w:r>
      <w:hyperlink r:id="rId10" w:history="1">
        <w:r w:rsidR="00700322" w:rsidRPr="0084686A">
          <w:rPr>
            <w:rStyle w:val="Hyperlink"/>
            <w:color w:val="4A4A4A"/>
            <w:u w:val="none"/>
          </w:rPr>
          <w:t>https://www.knomad.org/data/recruitment-costs</w:t>
        </w:r>
      </w:hyperlink>
      <w:r w:rsidR="00700322" w:rsidRPr="0084686A">
        <w:t xml:space="preserve">. </w:t>
      </w:r>
    </w:p>
    <w:p w14:paraId="549630F5" w14:textId="77777777" w:rsidR="0084686A" w:rsidRPr="0084686A" w:rsidRDefault="0084686A" w:rsidP="0084686A">
      <w:pPr>
        <w:pStyle w:val="MText"/>
      </w:pPr>
    </w:p>
    <w:p w14:paraId="3E19154B" w14:textId="3DA186BA" w:rsidR="00A97A76" w:rsidRPr="0084686A" w:rsidRDefault="008850FD" w:rsidP="0084686A">
      <w:pPr>
        <w:pStyle w:val="MText"/>
      </w:pPr>
      <w:r w:rsidRPr="0084686A">
        <w:t>These survey have produced data for the following countries/</w:t>
      </w:r>
      <w:r w:rsidR="00FD23E1" w:rsidRPr="0084686A">
        <w:t>corridors: Indonesia</w:t>
      </w:r>
      <w:r w:rsidRPr="0084686A">
        <w:t xml:space="preserve"> – Korea; Thailand – Korea; Vietnam – Korea; Vietnam – </w:t>
      </w:r>
      <w:proofErr w:type="spellStart"/>
      <w:r w:rsidRPr="0084686A">
        <w:t>Malaysia;The</w:t>
      </w:r>
      <w:proofErr w:type="spellEnd"/>
      <w:r w:rsidRPr="0084686A">
        <w:t xml:space="preserve"> Philippines – </w:t>
      </w:r>
      <w:proofErr w:type="spellStart"/>
      <w:r w:rsidRPr="0084686A">
        <w:t>Qatar;Nepal</w:t>
      </w:r>
      <w:proofErr w:type="spellEnd"/>
      <w:r w:rsidRPr="0084686A">
        <w:t xml:space="preserve"> – Qatar;</w:t>
      </w:r>
      <w:r w:rsidR="00A97A76" w:rsidRPr="0084686A">
        <w:t xml:space="preserve"> </w:t>
      </w:r>
      <w:r w:rsidRPr="0084686A">
        <w:t xml:space="preserve">India – </w:t>
      </w:r>
      <w:proofErr w:type="spellStart"/>
      <w:r w:rsidRPr="0084686A">
        <w:t>Qatar;India</w:t>
      </w:r>
      <w:proofErr w:type="spellEnd"/>
      <w:r w:rsidRPr="0084686A">
        <w:t xml:space="preserve"> – Kuwait; Bangladesh – </w:t>
      </w:r>
      <w:proofErr w:type="spellStart"/>
      <w:r w:rsidRPr="0084686A">
        <w:t>Kuwait;Sri</w:t>
      </w:r>
      <w:proofErr w:type="spellEnd"/>
      <w:r w:rsidRPr="0084686A">
        <w:t xml:space="preserve"> Lanka – </w:t>
      </w:r>
      <w:proofErr w:type="spellStart"/>
      <w:r w:rsidRPr="0084686A">
        <w:t>Kuwait;Egypt</w:t>
      </w:r>
      <w:proofErr w:type="spellEnd"/>
      <w:r w:rsidRPr="0084686A">
        <w:t xml:space="preserve"> – </w:t>
      </w:r>
      <w:proofErr w:type="spellStart"/>
      <w:r w:rsidRPr="0084686A">
        <w:t>Kuwait;Ethiopia</w:t>
      </w:r>
      <w:proofErr w:type="spellEnd"/>
      <w:r w:rsidRPr="0084686A">
        <w:t xml:space="preserve"> – Saudi Arabia; Pakistan – Saudi </w:t>
      </w:r>
      <w:proofErr w:type="spellStart"/>
      <w:r w:rsidRPr="0084686A">
        <w:t>Arabia;Pakistan</w:t>
      </w:r>
      <w:proofErr w:type="spellEnd"/>
      <w:r w:rsidRPr="0084686A">
        <w:t xml:space="preserve"> – </w:t>
      </w:r>
      <w:proofErr w:type="spellStart"/>
      <w:r w:rsidRPr="0084686A">
        <w:t>UAE;Ecuador</w:t>
      </w:r>
      <w:proofErr w:type="spellEnd"/>
      <w:r w:rsidRPr="0084686A">
        <w:t xml:space="preserve"> – </w:t>
      </w:r>
      <w:proofErr w:type="spellStart"/>
      <w:r w:rsidRPr="0084686A">
        <w:t>Spain;Morocco</w:t>
      </w:r>
      <w:proofErr w:type="spellEnd"/>
      <w:r w:rsidRPr="0084686A">
        <w:t xml:space="preserve"> – </w:t>
      </w:r>
      <w:proofErr w:type="spellStart"/>
      <w:r w:rsidRPr="0084686A">
        <w:t>Spain;Bulgaria</w:t>
      </w:r>
      <w:proofErr w:type="spellEnd"/>
      <w:r w:rsidRPr="0084686A">
        <w:t xml:space="preserve"> – </w:t>
      </w:r>
      <w:proofErr w:type="spellStart"/>
      <w:r w:rsidRPr="0084686A">
        <w:t>Spain;Poland</w:t>
      </w:r>
      <w:proofErr w:type="spellEnd"/>
      <w:r w:rsidRPr="0084686A">
        <w:t xml:space="preserve"> – </w:t>
      </w:r>
      <w:proofErr w:type="spellStart"/>
      <w:r w:rsidRPr="0084686A">
        <w:t>Spain;Guatemala</w:t>
      </w:r>
      <w:proofErr w:type="spellEnd"/>
      <w:r w:rsidRPr="0084686A">
        <w:t xml:space="preserve"> – </w:t>
      </w:r>
      <w:proofErr w:type="spellStart"/>
      <w:r w:rsidRPr="0084686A">
        <w:t>Mexico;Honduras</w:t>
      </w:r>
      <w:proofErr w:type="spellEnd"/>
      <w:r w:rsidRPr="0084686A">
        <w:t xml:space="preserve"> – Mexico ;El Salvador – Mexico</w:t>
      </w:r>
      <w:r w:rsidR="00A97A76" w:rsidRPr="0084686A">
        <w:t xml:space="preserve">; Russia – Kyrgyzstan; Russia -Tajikistan; Russia – Uzbekistan; India-Saudi Arabia; Philippines-Saudi Arabia; Nepal – </w:t>
      </w:r>
      <w:proofErr w:type="spellStart"/>
      <w:r w:rsidR="00A97A76" w:rsidRPr="0084686A">
        <w:t>S</w:t>
      </w:r>
      <w:r w:rsidR="00FD23E1" w:rsidRPr="0084686A">
        <w:t>au</w:t>
      </w:r>
      <w:r w:rsidR="00A97A76" w:rsidRPr="0084686A">
        <w:t>id</w:t>
      </w:r>
      <w:r w:rsidR="00FD23E1" w:rsidRPr="0084686A">
        <w:t>i</w:t>
      </w:r>
      <w:proofErr w:type="spellEnd"/>
      <w:r w:rsidR="00A97A76" w:rsidRPr="0084686A">
        <w:t xml:space="preserve"> Arabia; Nepal – Malaysia; Nepal – Qatar.</w:t>
      </w:r>
    </w:p>
    <w:p w14:paraId="72071A5B" w14:textId="77777777" w:rsidR="0084686A" w:rsidRDefault="0084686A" w:rsidP="0084686A">
      <w:pPr>
        <w:pStyle w:val="MText"/>
      </w:pPr>
    </w:p>
    <w:p w14:paraId="7A54FE18" w14:textId="20E0FAED" w:rsidR="00590FF8" w:rsidRPr="0084686A" w:rsidRDefault="00590FF8" w:rsidP="0084686A">
      <w:pPr>
        <w:pStyle w:val="MText"/>
      </w:pPr>
      <w:r w:rsidRPr="0084686A">
        <w:t xml:space="preserve">Much recently at national level, the Lao PDR Statistics Bureau was involved in conducting </w:t>
      </w:r>
      <w:r w:rsidR="00700322" w:rsidRPr="0084686A">
        <w:t>a</w:t>
      </w:r>
      <w:r w:rsidRPr="0084686A">
        <w:t xml:space="preserve"> pilot of the draft methodology using its LFS 2017 with </w:t>
      </w:r>
      <w:r w:rsidR="00700322" w:rsidRPr="0084686A">
        <w:t>an</w:t>
      </w:r>
      <w:r w:rsidRPr="0084686A">
        <w:t xml:space="preserve"> additional module on migration costs</w:t>
      </w:r>
      <w:r w:rsidR="00700322" w:rsidRPr="0084686A">
        <w:t>.</w:t>
      </w:r>
    </w:p>
    <w:p w14:paraId="5527ECAB" w14:textId="77777777" w:rsidR="00A61D74" w:rsidRPr="00AD5C70" w:rsidRDefault="00A61D74" w:rsidP="00A61D74">
      <w:pPr>
        <w:shd w:val="clear" w:color="auto" w:fill="FFFFFF"/>
        <w:spacing w:after="0"/>
        <w:rPr>
          <w:rFonts w:eastAsia="Times New Roman" w:cs="Times New Roman"/>
          <w:color w:val="4A4A4A"/>
          <w:sz w:val="21"/>
          <w:szCs w:val="21"/>
          <w:lang w:val="en-US" w:eastAsia="en-GB"/>
        </w:rPr>
      </w:pPr>
    </w:p>
    <w:p w14:paraId="77AF477E" w14:textId="77777777" w:rsidR="0058556D" w:rsidRPr="00573631" w:rsidRDefault="0058556D" w:rsidP="0084686A">
      <w:pPr>
        <w:pStyle w:val="MSubHeader"/>
      </w:pPr>
      <w:r w:rsidRPr="00573631">
        <w:t>Time series:</w:t>
      </w:r>
    </w:p>
    <w:p w14:paraId="0931E7CD" w14:textId="37C8F0CD" w:rsidR="000A1A62" w:rsidRPr="00573631" w:rsidRDefault="000A1A62" w:rsidP="0084686A">
      <w:pPr>
        <w:pStyle w:val="MText"/>
      </w:pPr>
      <w:r>
        <w:t>In principle, the countries are expected to collect data one every two years, depending on the data production capacity of the country.</w:t>
      </w:r>
      <w:r w:rsidR="00700322">
        <w:t xml:space="preserve"> </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84686A">
      <w:pPr>
        <w:pStyle w:val="MHeader"/>
      </w:pPr>
      <w:r w:rsidRPr="00573631">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84686A">
      <w:pPr>
        <w:pStyle w:val="MSubHeader"/>
      </w:pPr>
      <w:r w:rsidRPr="00573631">
        <w:lastRenderedPageBreak/>
        <w:t>Data collection:</w:t>
      </w:r>
    </w:p>
    <w:p w14:paraId="36224972" w14:textId="77777777" w:rsidR="000A1A62" w:rsidRDefault="000A1A62" w:rsidP="0084686A">
      <w:pPr>
        <w:pStyle w:val="MText"/>
      </w:pPr>
      <w:r>
        <w:t>As of 1</w:t>
      </w:r>
      <w:r w:rsidRPr="00D65811">
        <w:rPr>
          <w:vertAlign w:val="superscript"/>
        </w:rPr>
        <w:t>st</w:t>
      </w:r>
      <w:r>
        <w:t xml:space="preserve"> quarter of 2019</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84686A">
      <w:pPr>
        <w:pStyle w:val="MText"/>
      </w:pPr>
      <w:r w:rsidRPr="00573631">
        <w:rPr>
          <w:b/>
          <w:bCs/>
        </w:rPr>
        <w:t>Data release:</w:t>
      </w:r>
    </w:p>
    <w:p w14:paraId="08878803" w14:textId="3963A90B" w:rsidR="000A1A62" w:rsidRDefault="000A1A62" w:rsidP="0084686A">
      <w:pPr>
        <w:pStyle w:val="MText"/>
      </w:pPr>
      <w:r>
        <w:t>As of the third quarter of 2019.</w:t>
      </w:r>
    </w:p>
    <w:p w14:paraId="7CB84A2B" w14:textId="77777777" w:rsidR="00A61D74" w:rsidRPr="00573631" w:rsidRDefault="00A61D74" w:rsidP="0084686A">
      <w:pPr>
        <w:pStyle w:val="MText"/>
      </w:pPr>
    </w:p>
    <w:p w14:paraId="45025639" w14:textId="77777777" w:rsidR="0058556D" w:rsidRPr="00573631" w:rsidRDefault="0058556D" w:rsidP="0084686A">
      <w:pPr>
        <w:pStyle w:val="MHeader"/>
      </w:pPr>
      <w:r w:rsidRPr="00573631">
        <w:t>Data providers</w:t>
      </w:r>
    </w:p>
    <w:p w14:paraId="2EC840EA" w14:textId="2B87421F" w:rsidR="00A61D74" w:rsidRDefault="00575190" w:rsidP="0084686A">
      <w:pPr>
        <w:pStyle w:val="MText"/>
      </w:pPr>
      <w:r>
        <w:t>National Statistical Offices (NSOs).</w:t>
      </w:r>
    </w:p>
    <w:p w14:paraId="7571BC3D" w14:textId="77777777" w:rsidR="00575190" w:rsidRPr="00573631" w:rsidRDefault="00575190"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84686A">
      <w:pPr>
        <w:pStyle w:val="MHeader"/>
      </w:pPr>
      <w:r w:rsidRPr="00573631">
        <w:t>Data compilers</w:t>
      </w:r>
    </w:p>
    <w:p w14:paraId="15E5B7B9" w14:textId="2EA573F5" w:rsidR="00A61D74" w:rsidRDefault="00575190" w:rsidP="0084686A">
      <w:pPr>
        <w:pStyle w:val="MText"/>
      </w:pPr>
      <w:r>
        <w:t>ILO and the World Bank.</w:t>
      </w:r>
    </w:p>
    <w:p w14:paraId="4D3BCE42" w14:textId="77777777" w:rsidR="00575190" w:rsidRPr="00573631" w:rsidRDefault="00575190" w:rsidP="00573631">
      <w:pPr>
        <w:shd w:val="clear" w:color="auto" w:fill="FFFFFF"/>
        <w:spacing w:after="0"/>
        <w:rPr>
          <w:rFonts w:eastAsia="Times New Roman" w:cs="Times New Roman"/>
          <w:color w:val="4A4A4A"/>
          <w:sz w:val="21"/>
          <w:szCs w:val="21"/>
          <w:lang w:eastAsia="en-GB"/>
        </w:rPr>
      </w:pPr>
    </w:p>
    <w:p w14:paraId="28C5EFB4" w14:textId="77777777" w:rsidR="0058556D" w:rsidRPr="00FD23E1" w:rsidRDefault="0058556D" w:rsidP="0084686A">
      <w:pPr>
        <w:pStyle w:val="MHeader"/>
        <w:rPr>
          <w:lang w:val="en-US"/>
        </w:rPr>
      </w:pPr>
      <w:r w:rsidRPr="00FD23E1">
        <w:rPr>
          <w:lang w:val="en-US"/>
        </w:rPr>
        <w:t>References</w:t>
      </w:r>
    </w:p>
    <w:p w14:paraId="5342EA94" w14:textId="77777777" w:rsidR="00803CF1" w:rsidRPr="00FD23E1" w:rsidRDefault="00803CF1" w:rsidP="00573631">
      <w:pPr>
        <w:shd w:val="clear" w:color="auto" w:fill="FFFFFF"/>
        <w:spacing w:after="0"/>
        <w:rPr>
          <w:rFonts w:eastAsia="Times New Roman" w:cs="Times New Roman"/>
          <w:b/>
          <w:bCs/>
          <w:color w:val="4A4A4A"/>
          <w:sz w:val="21"/>
          <w:szCs w:val="21"/>
          <w:lang w:val="en-US" w:eastAsia="en-GB"/>
        </w:rPr>
      </w:pPr>
    </w:p>
    <w:p w14:paraId="492DFFB7" w14:textId="4E9B7835" w:rsidR="0058556D" w:rsidRPr="00FD23E1" w:rsidRDefault="0058556D" w:rsidP="00573631">
      <w:pPr>
        <w:shd w:val="clear" w:color="auto" w:fill="FFFFFF"/>
        <w:spacing w:after="0"/>
        <w:rPr>
          <w:rFonts w:eastAsia="Times New Roman" w:cs="Times New Roman"/>
          <w:color w:val="4A4A4A"/>
          <w:sz w:val="21"/>
          <w:szCs w:val="21"/>
          <w:lang w:val="en-US" w:eastAsia="en-GB"/>
        </w:rPr>
      </w:pPr>
    </w:p>
    <w:p w14:paraId="37AC65DF" w14:textId="77777777" w:rsidR="00AB364A" w:rsidRDefault="0058556D" w:rsidP="0084686A">
      <w:pPr>
        <w:pStyle w:val="MSubHeader"/>
      </w:pPr>
      <w:r w:rsidRPr="00573631">
        <w:t>References:</w:t>
      </w:r>
      <w:r w:rsidR="00700322">
        <w:t xml:space="preserve"> </w:t>
      </w:r>
    </w:p>
    <w:p w14:paraId="1D67ED02" w14:textId="2F88273A" w:rsidR="0058556D" w:rsidRPr="00700322" w:rsidRDefault="00E62CC8" w:rsidP="0084686A">
      <w:pPr>
        <w:pStyle w:val="MText"/>
      </w:pPr>
      <w:r>
        <w:t xml:space="preserve">KNOMAD </w:t>
      </w:r>
      <w:r w:rsidRPr="00AD5C70">
        <w:t>and ILO</w:t>
      </w:r>
      <w:r>
        <w:t xml:space="preserve"> (2018)</w:t>
      </w:r>
      <w:r>
        <w:rPr>
          <w:b/>
        </w:rPr>
        <w:t>, “</w:t>
      </w:r>
      <w:r w:rsidR="00700322" w:rsidRPr="00AD5C70">
        <w:t>Statistics for SDG indicator 10.7.1 Draft Guidelines for their Collection</w:t>
      </w:r>
      <w:r w:rsidR="00AB364A">
        <w:t>.</w:t>
      </w:r>
      <w:r>
        <w:t>”</w:t>
      </w:r>
    </w:p>
    <w:p w14:paraId="0B1C58A9" w14:textId="6AB9C714" w:rsidR="00AB364A" w:rsidRPr="00A37447" w:rsidRDefault="00AB364A" w:rsidP="0084686A">
      <w:pPr>
        <w:pStyle w:val="MText"/>
        <w:rPr>
          <w:rFonts w:cstheme="minorHAnsi"/>
        </w:rPr>
      </w:pPr>
      <w:r w:rsidRPr="00A37447">
        <w:rPr>
          <w:rFonts w:cstheme="minorHAnsi"/>
        </w:rPr>
        <w:t>KNOMAD. 201</w:t>
      </w:r>
      <w:r>
        <w:rPr>
          <w:rFonts w:cstheme="minorHAnsi"/>
        </w:rPr>
        <w:t>6</w:t>
      </w:r>
      <w:r w:rsidRPr="00A37447">
        <w:rPr>
          <w:rFonts w:cstheme="minorHAnsi"/>
        </w:rPr>
        <w:t>. “KNOMAD-ILO Migration Costs Surveys</w:t>
      </w:r>
      <w:r>
        <w:rPr>
          <w:rFonts w:cstheme="minorHAnsi"/>
        </w:rPr>
        <w:t xml:space="preserve"> 2015 Dataset: User’s Guide”</w:t>
      </w:r>
    </w:p>
    <w:p w14:paraId="62443A49" w14:textId="10298E6B" w:rsidR="00AB364A" w:rsidRPr="00A157ED" w:rsidRDefault="00AB364A" w:rsidP="0084686A">
      <w:pPr>
        <w:pStyle w:val="MText"/>
        <w:rPr>
          <w:rFonts w:cstheme="minorHAnsi"/>
        </w:rPr>
      </w:pPr>
      <w:r w:rsidRPr="00A157ED">
        <w:rPr>
          <w:rFonts w:cstheme="minorHAnsi"/>
        </w:rPr>
        <w:t>KNOMAD. 201</w:t>
      </w:r>
      <w:r>
        <w:rPr>
          <w:rFonts w:cstheme="minorHAnsi"/>
        </w:rPr>
        <w:t>6</w:t>
      </w:r>
      <w:r w:rsidRPr="00A157ED">
        <w:rPr>
          <w:rFonts w:cstheme="minorHAnsi"/>
        </w:rPr>
        <w:t>. “KNOMAD-ILO Migration Costs Surveys</w:t>
      </w:r>
      <w:r>
        <w:rPr>
          <w:rFonts w:cstheme="minorHAnsi"/>
        </w:rPr>
        <w:t xml:space="preserve"> 2016 Dataset: User’s Guide”</w:t>
      </w:r>
    </w:p>
    <w:p w14:paraId="7DE1BA01" w14:textId="77777777" w:rsidR="00A157ED" w:rsidRPr="00A157ED" w:rsidRDefault="00A157ED" w:rsidP="0084686A">
      <w:pPr>
        <w:pStyle w:val="MText"/>
        <w:rPr>
          <w:lang w:val="en-US"/>
        </w:rPr>
      </w:pPr>
      <w:r w:rsidRPr="00A157ED">
        <w:rPr>
          <w:b/>
          <w:lang w:val="en-US"/>
        </w:rPr>
        <w:t xml:space="preserve">URL: </w:t>
      </w:r>
      <w:hyperlink r:id="rId11" w:history="1">
        <w:r w:rsidRPr="00A157ED">
          <w:rPr>
            <w:rStyle w:val="Hyperlink"/>
            <w:color w:val="auto"/>
            <w:sz w:val="20"/>
            <w:szCs w:val="20"/>
            <w:lang w:val="en-US"/>
          </w:rPr>
          <w:t>https://www.knomad.org/data/recruitment-costs</w:t>
        </w:r>
      </w:hyperlink>
      <w:r w:rsidRPr="00A157ED">
        <w:rPr>
          <w:lang w:val="en-US"/>
        </w:rPr>
        <w:t>.</w:t>
      </w:r>
    </w:p>
    <w:p w14:paraId="36FC28DD" w14:textId="77777777" w:rsidR="0058556D" w:rsidRPr="00A157ED" w:rsidRDefault="0058556D" w:rsidP="00573631">
      <w:pPr>
        <w:shd w:val="clear" w:color="auto" w:fill="FFFFFF"/>
        <w:spacing w:after="0"/>
        <w:rPr>
          <w:rFonts w:eastAsia="Times New Roman" w:cs="Times New Roman"/>
          <w:color w:val="4A4A4A"/>
          <w:sz w:val="21"/>
          <w:szCs w:val="21"/>
          <w:lang w:val="en-US" w:eastAsia="en-GB"/>
        </w:rPr>
      </w:pPr>
    </w:p>
    <w:p w14:paraId="02B8768A" w14:textId="77777777" w:rsidR="0058556D" w:rsidRPr="00573631" w:rsidRDefault="0058556D" w:rsidP="0084686A">
      <w:pPr>
        <w:pStyle w:val="MHeader"/>
      </w:pPr>
      <w:r w:rsidRPr="00573631">
        <w:t>Related indicators as of February 2020</w:t>
      </w: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6C241" w14:textId="77777777" w:rsidR="008F24BD" w:rsidRDefault="008F24BD" w:rsidP="00573C0B">
      <w:pPr>
        <w:spacing w:after="0" w:line="240" w:lineRule="auto"/>
      </w:pPr>
      <w:r>
        <w:separator/>
      </w:r>
    </w:p>
  </w:endnote>
  <w:endnote w:type="continuationSeparator" w:id="0">
    <w:p w14:paraId="003E3ABE" w14:textId="77777777" w:rsidR="008F24BD" w:rsidRDefault="008F24BD"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2C3A0" w14:textId="77777777" w:rsidR="008F24BD" w:rsidRDefault="008F24BD" w:rsidP="00573C0B">
      <w:pPr>
        <w:spacing w:after="0" w:line="240" w:lineRule="auto"/>
      </w:pPr>
      <w:r>
        <w:separator/>
      </w:r>
    </w:p>
  </w:footnote>
  <w:footnote w:type="continuationSeparator" w:id="0">
    <w:p w14:paraId="441A5B3A" w14:textId="77777777" w:rsidR="008F24BD" w:rsidRDefault="008F24BD"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3F47FB0" w:rsidR="00077F46" w:rsidRPr="0084686A" w:rsidRDefault="0084686A" w:rsidP="00077F46">
    <w:pPr>
      <w:pStyle w:val="Header"/>
      <w:jc w:val="right"/>
      <w:rPr>
        <w:color w:val="808080" w:themeColor="background1" w:themeShade="80"/>
        <w:sz w:val="18"/>
        <w:szCs w:val="18"/>
      </w:rPr>
    </w:pPr>
    <w:r w:rsidRPr="0084686A">
      <w:rPr>
        <w:color w:val="808080" w:themeColor="background1" w:themeShade="80"/>
        <w:sz w:val="18"/>
        <w:szCs w:val="18"/>
      </w:rPr>
      <w:t>Last updated: November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5032DF02"/>
    <w:lvl w:ilvl="0">
      <w:start w:val="1"/>
      <w:numFmt w:val="decimal"/>
      <w:lvlText w:val="%1."/>
      <w:lvlJc w:val="left"/>
      <w:pPr>
        <w:ind w:left="836" w:hanging="360"/>
      </w:pPr>
      <w:rPr>
        <w:rFonts w:ascii="Times New Roman" w:hAnsi="Times New Roman" w:cs="Times New Roman"/>
        <w:b w:val="0"/>
        <w:bCs w:val="0"/>
        <w:spacing w:val="-23"/>
        <w:w w:val="99"/>
        <w:sz w:val="24"/>
        <w:szCs w:val="24"/>
      </w:rPr>
    </w:lvl>
    <w:lvl w:ilvl="1">
      <w:start w:val="1"/>
      <w:numFmt w:val="bullet"/>
      <w:lvlText w:val=""/>
      <w:lvlJc w:val="left"/>
      <w:pPr>
        <w:ind w:left="1196" w:hanging="360"/>
      </w:pPr>
      <w:rPr>
        <w:rFonts w:ascii="Symbol" w:hAnsi="Symbol" w:hint="default"/>
        <w:b w:val="0"/>
        <w:bCs w:val="0"/>
        <w:w w:val="100"/>
      </w:rPr>
    </w:lvl>
    <w:lvl w:ilvl="2">
      <w:numFmt w:val="bullet"/>
      <w:lvlText w:val="•"/>
      <w:lvlJc w:val="left"/>
      <w:pPr>
        <w:ind w:left="2140" w:hanging="360"/>
      </w:pPr>
    </w:lvl>
    <w:lvl w:ilvl="3">
      <w:numFmt w:val="bullet"/>
      <w:lvlText w:val="•"/>
      <w:lvlJc w:val="left"/>
      <w:pPr>
        <w:ind w:left="3081" w:hanging="360"/>
      </w:pPr>
    </w:lvl>
    <w:lvl w:ilvl="4">
      <w:numFmt w:val="bullet"/>
      <w:lvlText w:val="•"/>
      <w:lvlJc w:val="left"/>
      <w:pPr>
        <w:ind w:left="4022" w:hanging="360"/>
      </w:pPr>
    </w:lvl>
    <w:lvl w:ilvl="5">
      <w:numFmt w:val="bullet"/>
      <w:lvlText w:val="•"/>
      <w:lvlJc w:val="left"/>
      <w:pPr>
        <w:ind w:left="4962" w:hanging="360"/>
      </w:pPr>
    </w:lvl>
    <w:lvl w:ilvl="6">
      <w:numFmt w:val="bullet"/>
      <w:lvlText w:val="•"/>
      <w:lvlJc w:val="left"/>
      <w:pPr>
        <w:ind w:left="5903" w:hanging="360"/>
      </w:pPr>
    </w:lvl>
    <w:lvl w:ilvl="7">
      <w:numFmt w:val="bullet"/>
      <w:lvlText w:val="•"/>
      <w:lvlJc w:val="left"/>
      <w:pPr>
        <w:ind w:left="6844" w:hanging="360"/>
      </w:pPr>
    </w:lvl>
    <w:lvl w:ilvl="8">
      <w:numFmt w:val="bullet"/>
      <w:lvlText w:val="•"/>
      <w:lvlJc w:val="left"/>
      <w:pPr>
        <w:ind w:left="7784" w:hanging="36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66846"/>
    <w:multiLevelType w:val="hybridMultilevel"/>
    <w:tmpl w:val="315CE67C"/>
    <w:lvl w:ilvl="0" w:tplc="B9BE40C0">
      <w:start w:val="1"/>
      <w:numFmt w:val="bullet"/>
      <w:lvlText w:val="•"/>
      <w:lvlJc w:val="left"/>
      <w:pPr>
        <w:tabs>
          <w:tab w:val="num" w:pos="720"/>
        </w:tabs>
        <w:ind w:left="720" w:hanging="360"/>
      </w:pPr>
      <w:rPr>
        <w:rFonts w:ascii="Arial" w:hAnsi="Arial" w:hint="default"/>
      </w:rPr>
    </w:lvl>
    <w:lvl w:ilvl="1" w:tplc="97C27B68">
      <w:start w:val="31153"/>
      <w:numFmt w:val="bullet"/>
      <w:lvlText w:val="•"/>
      <w:lvlJc w:val="left"/>
      <w:pPr>
        <w:tabs>
          <w:tab w:val="num" w:pos="1440"/>
        </w:tabs>
        <w:ind w:left="1440" w:hanging="360"/>
      </w:pPr>
      <w:rPr>
        <w:rFonts w:ascii="Arial" w:hAnsi="Arial" w:hint="default"/>
      </w:rPr>
    </w:lvl>
    <w:lvl w:ilvl="2" w:tplc="ACFCF01C" w:tentative="1">
      <w:start w:val="1"/>
      <w:numFmt w:val="bullet"/>
      <w:lvlText w:val="•"/>
      <w:lvlJc w:val="left"/>
      <w:pPr>
        <w:tabs>
          <w:tab w:val="num" w:pos="2160"/>
        </w:tabs>
        <w:ind w:left="2160" w:hanging="360"/>
      </w:pPr>
      <w:rPr>
        <w:rFonts w:ascii="Arial" w:hAnsi="Arial" w:hint="default"/>
      </w:rPr>
    </w:lvl>
    <w:lvl w:ilvl="3" w:tplc="05980242" w:tentative="1">
      <w:start w:val="1"/>
      <w:numFmt w:val="bullet"/>
      <w:lvlText w:val="•"/>
      <w:lvlJc w:val="left"/>
      <w:pPr>
        <w:tabs>
          <w:tab w:val="num" w:pos="2880"/>
        </w:tabs>
        <w:ind w:left="2880" w:hanging="360"/>
      </w:pPr>
      <w:rPr>
        <w:rFonts w:ascii="Arial" w:hAnsi="Arial" w:hint="default"/>
      </w:rPr>
    </w:lvl>
    <w:lvl w:ilvl="4" w:tplc="0B204A32" w:tentative="1">
      <w:start w:val="1"/>
      <w:numFmt w:val="bullet"/>
      <w:lvlText w:val="•"/>
      <w:lvlJc w:val="left"/>
      <w:pPr>
        <w:tabs>
          <w:tab w:val="num" w:pos="3600"/>
        </w:tabs>
        <w:ind w:left="3600" w:hanging="360"/>
      </w:pPr>
      <w:rPr>
        <w:rFonts w:ascii="Arial" w:hAnsi="Arial" w:hint="default"/>
      </w:rPr>
    </w:lvl>
    <w:lvl w:ilvl="5" w:tplc="AE32344A" w:tentative="1">
      <w:start w:val="1"/>
      <w:numFmt w:val="bullet"/>
      <w:lvlText w:val="•"/>
      <w:lvlJc w:val="left"/>
      <w:pPr>
        <w:tabs>
          <w:tab w:val="num" w:pos="4320"/>
        </w:tabs>
        <w:ind w:left="4320" w:hanging="360"/>
      </w:pPr>
      <w:rPr>
        <w:rFonts w:ascii="Arial" w:hAnsi="Arial" w:hint="default"/>
      </w:rPr>
    </w:lvl>
    <w:lvl w:ilvl="6" w:tplc="748454EC" w:tentative="1">
      <w:start w:val="1"/>
      <w:numFmt w:val="bullet"/>
      <w:lvlText w:val="•"/>
      <w:lvlJc w:val="left"/>
      <w:pPr>
        <w:tabs>
          <w:tab w:val="num" w:pos="5040"/>
        </w:tabs>
        <w:ind w:left="5040" w:hanging="360"/>
      </w:pPr>
      <w:rPr>
        <w:rFonts w:ascii="Arial" w:hAnsi="Arial" w:hint="default"/>
      </w:rPr>
    </w:lvl>
    <w:lvl w:ilvl="7" w:tplc="3B826B7E" w:tentative="1">
      <w:start w:val="1"/>
      <w:numFmt w:val="bullet"/>
      <w:lvlText w:val="•"/>
      <w:lvlJc w:val="left"/>
      <w:pPr>
        <w:tabs>
          <w:tab w:val="num" w:pos="5760"/>
        </w:tabs>
        <w:ind w:left="5760" w:hanging="360"/>
      </w:pPr>
      <w:rPr>
        <w:rFonts w:ascii="Arial" w:hAnsi="Arial" w:hint="default"/>
      </w:rPr>
    </w:lvl>
    <w:lvl w:ilvl="8" w:tplc="58DE97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E46312"/>
    <w:multiLevelType w:val="hybridMultilevel"/>
    <w:tmpl w:val="E6F6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648B"/>
    <w:multiLevelType w:val="hybridMultilevel"/>
    <w:tmpl w:val="4A423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C3934"/>
    <w:multiLevelType w:val="hybridMultilevel"/>
    <w:tmpl w:val="7A1E3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565BA1"/>
    <w:multiLevelType w:val="hybridMultilevel"/>
    <w:tmpl w:val="12FA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B6754"/>
    <w:multiLevelType w:val="hybridMultilevel"/>
    <w:tmpl w:val="A7481D40"/>
    <w:lvl w:ilvl="0" w:tplc="A256559A">
      <w:start w:val="1"/>
      <w:numFmt w:val="bullet"/>
      <w:lvlText w:val="•"/>
      <w:lvlJc w:val="left"/>
      <w:pPr>
        <w:tabs>
          <w:tab w:val="num" w:pos="720"/>
        </w:tabs>
        <w:ind w:left="720" w:hanging="360"/>
      </w:pPr>
      <w:rPr>
        <w:rFonts w:ascii="Arial" w:hAnsi="Arial" w:hint="default"/>
      </w:rPr>
    </w:lvl>
    <w:lvl w:ilvl="1" w:tplc="6DF030EC" w:tentative="1">
      <w:start w:val="1"/>
      <w:numFmt w:val="bullet"/>
      <w:lvlText w:val="•"/>
      <w:lvlJc w:val="left"/>
      <w:pPr>
        <w:tabs>
          <w:tab w:val="num" w:pos="1440"/>
        </w:tabs>
        <w:ind w:left="1440" w:hanging="360"/>
      </w:pPr>
      <w:rPr>
        <w:rFonts w:ascii="Arial" w:hAnsi="Arial" w:hint="default"/>
      </w:rPr>
    </w:lvl>
    <w:lvl w:ilvl="2" w:tplc="29980ADA" w:tentative="1">
      <w:start w:val="1"/>
      <w:numFmt w:val="bullet"/>
      <w:lvlText w:val="•"/>
      <w:lvlJc w:val="left"/>
      <w:pPr>
        <w:tabs>
          <w:tab w:val="num" w:pos="2160"/>
        </w:tabs>
        <w:ind w:left="2160" w:hanging="360"/>
      </w:pPr>
      <w:rPr>
        <w:rFonts w:ascii="Arial" w:hAnsi="Arial" w:hint="default"/>
      </w:rPr>
    </w:lvl>
    <w:lvl w:ilvl="3" w:tplc="CD6066F4" w:tentative="1">
      <w:start w:val="1"/>
      <w:numFmt w:val="bullet"/>
      <w:lvlText w:val="•"/>
      <w:lvlJc w:val="left"/>
      <w:pPr>
        <w:tabs>
          <w:tab w:val="num" w:pos="2880"/>
        </w:tabs>
        <w:ind w:left="2880" w:hanging="360"/>
      </w:pPr>
      <w:rPr>
        <w:rFonts w:ascii="Arial" w:hAnsi="Arial" w:hint="default"/>
      </w:rPr>
    </w:lvl>
    <w:lvl w:ilvl="4" w:tplc="FFFAB892" w:tentative="1">
      <w:start w:val="1"/>
      <w:numFmt w:val="bullet"/>
      <w:lvlText w:val="•"/>
      <w:lvlJc w:val="left"/>
      <w:pPr>
        <w:tabs>
          <w:tab w:val="num" w:pos="3600"/>
        </w:tabs>
        <w:ind w:left="3600" w:hanging="360"/>
      </w:pPr>
      <w:rPr>
        <w:rFonts w:ascii="Arial" w:hAnsi="Arial" w:hint="default"/>
      </w:rPr>
    </w:lvl>
    <w:lvl w:ilvl="5" w:tplc="4392C4F8" w:tentative="1">
      <w:start w:val="1"/>
      <w:numFmt w:val="bullet"/>
      <w:lvlText w:val="•"/>
      <w:lvlJc w:val="left"/>
      <w:pPr>
        <w:tabs>
          <w:tab w:val="num" w:pos="4320"/>
        </w:tabs>
        <w:ind w:left="4320" w:hanging="360"/>
      </w:pPr>
      <w:rPr>
        <w:rFonts w:ascii="Arial" w:hAnsi="Arial" w:hint="default"/>
      </w:rPr>
    </w:lvl>
    <w:lvl w:ilvl="6" w:tplc="D3BA10CE" w:tentative="1">
      <w:start w:val="1"/>
      <w:numFmt w:val="bullet"/>
      <w:lvlText w:val="•"/>
      <w:lvlJc w:val="left"/>
      <w:pPr>
        <w:tabs>
          <w:tab w:val="num" w:pos="5040"/>
        </w:tabs>
        <w:ind w:left="5040" w:hanging="360"/>
      </w:pPr>
      <w:rPr>
        <w:rFonts w:ascii="Arial" w:hAnsi="Arial" w:hint="default"/>
      </w:rPr>
    </w:lvl>
    <w:lvl w:ilvl="7" w:tplc="18D292AA" w:tentative="1">
      <w:start w:val="1"/>
      <w:numFmt w:val="bullet"/>
      <w:lvlText w:val="•"/>
      <w:lvlJc w:val="left"/>
      <w:pPr>
        <w:tabs>
          <w:tab w:val="num" w:pos="5760"/>
        </w:tabs>
        <w:ind w:left="5760" w:hanging="360"/>
      </w:pPr>
      <w:rPr>
        <w:rFonts w:ascii="Arial" w:hAnsi="Arial" w:hint="default"/>
      </w:rPr>
    </w:lvl>
    <w:lvl w:ilvl="8" w:tplc="F5D8EF8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9"/>
  </w:num>
  <w:num w:numId="4">
    <w:abstractNumId w:val="2"/>
  </w:num>
  <w:num w:numId="5">
    <w:abstractNumId w:val="8"/>
  </w:num>
  <w:num w:numId="6">
    <w:abstractNumId w:val="6"/>
  </w:num>
  <w:num w:numId="7">
    <w:abstractNumId w:val="3"/>
  </w:num>
  <w:num w:numId="8">
    <w:abstractNumId w:val="10"/>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0D7B"/>
    <w:rsid w:val="00045D3A"/>
    <w:rsid w:val="00047DDA"/>
    <w:rsid w:val="00057E87"/>
    <w:rsid w:val="00071F07"/>
    <w:rsid w:val="0007759D"/>
    <w:rsid w:val="000777AB"/>
    <w:rsid w:val="00077F46"/>
    <w:rsid w:val="00083B06"/>
    <w:rsid w:val="00087240"/>
    <w:rsid w:val="00090FB1"/>
    <w:rsid w:val="00096186"/>
    <w:rsid w:val="000A1A62"/>
    <w:rsid w:val="000A72E4"/>
    <w:rsid w:val="000B0E2F"/>
    <w:rsid w:val="000B2430"/>
    <w:rsid w:val="000D0B30"/>
    <w:rsid w:val="000F703E"/>
    <w:rsid w:val="0010727E"/>
    <w:rsid w:val="00120E86"/>
    <w:rsid w:val="00125DE9"/>
    <w:rsid w:val="001332E0"/>
    <w:rsid w:val="00134DE7"/>
    <w:rsid w:val="001403C5"/>
    <w:rsid w:val="0015362C"/>
    <w:rsid w:val="00185354"/>
    <w:rsid w:val="001854DC"/>
    <w:rsid w:val="00194D09"/>
    <w:rsid w:val="001B60AA"/>
    <w:rsid w:val="001C421F"/>
    <w:rsid w:val="001D360D"/>
    <w:rsid w:val="0024055D"/>
    <w:rsid w:val="00261A8D"/>
    <w:rsid w:val="00267328"/>
    <w:rsid w:val="00283C1C"/>
    <w:rsid w:val="00291A00"/>
    <w:rsid w:val="00291A11"/>
    <w:rsid w:val="002A315C"/>
    <w:rsid w:val="002A3342"/>
    <w:rsid w:val="002A64BA"/>
    <w:rsid w:val="002B4989"/>
    <w:rsid w:val="002D714E"/>
    <w:rsid w:val="002E53C3"/>
    <w:rsid w:val="002F5D29"/>
    <w:rsid w:val="0034329E"/>
    <w:rsid w:val="00343FAA"/>
    <w:rsid w:val="00353C98"/>
    <w:rsid w:val="00371A20"/>
    <w:rsid w:val="003A7CEA"/>
    <w:rsid w:val="003B6F36"/>
    <w:rsid w:val="003F0BD3"/>
    <w:rsid w:val="003F278A"/>
    <w:rsid w:val="00422EA5"/>
    <w:rsid w:val="00422EFA"/>
    <w:rsid w:val="0042357B"/>
    <w:rsid w:val="004456ED"/>
    <w:rsid w:val="004841B8"/>
    <w:rsid w:val="004930F2"/>
    <w:rsid w:val="004B0A64"/>
    <w:rsid w:val="004B0F1C"/>
    <w:rsid w:val="004C5B7F"/>
    <w:rsid w:val="00502DBA"/>
    <w:rsid w:val="005040C4"/>
    <w:rsid w:val="00507637"/>
    <w:rsid w:val="00507852"/>
    <w:rsid w:val="00514DBF"/>
    <w:rsid w:val="00550921"/>
    <w:rsid w:val="00563712"/>
    <w:rsid w:val="00573631"/>
    <w:rsid w:val="00573C0B"/>
    <w:rsid w:val="00575190"/>
    <w:rsid w:val="0058556D"/>
    <w:rsid w:val="00590FF8"/>
    <w:rsid w:val="00597748"/>
    <w:rsid w:val="005A5C7F"/>
    <w:rsid w:val="005C233A"/>
    <w:rsid w:val="005D0AF4"/>
    <w:rsid w:val="005E3472"/>
    <w:rsid w:val="005E54BD"/>
    <w:rsid w:val="005E6A1E"/>
    <w:rsid w:val="005F0BD2"/>
    <w:rsid w:val="005F6CCA"/>
    <w:rsid w:val="006104AF"/>
    <w:rsid w:val="00621893"/>
    <w:rsid w:val="00631B33"/>
    <w:rsid w:val="006351E1"/>
    <w:rsid w:val="006852FC"/>
    <w:rsid w:val="006B40AB"/>
    <w:rsid w:val="006B5DC5"/>
    <w:rsid w:val="006C7D30"/>
    <w:rsid w:val="006E3C08"/>
    <w:rsid w:val="00700322"/>
    <w:rsid w:val="00700ACF"/>
    <w:rsid w:val="00712487"/>
    <w:rsid w:val="00746587"/>
    <w:rsid w:val="007530CA"/>
    <w:rsid w:val="007578D9"/>
    <w:rsid w:val="00757D6D"/>
    <w:rsid w:val="00763E43"/>
    <w:rsid w:val="00764EB5"/>
    <w:rsid w:val="00777A95"/>
    <w:rsid w:val="007D0981"/>
    <w:rsid w:val="007D1929"/>
    <w:rsid w:val="00803CF1"/>
    <w:rsid w:val="008249C5"/>
    <w:rsid w:val="00841F41"/>
    <w:rsid w:val="0084686A"/>
    <w:rsid w:val="008526F9"/>
    <w:rsid w:val="008534D4"/>
    <w:rsid w:val="00881E28"/>
    <w:rsid w:val="0088438F"/>
    <w:rsid w:val="008850FD"/>
    <w:rsid w:val="0089362A"/>
    <w:rsid w:val="00894C4B"/>
    <w:rsid w:val="008A12E3"/>
    <w:rsid w:val="008A42FA"/>
    <w:rsid w:val="008C16F9"/>
    <w:rsid w:val="008C2335"/>
    <w:rsid w:val="008C67C1"/>
    <w:rsid w:val="008F07D2"/>
    <w:rsid w:val="008F24BD"/>
    <w:rsid w:val="00901DE4"/>
    <w:rsid w:val="00917F65"/>
    <w:rsid w:val="009311E7"/>
    <w:rsid w:val="00931412"/>
    <w:rsid w:val="009476AA"/>
    <w:rsid w:val="009A7E3A"/>
    <w:rsid w:val="009B1265"/>
    <w:rsid w:val="009B5693"/>
    <w:rsid w:val="009C78E4"/>
    <w:rsid w:val="009D687E"/>
    <w:rsid w:val="009F6DE7"/>
    <w:rsid w:val="00A04466"/>
    <w:rsid w:val="00A157ED"/>
    <w:rsid w:val="00A37FCB"/>
    <w:rsid w:val="00A54863"/>
    <w:rsid w:val="00A61D74"/>
    <w:rsid w:val="00A8688B"/>
    <w:rsid w:val="00A9286F"/>
    <w:rsid w:val="00A97A76"/>
    <w:rsid w:val="00AB364A"/>
    <w:rsid w:val="00AC47FC"/>
    <w:rsid w:val="00AD5C70"/>
    <w:rsid w:val="00AF5CB4"/>
    <w:rsid w:val="00AF71D6"/>
    <w:rsid w:val="00B24BDD"/>
    <w:rsid w:val="00B260C4"/>
    <w:rsid w:val="00B3175F"/>
    <w:rsid w:val="00B402D8"/>
    <w:rsid w:val="00B4237C"/>
    <w:rsid w:val="00B42FE8"/>
    <w:rsid w:val="00B52AFD"/>
    <w:rsid w:val="00B54077"/>
    <w:rsid w:val="00B61742"/>
    <w:rsid w:val="00B74153"/>
    <w:rsid w:val="00B8087E"/>
    <w:rsid w:val="00BB646E"/>
    <w:rsid w:val="00BC34B9"/>
    <w:rsid w:val="00BC50DE"/>
    <w:rsid w:val="00BC5E46"/>
    <w:rsid w:val="00BD1BA1"/>
    <w:rsid w:val="00C2176B"/>
    <w:rsid w:val="00C23800"/>
    <w:rsid w:val="00C275F7"/>
    <w:rsid w:val="00C35BC4"/>
    <w:rsid w:val="00C43F5B"/>
    <w:rsid w:val="00C54300"/>
    <w:rsid w:val="00C767E7"/>
    <w:rsid w:val="00C81CAA"/>
    <w:rsid w:val="00CB4371"/>
    <w:rsid w:val="00D1492C"/>
    <w:rsid w:val="00D40056"/>
    <w:rsid w:val="00D54F29"/>
    <w:rsid w:val="00D70AD9"/>
    <w:rsid w:val="00D72152"/>
    <w:rsid w:val="00D813F6"/>
    <w:rsid w:val="00D83917"/>
    <w:rsid w:val="00D94BA5"/>
    <w:rsid w:val="00D9510F"/>
    <w:rsid w:val="00DC5CA5"/>
    <w:rsid w:val="00DD11A2"/>
    <w:rsid w:val="00DD1BC6"/>
    <w:rsid w:val="00DD3DF6"/>
    <w:rsid w:val="00DE5DC3"/>
    <w:rsid w:val="00DF26AE"/>
    <w:rsid w:val="00E00D8A"/>
    <w:rsid w:val="00E11604"/>
    <w:rsid w:val="00E11D92"/>
    <w:rsid w:val="00E130A0"/>
    <w:rsid w:val="00E210C4"/>
    <w:rsid w:val="00E37CDB"/>
    <w:rsid w:val="00E62CC8"/>
    <w:rsid w:val="00E66409"/>
    <w:rsid w:val="00E81D5B"/>
    <w:rsid w:val="00EB19AD"/>
    <w:rsid w:val="00EB6493"/>
    <w:rsid w:val="00ED05A9"/>
    <w:rsid w:val="00EE074C"/>
    <w:rsid w:val="00F002D2"/>
    <w:rsid w:val="00F068C6"/>
    <w:rsid w:val="00F17257"/>
    <w:rsid w:val="00F34D24"/>
    <w:rsid w:val="00F408E3"/>
    <w:rsid w:val="00F556A2"/>
    <w:rsid w:val="00F7446C"/>
    <w:rsid w:val="00F878B9"/>
    <w:rsid w:val="00FA0B33"/>
    <w:rsid w:val="00FB24E8"/>
    <w:rsid w:val="00FB3B2B"/>
    <w:rsid w:val="00FC18DA"/>
    <w:rsid w:val="00FC1FD7"/>
    <w:rsid w:val="00FD23E1"/>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customStyle="1" w:styleId="UnresolvedMention1">
    <w:name w:val="Unresolved Mention1"/>
    <w:basedOn w:val="DefaultParagraphFont"/>
    <w:uiPriority w:val="99"/>
    <w:semiHidden/>
    <w:unhideWhenUsed/>
    <w:rsid w:val="00A04466"/>
    <w:rPr>
      <w:color w:val="605E5C"/>
      <w:shd w:val="clear" w:color="auto" w:fill="E1DFDD"/>
    </w:rPr>
  </w:style>
  <w:style w:type="paragraph" w:styleId="Revision">
    <w:name w:val="Revision"/>
    <w:hidden/>
    <w:uiPriority w:val="99"/>
    <w:semiHidden/>
    <w:rsid w:val="00057E87"/>
    <w:pPr>
      <w:spacing w:after="0" w:line="240" w:lineRule="auto"/>
    </w:pPr>
  </w:style>
  <w:style w:type="character" w:styleId="FollowedHyperlink">
    <w:name w:val="FollowedHyperlink"/>
    <w:basedOn w:val="DefaultParagraphFont"/>
    <w:uiPriority w:val="99"/>
    <w:semiHidden/>
    <w:unhideWhenUsed/>
    <w:rsid w:val="00700322"/>
    <w:rPr>
      <w:color w:val="800080" w:themeColor="followedHyperlink"/>
      <w:u w:val="single"/>
    </w:rPr>
  </w:style>
  <w:style w:type="paragraph" w:styleId="BodyText">
    <w:name w:val="Body Text"/>
    <w:basedOn w:val="Normal"/>
    <w:link w:val="BodyTextChar"/>
    <w:uiPriority w:val="1"/>
    <w:qFormat/>
    <w:rsid w:val="0088438F"/>
    <w:pPr>
      <w:widowControl w:val="0"/>
      <w:autoSpaceDE w:val="0"/>
      <w:autoSpaceDN w:val="0"/>
      <w:adjustRightInd w:val="0"/>
      <w:spacing w:before="158" w:after="0" w:line="240" w:lineRule="auto"/>
      <w:ind w:left="120"/>
    </w:pPr>
    <w:rPr>
      <w:rFonts w:ascii="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88438F"/>
    <w:rPr>
      <w:rFonts w:ascii="Times New Roman" w:hAnsi="Times New Roman" w:cs="Times New Roman"/>
      <w:sz w:val="20"/>
      <w:szCs w:val="20"/>
      <w:lang w:val="en-US" w:eastAsia="en-US"/>
    </w:rPr>
  </w:style>
  <w:style w:type="character" w:styleId="UnresolvedMention">
    <w:name w:val="Unresolved Mention"/>
    <w:basedOn w:val="DefaultParagraphFont"/>
    <w:uiPriority w:val="99"/>
    <w:semiHidden/>
    <w:unhideWhenUsed/>
    <w:rsid w:val="00A157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619">
      <w:bodyDiv w:val="1"/>
      <w:marLeft w:val="0"/>
      <w:marRight w:val="0"/>
      <w:marTop w:val="0"/>
      <w:marBottom w:val="0"/>
      <w:divBdr>
        <w:top w:val="none" w:sz="0" w:space="0" w:color="auto"/>
        <w:left w:val="none" w:sz="0" w:space="0" w:color="auto"/>
        <w:bottom w:val="none" w:sz="0" w:space="0" w:color="auto"/>
        <w:right w:val="none" w:sz="0" w:space="0" w:color="auto"/>
      </w:divBdr>
      <w:divsChild>
        <w:div w:id="1053895060">
          <w:marLeft w:val="360"/>
          <w:marRight w:val="0"/>
          <w:marTop w:val="200"/>
          <w:marBottom w:val="0"/>
          <w:divBdr>
            <w:top w:val="none" w:sz="0" w:space="0" w:color="auto"/>
            <w:left w:val="none" w:sz="0" w:space="0" w:color="auto"/>
            <w:bottom w:val="none" w:sz="0" w:space="0" w:color="auto"/>
            <w:right w:val="none" w:sz="0" w:space="0" w:color="auto"/>
          </w:divBdr>
        </w:div>
        <w:div w:id="451020800">
          <w:marLeft w:val="1080"/>
          <w:marRight w:val="0"/>
          <w:marTop w:val="0"/>
          <w:marBottom w:val="120"/>
          <w:divBdr>
            <w:top w:val="none" w:sz="0" w:space="0" w:color="auto"/>
            <w:left w:val="none" w:sz="0" w:space="0" w:color="auto"/>
            <w:bottom w:val="none" w:sz="0" w:space="0" w:color="auto"/>
            <w:right w:val="none" w:sz="0" w:space="0" w:color="auto"/>
          </w:divBdr>
        </w:div>
      </w:divsChild>
    </w:div>
    <w:div w:id="263459174">
      <w:bodyDiv w:val="1"/>
      <w:marLeft w:val="0"/>
      <w:marRight w:val="0"/>
      <w:marTop w:val="0"/>
      <w:marBottom w:val="0"/>
      <w:divBdr>
        <w:top w:val="none" w:sz="0" w:space="0" w:color="auto"/>
        <w:left w:val="none" w:sz="0" w:space="0" w:color="auto"/>
        <w:bottom w:val="none" w:sz="0" w:space="0" w:color="auto"/>
        <w:right w:val="none" w:sz="0" w:space="0" w:color="auto"/>
      </w:divBdr>
      <w:divsChild>
        <w:div w:id="701593228">
          <w:marLeft w:val="360"/>
          <w:marRight w:val="0"/>
          <w:marTop w:val="200"/>
          <w:marBottom w:val="0"/>
          <w:divBdr>
            <w:top w:val="none" w:sz="0" w:space="0" w:color="auto"/>
            <w:left w:val="none" w:sz="0" w:space="0" w:color="auto"/>
            <w:bottom w:val="none" w:sz="0" w:space="0" w:color="auto"/>
            <w:right w:val="none" w:sz="0" w:space="0" w:color="auto"/>
          </w:divBdr>
        </w:div>
        <w:div w:id="1133870015">
          <w:marLeft w:val="360"/>
          <w:marRight w:val="0"/>
          <w:marTop w:val="200"/>
          <w:marBottom w:val="0"/>
          <w:divBdr>
            <w:top w:val="none" w:sz="0" w:space="0" w:color="auto"/>
            <w:left w:val="none" w:sz="0" w:space="0" w:color="auto"/>
            <w:bottom w:val="none" w:sz="0" w:space="0" w:color="auto"/>
            <w:right w:val="none" w:sz="0" w:space="0" w:color="auto"/>
          </w:divBdr>
        </w:div>
        <w:div w:id="12858171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global/topics/fair-recruitment/WCMS_536755/lang--en/index.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mad.org/data/recruitment-costs" TargetMode="External"/><Relationship Id="rId5" Type="http://schemas.openxmlformats.org/officeDocument/2006/relationships/webSettings" Target="webSettings.xml"/><Relationship Id="rId10" Type="http://schemas.openxmlformats.org/officeDocument/2006/relationships/hyperlink" Target="https://www.knomad.org/data/recruitment-cos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A3F7-1E22-47D5-A176-49D3F930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Zin Lin</cp:lastModifiedBy>
  <cp:revision>5</cp:revision>
  <cp:lastPrinted>2018-12-04T18:40:00Z</cp:lastPrinted>
  <dcterms:created xsi:type="dcterms:W3CDTF">2018-10-01T20:44:00Z</dcterms:created>
  <dcterms:modified xsi:type="dcterms:W3CDTF">2018-12-04T18:41:00Z</dcterms:modified>
</cp:coreProperties>
</file>