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8F02B1" w14:textId="7A2B61AD" w:rsidR="003F25B1" w:rsidRDefault="003F25B1" w:rsidP="00573C0B">
      <w:pPr>
        <w:pStyle w:val="MGTHeader"/>
      </w:pPr>
      <w:r>
        <w:t>Goal 10</w:t>
      </w:r>
      <w:r w:rsidRPr="003F25B1">
        <w:t xml:space="preserve"> Reduce inequality within and among countries</w:t>
      </w:r>
      <w:bookmarkStart w:id="0" w:name="_GoBack"/>
      <w:bookmarkEnd w:id="0"/>
    </w:p>
    <w:p w14:paraId="616512A3" w14:textId="12071B4C" w:rsidR="003F25B1" w:rsidRDefault="003F25B1" w:rsidP="003F25B1">
      <w:pPr>
        <w:pStyle w:val="MGTHeader"/>
      </w:pPr>
      <w:r>
        <w:t>Target 10.7 Facilitate orderly, safe, regular and responsible migration and mobility of people, including through the implementation of planned and well-managed migration policies</w:t>
      </w:r>
    </w:p>
    <w:p w14:paraId="1503BE62" w14:textId="05E0E161" w:rsidR="00962AFB" w:rsidRPr="00573631" w:rsidRDefault="00265B64" w:rsidP="00962AFB">
      <w:pPr>
        <w:pStyle w:val="MIndHeader"/>
      </w:pPr>
      <w:r w:rsidRPr="00265B64">
        <w:t>Indicator</w:t>
      </w:r>
      <w:r w:rsidR="003F25B1">
        <w:t xml:space="preserve"> 10.7.3 </w:t>
      </w:r>
      <w:r w:rsidR="00EE14BB" w:rsidRPr="00EE14BB">
        <w:t>Number of people who died or disappeared in the process of migration towards an international destination</w:t>
      </w:r>
    </w:p>
    <w:p w14:paraId="13483EE0" w14:textId="77777777" w:rsidR="00962AFB" w:rsidRPr="00BC4BFA" w:rsidRDefault="00962AFB" w:rsidP="00766C31">
      <w:pPr>
        <w:pStyle w:val="MHeader"/>
      </w:pPr>
    </w:p>
    <w:p w14:paraId="7D238643" w14:textId="0DE48829" w:rsidR="0058556D" w:rsidRPr="00573631" w:rsidRDefault="0058556D" w:rsidP="00573C0B">
      <w:pPr>
        <w:pStyle w:val="MHeader"/>
      </w:pPr>
      <w:r w:rsidRPr="00573631">
        <w:t>Institutional information</w:t>
      </w:r>
    </w:p>
    <w:p w14:paraId="56E2B5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5264231A" w14:textId="77777777" w:rsidR="0058556D" w:rsidRPr="00573631" w:rsidRDefault="0058556D" w:rsidP="00573C0B">
      <w:pPr>
        <w:pStyle w:val="MSubHeader"/>
      </w:pPr>
      <w:r w:rsidRPr="00573631">
        <w:t>Organization(s):</w:t>
      </w:r>
    </w:p>
    <w:p w14:paraId="66A382CC" w14:textId="6D8919B5" w:rsidR="0058556D" w:rsidRPr="00573631" w:rsidRDefault="00FB16C3" w:rsidP="00573C0B">
      <w:pPr>
        <w:pStyle w:val="MText"/>
      </w:pPr>
      <w:r>
        <w:t>International Organization for Migration</w:t>
      </w:r>
    </w:p>
    <w:p w14:paraId="0393368E" w14:textId="1CA2F68C" w:rsidR="00621893" w:rsidRPr="00573631" w:rsidRDefault="00621893" w:rsidP="00573631">
      <w:pPr>
        <w:shd w:val="clear" w:color="auto" w:fill="FFFFFF"/>
        <w:spacing w:after="0"/>
        <w:rPr>
          <w:rFonts w:eastAsia="Times New Roman" w:cs="Times New Roman"/>
          <w:color w:val="4A4A4A"/>
          <w:sz w:val="21"/>
          <w:szCs w:val="21"/>
          <w:lang w:eastAsia="en-GB"/>
        </w:rPr>
      </w:pPr>
    </w:p>
    <w:p w14:paraId="41A0A8A6"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Concepts and definitions</w:t>
      </w:r>
    </w:p>
    <w:p w14:paraId="4B72B196"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A1393B3"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Definition:</w:t>
      </w:r>
    </w:p>
    <w:p w14:paraId="4EBABA1B" w14:textId="6C8281B0" w:rsidR="00D70E75" w:rsidRPr="00766C31" w:rsidRDefault="00D70E75" w:rsidP="00D70E75">
      <w:pPr>
        <w:shd w:val="clear" w:color="auto" w:fill="FFFFFF"/>
        <w:spacing w:after="240"/>
        <w:jc w:val="both"/>
        <w:rPr>
          <w:color w:val="4A4A4A"/>
          <w:sz w:val="21"/>
        </w:rPr>
      </w:pPr>
      <w:r w:rsidRPr="00766C31">
        <w:rPr>
          <w:color w:val="4A4A4A"/>
          <w:sz w:val="21"/>
        </w:rPr>
        <w:t xml:space="preserve">The MMP data include migrants (regardless of legal status) who have died at the external borders of States or in the process of migration towards an international destination. This selection of data is based on the currently available sources and can provide some insight into the safety or otherwise of routes. Not included in the data collection is information about migrants who die, or go missing, in countries of destination or residence. Deaths in refugee housing, immigration detention centres or camps are excluded. The MMP data also exclude deaths that occur during deportation or after forced return to a migrant’s homeland or third country, as well as deaths more loosely connected with migrants’ precarious or irregular status, such as those resulting from labour exploitation or resulting from lack of access to health care. </w:t>
      </w:r>
    </w:p>
    <w:p w14:paraId="7B67C55A" w14:textId="189607EC"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Rationale:</w:t>
      </w:r>
    </w:p>
    <w:p w14:paraId="2C1096CD" w14:textId="0AAD8BE3" w:rsidR="00801016" w:rsidRDefault="00801016" w:rsidP="00801016">
      <w:pPr>
        <w:jc w:val="both"/>
        <w:rPr>
          <w:rFonts w:eastAsia="Times New Roman" w:cs="Times New Roman"/>
          <w:color w:val="4A4A4A"/>
          <w:sz w:val="21"/>
          <w:szCs w:val="21"/>
          <w:lang w:eastAsia="en-GB"/>
        </w:rPr>
      </w:pPr>
      <w:r w:rsidRPr="00801016">
        <w:rPr>
          <w:rFonts w:eastAsia="Times New Roman" w:cs="Times New Roman"/>
          <w:color w:val="4A4A4A"/>
          <w:sz w:val="21"/>
          <w:szCs w:val="21"/>
          <w:lang w:eastAsia="en-GB"/>
        </w:rPr>
        <w:t xml:space="preserve">The research behind </w:t>
      </w:r>
      <w:r>
        <w:rPr>
          <w:rFonts w:eastAsia="Times New Roman" w:cs="Times New Roman"/>
          <w:color w:val="4A4A4A"/>
          <w:sz w:val="21"/>
          <w:szCs w:val="21"/>
          <w:lang w:eastAsia="en-GB"/>
        </w:rPr>
        <w:t>the MMP</w:t>
      </w:r>
      <w:r w:rsidRPr="00801016">
        <w:rPr>
          <w:rFonts w:eastAsia="Times New Roman" w:cs="Times New Roman"/>
          <w:color w:val="4A4A4A"/>
          <w:sz w:val="21"/>
          <w:szCs w:val="21"/>
          <w:lang w:eastAsia="en-GB"/>
        </w:rPr>
        <w:t xml:space="preserve"> began with the October 2013 tragedies, when at least 368 individuals died in two shipwrecks near the Italian island of Lampedusa.</w:t>
      </w:r>
      <w:r>
        <w:rPr>
          <w:rFonts w:eastAsia="Times New Roman" w:cs="Times New Roman"/>
          <w:color w:val="4A4A4A"/>
          <w:sz w:val="21"/>
          <w:szCs w:val="21"/>
          <w:lang w:eastAsia="en-GB"/>
        </w:rPr>
        <w:t xml:space="preserve"> The MMP data aims to bear witness to the global phenomenon of migrant deaths, and is the only global database on this topic. It is hoped that by counting and accounting for these deaths, almost all of which are linked to irregular migration, policymakers, academics, and the </w:t>
      </w:r>
      <w:proofErr w:type="gramStart"/>
      <w:r>
        <w:rPr>
          <w:rFonts w:eastAsia="Times New Roman" w:cs="Times New Roman"/>
          <w:color w:val="4A4A4A"/>
          <w:sz w:val="21"/>
          <w:szCs w:val="21"/>
          <w:lang w:eastAsia="en-GB"/>
        </w:rPr>
        <w:t>general public</w:t>
      </w:r>
      <w:proofErr w:type="gramEnd"/>
      <w:r>
        <w:rPr>
          <w:rFonts w:eastAsia="Times New Roman" w:cs="Times New Roman"/>
          <w:color w:val="4A4A4A"/>
          <w:sz w:val="21"/>
          <w:szCs w:val="21"/>
          <w:lang w:eastAsia="en-GB"/>
        </w:rPr>
        <w:t xml:space="preserve"> will be better informed about the risks linked to unsafe migration. </w:t>
      </w:r>
    </w:p>
    <w:p w14:paraId="60152BCC" w14:textId="207C9580" w:rsidR="0058556D" w:rsidRPr="00573631" w:rsidRDefault="00801016" w:rsidP="00801016">
      <w:pPr>
        <w:jc w:val="both"/>
        <w:rPr>
          <w:rFonts w:eastAsia="Times New Roman" w:cs="Times New Roman"/>
          <w:color w:val="4A4A4A"/>
          <w:sz w:val="21"/>
          <w:szCs w:val="21"/>
          <w:lang w:eastAsia="en-GB"/>
        </w:rPr>
      </w:pPr>
      <w:r>
        <w:rPr>
          <w:rFonts w:eastAsia="Times New Roman" w:cs="Times New Roman"/>
          <w:color w:val="4A4A4A"/>
          <w:sz w:val="21"/>
          <w:szCs w:val="21"/>
          <w:lang w:eastAsia="en-GB"/>
        </w:rPr>
        <w:t xml:space="preserve">Given that there are few official sources of data on deaths during migration, these data are best understood as a minimum estimate of the true number of migrant deaths worldwide. The MMP collects data from a variety of sources, which change over time given the large geography covered and the politicization of irregular migration – notably the criminalization of search and rescue actors in the Mediterranean and US-Mexico border – which affect access to relevant information. </w:t>
      </w:r>
      <w:proofErr w:type="gramStart"/>
      <w:r>
        <w:rPr>
          <w:rFonts w:eastAsia="Times New Roman" w:cs="Times New Roman"/>
          <w:color w:val="4A4A4A"/>
          <w:sz w:val="21"/>
          <w:szCs w:val="21"/>
          <w:lang w:eastAsia="en-GB"/>
        </w:rPr>
        <w:t>With this in mind, these</w:t>
      </w:r>
      <w:proofErr w:type="gramEnd"/>
      <w:r>
        <w:rPr>
          <w:rFonts w:eastAsia="Times New Roman" w:cs="Times New Roman"/>
          <w:color w:val="4A4A4A"/>
          <w:sz w:val="21"/>
          <w:szCs w:val="21"/>
          <w:lang w:eastAsia="en-GB"/>
        </w:rPr>
        <w:t xml:space="preserve"> data are best understood as indicative of the global nature of migrant fatalities, and should not be used to identify trends over time outside of the US-Mexico border, where official data is more frequently available compared to other areas of the world. </w:t>
      </w:r>
    </w:p>
    <w:p w14:paraId="2AD4321E" w14:textId="05A67346" w:rsidR="00801016"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Concepts:</w:t>
      </w:r>
    </w:p>
    <w:p w14:paraId="5EB4B673" w14:textId="77777777" w:rsidR="00D70E75" w:rsidRPr="00D70E75" w:rsidRDefault="00D70E75" w:rsidP="00D70E75">
      <w:pPr>
        <w:jc w:val="both"/>
        <w:rPr>
          <w:rFonts w:eastAsia="Times New Roman" w:cs="Times New Roman"/>
          <w:color w:val="4A4A4A"/>
          <w:sz w:val="21"/>
          <w:szCs w:val="21"/>
          <w:lang w:eastAsia="en-GB"/>
        </w:rPr>
      </w:pPr>
      <w:r w:rsidRPr="00D70E75">
        <w:rPr>
          <w:rFonts w:eastAsia="Times New Roman" w:cs="Times New Roman"/>
          <w:i/>
          <w:iCs/>
          <w:color w:val="4A4A4A"/>
          <w:sz w:val="21"/>
          <w:szCs w:val="21"/>
          <w:lang w:eastAsia="en-GB"/>
        </w:rPr>
        <w:t>Migrant</w:t>
      </w:r>
      <w:r w:rsidRPr="00D70E75">
        <w:rPr>
          <w:rFonts w:eastAsia="Times New Roman" w:cs="Times New Roman"/>
          <w:color w:val="4A4A4A"/>
          <w:sz w:val="21"/>
          <w:szCs w:val="21"/>
          <w:lang w:eastAsia="en-GB"/>
        </w:rPr>
        <w:t xml:space="preserve"> - An umbrella term, not defined under international law, reflecting the common lay understanding of a person who moves away from his or her place of usual residence, whether within a country or across an international border, temporarily or permanently, and for a variety of reasons. The term includes </w:t>
      </w:r>
      <w:proofErr w:type="gramStart"/>
      <w:r w:rsidRPr="00D70E75">
        <w:rPr>
          <w:rFonts w:eastAsia="Times New Roman" w:cs="Times New Roman"/>
          <w:color w:val="4A4A4A"/>
          <w:sz w:val="21"/>
          <w:szCs w:val="21"/>
          <w:lang w:eastAsia="en-GB"/>
        </w:rPr>
        <w:t>a number of</w:t>
      </w:r>
      <w:proofErr w:type="gramEnd"/>
      <w:r w:rsidRPr="00D70E75">
        <w:rPr>
          <w:rFonts w:eastAsia="Times New Roman" w:cs="Times New Roman"/>
          <w:color w:val="4A4A4A"/>
          <w:sz w:val="21"/>
          <w:szCs w:val="21"/>
          <w:lang w:eastAsia="en-GB"/>
        </w:rPr>
        <w:t xml:space="preserve"> well-defined legal categories of people, such as migrant workers; persons whose particular types </w:t>
      </w:r>
      <w:r w:rsidRPr="00D70E75">
        <w:rPr>
          <w:rFonts w:eastAsia="Times New Roman" w:cs="Times New Roman"/>
          <w:color w:val="4A4A4A"/>
          <w:sz w:val="21"/>
          <w:szCs w:val="21"/>
          <w:lang w:eastAsia="en-GB"/>
        </w:rPr>
        <w:lastRenderedPageBreak/>
        <w:t>of movements are legally-defined, such as smuggled migrants; as well as those whose status or means of movement are not specifically defined under international law, such as international students.</w:t>
      </w:r>
    </w:p>
    <w:p w14:paraId="6750E3E1" w14:textId="164F7990" w:rsidR="00803CF1" w:rsidRDefault="00D70E75" w:rsidP="00D70E75">
      <w:pPr>
        <w:rPr>
          <w:rFonts w:eastAsia="Times New Roman" w:cs="Times New Roman"/>
          <w:color w:val="4A4A4A"/>
          <w:sz w:val="21"/>
          <w:szCs w:val="21"/>
          <w:lang w:eastAsia="en-GB"/>
        </w:rPr>
      </w:pPr>
      <w:r w:rsidRPr="00D70E75">
        <w:rPr>
          <w:rFonts w:eastAsia="Times New Roman" w:cs="Times New Roman"/>
          <w:i/>
          <w:iCs/>
          <w:color w:val="4A4A4A"/>
          <w:sz w:val="21"/>
          <w:szCs w:val="21"/>
          <w:lang w:eastAsia="en-GB"/>
        </w:rPr>
        <w:t>Irregular migration</w:t>
      </w:r>
      <w:r w:rsidRPr="00D70E75">
        <w:rPr>
          <w:rFonts w:eastAsia="Times New Roman" w:cs="Times New Roman"/>
          <w:color w:val="4A4A4A"/>
          <w:sz w:val="21"/>
          <w:szCs w:val="21"/>
          <w:lang w:eastAsia="en-GB"/>
        </w:rPr>
        <w:t xml:space="preserve"> - Movement of persons that takes place outside the laws, regulations, or international agreements governing the entry into or exit from the State of origin, transit or destination.</w:t>
      </w:r>
    </w:p>
    <w:p w14:paraId="25430C07" w14:textId="77777777" w:rsidR="00803CF1" w:rsidRPr="00573631" w:rsidRDefault="00803CF1" w:rsidP="00803CF1">
      <w:pPr>
        <w:shd w:val="clear" w:color="auto" w:fill="FFFFFF"/>
        <w:spacing w:after="0"/>
        <w:rPr>
          <w:rFonts w:eastAsia="Times New Roman" w:cs="Times New Roman"/>
          <w:color w:val="4A4A4A"/>
          <w:sz w:val="21"/>
          <w:szCs w:val="21"/>
          <w:lang w:eastAsia="en-GB"/>
        </w:rPr>
      </w:pPr>
      <w:r>
        <w:rPr>
          <w:rFonts w:eastAsia="Times New Roman" w:cs="Times New Roman"/>
          <w:b/>
          <w:bCs/>
          <w:color w:val="4A4A4A"/>
          <w:sz w:val="21"/>
          <w:szCs w:val="21"/>
          <w:lang w:eastAsia="en-GB"/>
        </w:rPr>
        <w:t>Comments and limitations:</w:t>
      </w:r>
    </w:p>
    <w:p w14:paraId="2FDE940C" w14:textId="14ACF238" w:rsidR="00A61D74" w:rsidRPr="00766C31" w:rsidRDefault="00D70E75" w:rsidP="00573631">
      <w:pPr>
        <w:shd w:val="clear" w:color="auto" w:fill="FFFFFF"/>
        <w:spacing w:after="0"/>
        <w:rPr>
          <w:color w:val="4A4A4A"/>
          <w:sz w:val="21"/>
        </w:rPr>
      </w:pPr>
      <w:r w:rsidRPr="00766C31">
        <w:rPr>
          <w:color w:val="4A4A4A"/>
          <w:sz w:val="21"/>
        </w:rPr>
        <w:t>The MMP database provides a global overview of data on migrant fatalities, but it is primarily dependent on secondary sources of information. Information is gathered from diverse sources such as official records – including from coast guards and medical examiners – and other sources such as media reports, non-governmental organizations (NGOs), and surveys and interviews of migrants. The reliability and completeness of data vary greatly from region to region, from country to country and over time.</w:t>
      </w:r>
      <w:r w:rsidRPr="00D70E75">
        <w:t xml:space="preserve"> </w:t>
      </w:r>
      <w:hyperlink w:anchor="_Table_1:_Missing" w:history="1">
        <w:r w:rsidRPr="00DD47E8">
          <w:rPr>
            <w:rStyle w:val="Hyperlink"/>
          </w:rPr>
          <w:t>Table 1</w:t>
        </w:r>
      </w:hyperlink>
      <w:r w:rsidR="00703B15" w:rsidRPr="00766C31">
        <w:rPr>
          <w:color w:val="4A4A4A"/>
          <w:sz w:val="21"/>
        </w:rPr>
        <w:t>,</w:t>
      </w:r>
      <w:r w:rsidRPr="00766C31">
        <w:rPr>
          <w:color w:val="4A4A4A"/>
          <w:sz w:val="21"/>
        </w:rPr>
        <w:t xml:space="preserve"> in the methodology section below</w:t>
      </w:r>
      <w:r w:rsidR="00703B15" w:rsidRPr="00766C31">
        <w:rPr>
          <w:color w:val="4A4A4A"/>
          <w:sz w:val="21"/>
        </w:rPr>
        <w:t xml:space="preserve">, </w:t>
      </w:r>
      <w:r w:rsidRPr="00766C31">
        <w:rPr>
          <w:color w:val="4A4A4A"/>
          <w:sz w:val="21"/>
        </w:rPr>
        <w:t>illustrates the wide variety of sources used in the MMP database, and gives some insight into the various advantages and disadvantages of each. For example, some of the data are collected directly from migrants, either from survivors or through an increasing number of surveys of migrants. However, data from surveys and/or eyewitness testimonies may not be representative, and there may be a risk of double-counting if migrants report the same incident when asked whether they are aware of a migrant death or disappearance.</w:t>
      </w:r>
    </w:p>
    <w:p w14:paraId="49D50A10" w14:textId="77777777" w:rsidR="003F25B1" w:rsidRPr="003F25B1" w:rsidRDefault="003F25B1" w:rsidP="00573631">
      <w:pPr>
        <w:shd w:val="clear" w:color="auto" w:fill="FFFFFF"/>
        <w:spacing w:after="0"/>
        <w:rPr>
          <w:rFonts w:eastAsia="Times New Roman" w:cs="Times New Roman"/>
          <w:color w:val="4A4A4A"/>
          <w:sz w:val="21"/>
          <w:szCs w:val="21"/>
          <w:lang w:eastAsia="en-GB"/>
        </w:rPr>
      </w:pPr>
    </w:p>
    <w:p w14:paraId="08E26FD2" w14:textId="77777777" w:rsidR="0058556D" w:rsidRPr="00BC4BFA" w:rsidRDefault="0058556D" w:rsidP="00766C31">
      <w:pPr>
        <w:pStyle w:val="MHeader"/>
      </w:pPr>
      <w:r w:rsidRPr="00BC4BFA">
        <w:t>Methodology</w:t>
      </w:r>
    </w:p>
    <w:p w14:paraId="71E88E7F"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01AF9BB8" w14:textId="402E6734" w:rsidR="0058556D" w:rsidRPr="00766C31" w:rsidRDefault="0058556D" w:rsidP="00573631">
      <w:pPr>
        <w:shd w:val="clear" w:color="auto" w:fill="FFFFFF"/>
        <w:spacing w:after="0"/>
        <w:rPr>
          <w:b/>
          <w:color w:val="4A4A4A"/>
          <w:sz w:val="21"/>
        </w:rPr>
      </w:pPr>
      <w:r w:rsidRPr="00573631">
        <w:rPr>
          <w:rFonts w:eastAsia="Times New Roman" w:cs="Times New Roman"/>
          <w:b/>
          <w:bCs/>
          <w:color w:val="4A4A4A"/>
          <w:sz w:val="21"/>
          <w:szCs w:val="21"/>
          <w:lang w:eastAsia="en-GB"/>
        </w:rPr>
        <w:t>Computation Method:</w:t>
      </w:r>
    </w:p>
    <w:p w14:paraId="538DF585" w14:textId="3089CFD5" w:rsidR="00703B15" w:rsidRDefault="00703B15" w:rsidP="00703B15">
      <w:pPr>
        <w:rPr>
          <w:rFonts w:eastAsia="Times New Roman" w:cs="Times New Roman"/>
          <w:color w:val="4A4A4A"/>
          <w:sz w:val="21"/>
          <w:szCs w:val="21"/>
          <w:lang w:eastAsia="en-GB"/>
        </w:rPr>
      </w:pPr>
      <w:r>
        <w:rPr>
          <w:rFonts w:eastAsia="Times New Roman" w:cs="Times New Roman"/>
          <w:color w:val="4A4A4A"/>
          <w:sz w:val="21"/>
          <w:szCs w:val="21"/>
          <w:lang w:eastAsia="en-GB"/>
        </w:rPr>
        <w:t xml:space="preserve">MMP is an incident-based database, </w:t>
      </w:r>
      <w:r w:rsidRPr="00703B15">
        <w:rPr>
          <w:rFonts w:eastAsia="Times New Roman" w:cs="Times New Roman"/>
          <w:color w:val="4A4A4A"/>
          <w:sz w:val="21"/>
          <w:szCs w:val="21"/>
          <w:lang w:eastAsia="en-GB"/>
        </w:rPr>
        <w:t xml:space="preserve">meaning that each entry in the database represents a single occurrence in which an individual or group of individuals die during migration or at international borders in one </w:t>
      </w:r>
      <w:proofErr w:type="gramStart"/>
      <w:r w:rsidRPr="00703B15">
        <w:rPr>
          <w:rFonts w:eastAsia="Times New Roman" w:cs="Times New Roman"/>
          <w:color w:val="4A4A4A"/>
          <w:sz w:val="21"/>
          <w:szCs w:val="21"/>
          <w:lang w:eastAsia="en-GB"/>
        </w:rPr>
        <w:t>particular place</w:t>
      </w:r>
      <w:proofErr w:type="gramEnd"/>
      <w:r w:rsidRPr="00703B15">
        <w:rPr>
          <w:rFonts w:eastAsia="Times New Roman" w:cs="Times New Roman"/>
          <w:color w:val="4A4A4A"/>
          <w:sz w:val="21"/>
          <w:szCs w:val="21"/>
          <w:lang w:eastAsia="en-GB"/>
        </w:rPr>
        <w:t xml:space="preserve"> and time.</w:t>
      </w:r>
      <w:r>
        <w:rPr>
          <w:rStyle w:val="FootnoteReference"/>
          <w:rFonts w:eastAsia="Times New Roman" w:cs="Times New Roman"/>
          <w:color w:val="4A4A4A"/>
          <w:sz w:val="21"/>
          <w:szCs w:val="21"/>
          <w:lang w:eastAsia="en-GB"/>
        </w:rPr>
        <w:footnoteReference w:id="2"/>
      </w:r>
      <w:r w:rsidRPr="00703B1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This approach is used instead of a body-based database due to the fact that many migrant bodies are never recovered, particularly in overseas routes such as the Mediterranean Sea, or remote terrains such as the Sahara Desert.</w:t>
      </w:r>
    </w:p>
    <w:p w14:paraId="312C62F1" w14:textId="436FB553" w:rsidR="00703B15" w:rsidRDefault="00703B15" w:rsidP="00703B15">
      <w:pPr>
        <w:shd w:val="clear" w:color="auto" w:fill="FFFFFF"/>
        <w:spacing w:after="0"/>
        <w:jc w:val="both"/>
        <w:rPr>
          <w:rFonts w:eastAsia="Times New Roman" w:cs="Times New Roman"/>
          <w:color w:val="4A4A4A"/>
          <w:sz w:val="21"/>
          <w:szCs w:val="21"/>
          <w:lang w:eastAsia="en-GB"/>
        </w:rPr>
      </w:pPr>
      <w:r w:rsidRPr="00703B15">
        <w:rPr>
          <w:rFonts w:eastAsia="Times New Roman" w:cs="Times New Roman"/>
          <w:color w:val="4A4A4A"/>
          <w:sz w:val="21"/>
          <w:szCs w:val="21"/>
          <w:lang w:eastAsia="en-GB"/>
        </w:rPr>
        <w:t>The MMP database provides a global overview</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of data on migrant fatalities, but it is primarily</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dependent on secondary sources of information.</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Information is gathered from diverse sources such</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as official records – including from coast guards and</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medical examiners – and other sources such as medi</w:t>
      </w:r>
      <w:r>
        <w:rPr>
          <w:rFonts w:eastAsia="Times New Roman" w:cs="Times New Roman"/>
          <w:color w:val="4A4A4A"/>
          <w:sz w:val="21"/>
          <w:szCs w:val="21"/>
          <w:lang w:eastAsia="en-GB"/>
        </w:rPr>
        <w:t xml:space="preserve">a </w:t>
      </w:r>
      <w:r w:rsidRPr="00703B15">
        <w:rPr>
          <w:rFonts w:eastAsia="Times New Roman" w:cs="Times New Roman"/>
          <w:color w:val="4A4A4A"/>
          <w:sz w:val="21"/>
          <w:szCs w:val="21"/>
          <w:lang w:eastAsia="en-GB"/>
        </w:rPr>
        <w:t>reports, non-governmental organizations (NGOs), and</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surveys and interviews of migrants. The reliability</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and completeness of data vary greatly from region</w:t>
      </w:r>
      <w:r>
        <w:rPr>
          <w:rFonts w:eastAsia="Times New Roman" w:cs="Times New Roman"/>
          <w:color w:val="4A4A4A"/>
          <w:sz w:val="21"/>
          <w:szCs w:val="21"/>
          <w:lang w:eastAsia="en-GB"/>
        </w:rPr>
        <w:t xml:space="preserve"> </w:t>
      </w:r>
      <w:r w:rsidRPr="00703B15">
        <w:rPr>
          <w:rFonts w:eastAsia="Times New Roman" w:cs="Times New Roman"/>
          <w:color w:val="4A4A4A"/>
          <w:sz w:val="21"/>
          <w:szCs w:val="21"/>
          <w:lang w:eastAsia="en-GB"/>
        </w:rPr>
        <w:t>to region, from country to country and over time.</w:t>
      </w:r>
      <w:r>
        <w:rPr>
          <w:rFonts w:eastAsia="Times New Roman" w:cs="Times New Roman"/>
          <w:color w:val="4A4A4A"/>
          <w:sz w:val="21"/>
          <w:szCs w:val="21"/>
          <w:lang w:eastAsia="en-GB"/>
        </w:rPr>
        <w:t xml:space="preserve"> </w:t>
      </w:r>
      <w:hyperlink w:anchor="_Table_1:_Missing" w:history="1">
        <w:r w:rsidRPr="00DD47E8">
          <w:rPr>
            <w:rStyle w:val="Hyperlink"/>
            <w:rFonts w:eastAsia="Times New Roman" w:cs="Times New Roman"/>
            <w:sz w:val="21"/>
            <w:szCs w:val="21"/>
            <w:lang w:eastAsia="en-GB"/>
          </w:rPr>
          <w:t>Table 1</w:t>
        </w:r>
      </w:hyperlink>
      <w:r>
        <w:rPr>
          <w:rFonts w:eastAsia="Times New Roman" w:cs="Times New Roman"/>
          <w:color w:val="4A4A4A"/>
          <w:sz w:val="21"/>
          <w:szCs w:val="21"/>
          <w:lang w:eastAsia="en-GB"/>
        </w:rPr>
        <w:t>, below,</w:t>
      </w:r>
      <w:r w:rsidRPr="00703B15">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gives an overview of the data sources used and their various pros and cons</w:t>
      </w:r>
      <w:r w:rsidRPr="00703B15">
        <w:rPr>
          <w:rFonts w:eastAsia="Times New Roman" w:cs="Times New Roman"/>
          <w:color w:val="4A4A4A"/>
          <w:sz w:val="21"/>
          <w:szCs w:val="21"/>
          <w:lang w:eastAsia="en-GB"/>
        </w:rPr>
        <w:t>.</w:t>
      </w:r>
      <w:r>
        <w:rPr>
          <w:rFonts w:eastAsia="Times New Roman" w:cs="Times New Roman"/>
          <w:color w:val="4A4A4A"/>
          <w:sz w:val="21"/>
          <w:szCs w:val="21"/>
          <w:lang w:eastAsia="en-GB"/>
        </w:rPr>
        <w:t xml:space="preserve"> The MMP dataset cites the data source for each entry in its downloadable database, available from </w:t>
      </w:r>
      <w:hyperlink r:id="rId14" w:history="1">
        <w:r w:rsidRPr="00703B15">
          <w:rPr>
            <w:rStyle w:val="Hyperlink"/>
            <w:rFonts w:eastAsia="Times New Roman" w:cs="Times New Roman"/>
            <w:sz w:val="21"/>
            <w:szCs w:val="21"/>
            <w:lang w:eastAsia="en-GB"/>
          </w:rPr>
          <w:t>mmp.iom.int/downloads</w:t>
        </w:r>
      </w:hyperlink>
      <w:r w:rsidR="00073B7D">
        <w:rPr>
          <w:rFonts w:eastAsia="Times New Roman" w:cs="Times New Roman"/>
          <w:color w:val="4A4A4A"/>
          <w:sz w:val="21"/>
          <w:szCs w:val="21"/>
          <w:lang w:eastAsia="en-GB"/>
        </w:rPr>
        <w:t>.</w:t>
      </w:r>
    </w:p>
    <w:p w14:paraId="69B51AEF" w14:textId="705EBEA6" w:rsidR="00703B15" w:rsidRDefault="00703B15" w:rsidP="00703B15">
      <w:pPr>
        <w:shd w:val="clear" w:color="auto" w:fill="FFFFFF"/>
        <w:spacing w:after="0"/>
        <w:rPr>
          <w:rFonts w:eastAsia="Times New Roman" w:cs="Times New Roman"/>
          <w:color w:val="4A4A4A"/>
          <w:sz w:val="21"/>
          <w:szCs w:val="21"/>
          <w:lang w:eastAsia="en-GB"/>
        </w:rPr>
      </w:pPr>
    </w:p>
    <w:p w14:paraId="7DC4E90D" w14:textId="062D9695" w:rsidR="00033A51" w:rsidRDefault="00033A51" w:rsidP="00703B15">
      <w:pPr>
        <w:shd w:val="clear" w:color="auto" w:fill="FFFFFF"/>
        <w:spacing w:after="0"/>
        <w:rPr>
          <w:rFonts w:eastAsia="Times New Roman" w:cs="Times New Roman"/>
          <w:color w:val="4A4A4A"/>
          <w:sz w:val="21"/>
          <w:szCs w:val="21"/>
          <w:lang w:eastAsia="en-GB"/>
        </w:rPr>
      </w:pPr>
    </w:p>
    <w:p w14:paraId="1DF6732D" w14:textId="12AD3CCC" w:rsidR="00033A51" w:rsidRDefault="00033A51" w:rsidP="00703B15">
      <w:pPr>
        <w:shd w:val="clear" w:color="auto" w:fill="FFFFFF"/>
        <w:spacing w:after="0"/>
        <w:rPr>
          <w:rFonts w:eastAsia="Times New Roman" w:cs="Times New Roman"/>
          <w:color w:val="4A4A4A"/>
          <w:sz w:val="21"/>
          <w:szCs w:val="21"/>
          <w:lang w:eastAsia="en-GB"/>
        </w:rPr>
      </w:pPr>
    </w:p>
    <w:p w14:paraId="1B022179" w14:textId="77777777" w:rsidR="00033A51" w:rsidRPr="00703B15" w:rsidRDefault="00033A51" w:rsidP="00703B15">
      <w:pPr>
        <w:shd w:val="clear" w:color="auto" w:fill="FFFFFF"/>
        <w:spacing w:after="0"/>
        <w:rPr>
          <w:rFonts w:eastAsia="Times New Roman" w:cs="Times New Roman"/>
          <w:color w:val="4A4A4A"/>
          <w:sz w:val="21"/>
          <w:szCs w:val="21"/>
          <w:lang w:eastAsia="en-GB"/>
        </w:rPr>
      </w:pPr>
    </w:p>
    <w:p w14:paraId="22EE21AB" w14:textId="56024C0D" w:rsidR="00703B15" w:rsidRPr="00703B15" w:rsidRDefault="00703B15" w:rsidP="00033A51">
      <w:pPr>
        <w:pStyle w:val="Heading5"/>
      </w:pPr>
      <w:bookmarkStart w:id="1" w:name="_Table_1:_Missing"/>
      <w:bookmarkEnd w:id="1"/>
      <w:r>
        <w:t>Table 1: Missing Migrants Project data sources and their strengths and weaknesses</w:t>
      </w:r>
    </w:p>
    <w:tbl>
      <w:tblPr>
        <w:tblStyle w:val="TableGrid"/>
        <w:tblW w:w="10150" w:type="dxa"/>
        <w:tblLook w:val="04A0" w:firstRow="1" w:lastRow="0" w:firstColumn="1" w:lastColumn="0" w:noHBand="0" w:noVBand="1"/>
      </w:tblPr>
      <w:tblGrid>
        <w:gridCol w:w="1413"/>
        <w:gridCol w:w="1417"/>
        <w:gridCol w:w="2127"/>
        <w:gridCol w:w="2142"/>
        <w:gridCol w:w="3051"/>
      </w:tblGrid>
      <w:tr w:rsidR="003F25B1" w:rsidRPr="003F25B1" w14:paraId="0307B047" w14:textId="77777777" w:rsidTr="00703B15">
        <w:tc>
          <w:tcPr>
            <w:tcW w:w="1413" w:type="dxa"/>
          </w:tcPr>
          <w:p w14:paraId="248E74F0" w14:textId="77777777" w:rsidR="00703B15" w:rsidRPr="00766C31" w:rsidRDefault="00703B15" w:rsidP="00033A51">
            <w:pPr>
              <w:rPr>
                <w:b/>
                <w:color w:val="4A4A4A"/>
                <w:sz w:val="20"/>
                <w:lang w:val="en-CA"/>
              </w:rPr>
            </w:pPr>
            <w:r w:rsidRPr="00766C31">
              <w:rPr>
                <w:b/>
                <w:color w:val="4A4A4A"/>
                <w:sz w:val="20"/>
                <w:lang w:val="en-CA"/>
              </w:rPr>
              <w:t>Data source</w:t>
            </w:r>
          </w:p>
        </w:tc>
        <w:tc>
          <w:tcPr>
            <w:tcW w:w="1417" w:type="dxa"/>
          </w:tcPr>
          <w:p w14:paraId="0828F089" w14:textId="77777777" w:rsidR="00703B15" w:rsidRPr="00766C31" w:rsidRDefault="00703B15" w:rsidP="00033A51">
            <w:pPr>
              <w:rPr>
                <w:b/>
                <w:color w:val="4A4A4A"/>
                <w:sz w:val="20"/>
                <w:lang w:val="en-CA"/>
              </w:rPr>
            </w:pPr>
            <w:r w:rsidRPr="00766C31">
              <w:rPr>
                <w:b/>
                <w:color w:val="4A4A4A"/>
                <w:sz w:val="20"/>
                <w:lang w:val="en-CA"/>
              </w:rPr>
              <w:t>Data format</w:t>
            </w:r>
          </w:p>
        </w:tc>
        <w:tc>
          <w:tcPr>
            <w:tcW w:w="2127" w:type="dxa"/>
          </w:tcPr>
          <w:p w14:paraId="25A066FA" w14:textId="77777777" w:rsidR="00703B15" w:rsidRPr="00766C31" w:rsidRDefault="00703B15" w:rsidP="00033A51">
            <w:pPr>
              <w:rPr>
                <w:b/>
                <w:color w:val="4A4A4A"/>
                <w:sz w:val="20"/>
                <w:lang w:val="en-CA"/>
              </w:rPr>
            </w:pPr>
            <w:r w:rsidRPr="00766C31">
              <w:rPr>
                <w:b/>
                <w:color w:val="4A4A4A"/>
                <w:sz w:val="20"/>
                <w:lang w:val="en-CA"/>
              </w:rPr>
              <w:t>Where is this information available?</w:t>
            </w:r>
          </w:p>
        </w:tc>
        <w:tc>
          <w:tcPr>
            <w:tcW w:w="2142" w:type="dxa"/>
          </w:tcPr>
          <w:p w14:paraId="159B48EF" w14:textId="5F86EB6B" w:rsidR="00703B15" w:rsidRPr="00766C31" w:rsidRDefault="00703B15" w:rsidP="00033A51">
            <w:pPr>
              <w:rPr>
                <w:b/>
                <w:color w:val="4A4A4A"/>
                <w:sz w:val="20"/>
                <w:lang w:val="en-CA"/>
              </w:rPr>
            </w:pPr>
            <w:r w:rsidRPr="00766C31">
              <w:rPr>
                <w:b/>
                <w:color w:val="4A4A4A"/>
                <w:sz w:val="20"/>
                <w:lang w:val="en-CA"/>
              </w:rPr>
              <w:t xml:space="preserve">Strengths </w:t>
            </w:r>
          </w:p>
        </w:tc>
        <w:tc>
          <w:tcPr>
            <w:tcW w:w="3051" w:type="dxa"/>
          </w:tcPr>
          <w:p w14:paraId="0149B093" w14:textId="77777777" w:rsidR="00703B15" w:rsidRPr="00766C31" w:rsidRDefault="00703B15" w:rsidP="00033A51">
            <w:pPr>
              <w:rPr>
                <w:b/>
                <w:color w:val="4A4A4A"/>
                <w:sz w:val="20"/>
                <w:lang w:val="en-CA"/>
              </w:rPr>
            </w:pPr>
            <w:r w:rsidRPr="00766C31">
              <w:rPr>
                <w:b/>
                <w:color w:val="4A4A4A"/>
                <w:sz w:val="20"/>
                <w:lang w:val="en-CA"/>
              </w:rPr>
              <w:t>Weaknesses</w:t>
            </w:r>
          </w:p>
        </w:tc>
      </w:tr>
      <w:tr w:rsidR="003F25B1" w:rsidRPr="003F25B1" w14:paraId="6DE6D241" w14:textId="77777777" w:rsidTr="00703B15">
        <w:tc>
          <w:tcPr>
            <w:tcW w:w="1413" w:type="dxa"/>
          </w:tcPr>
          <w:p w14:paraId="59024219" w14:textId="77777777" w:rsidR="00703B15" w:rsidRPr="00766C31" w:rsidRDefault="00703B15" w:rsidP="00033A51">
            <w:pPr>
              <w:spacing w:after="40"/>
              <w:rPr>
                <w:color w:val="4A4A4A"/>
                <w:sz w:val="20"/>
                <w:lang w:val="en-CA"/>
              </w:rPr>
            </w:pPr>
            <w:r w:rsidRPr="00766C31">
              <w:rPr>
                <w:color w:val="4A4A4A"/>
                <w:sz w:val="20"/>
                <w:lang w:val="en-CA"/>
              </w:rPr>
              <w:lastRenderedPageBreak/>
              <w:t>Government: Data on repatriations</w:t>
            </w:r>
          </w:p>
        </w:tc>
        <w:tc>
          <w:tcPr>
            <w:tcW w:w="1417" w:type="dxa"/>
          </w:tcPr>
          <w:p w14:paraId="46AEA829" w14:textId="77777777" w:rsidR="00703B15" w:rsidRPr="00766C31" w:rsidRDefault="00703B15" w:rsidP="00033A51">
            <w:pPr>
              <w:spacing w:after="40"/>
              <w:rPr>
                <w:color w:val="4A4A4A"/>
                <w:sz w:val="20"/>
                <w:lang w:val="en-CA"/>
              </w:rPr>
            </w:pPr>
            <w:r w:rsidRPr="00766C31">
              <w:rPr>
                <w:color w:val="4A4A4A"/>
                <w:sz w:val="20"/>
                <w:lang w:val="en-CA"/>
              </w:rPr>
              <w:t>Database (bodies)</w:t>
            </w:r>
          </w:p>
        </w:tc>
        <w:tc>
          <w:tcPr>
            <w:tcW w:w="2127" w:type="dxa"/>
          </w:tcPr>
          <w:p w14:paraId="35760DC7" w14:textId="77777777" w:rsidR="00703B15" w:rsidRPr="00766C31" w:rsidRDefault="00703B15" w:rsidP="00033A51">
            <w:pPr>
              <w:spacing w:after="40"/>
              <w:rPr>
                <w:color w:val="4A4A4A"/>
                <w:sz w:val="20"/>
                <w:lang w:val="en-CA"/>
              </w:rPr>
            </w:pPr>
            <w:r w:rsidRPr="00766C31">
              <w:rPr>
                <w:color w:val="4A4A4A"/>
                <w:sz w:val="20"/>
                <w:lang w:val="en-CA"/>
              </w:rPr>
              <w:t>Mexico, Honduras, Bangladesh, Guatemala, El Salvador</w:t>
            </w:r>
          </w:p>
        </w:tc>
        <w:tc>
          <w:tcPr>
            <w:tcW w:w="2142" w:type="dxa"/>
          </w:tcPr>
          <w:p w14:paraId="0CFB5FD1" w14:textId="77777777" w:rsidR="00703B15" w:rsidRPr="00766C31" w:rsidRDefault="00703B15" w:rsidP="00703B15">
            <w:pPr>
              <w:pStyle w:val="ListParagraph"/>
              <w:numPr>
                <w:ilvl w:val="0"/>
                <w:numId w:val="5"/>
              </w:numPr>
              <w:spacing w:after="40"/>
              <w:rPr>
                <w:color w:val="4A4A4A"/>
                <w:sz w:val="20"/>
                <w:lang w:val="en-CA"/>
              </w:rPr>
            </w:pPr>
            <w:r w:rsidRPr="00766C31">
              <w:rPr>
                <w:color w:val="4A4A4A"/>
                <w:sz w:val="20"/>
                <w:lang w:val="en-CA"/>
              </w:rPr>
              <w:t>Credible information, covers many cases (not just individual incidents)</w:t>
            </w:r>
          </w:p>
        </w:tc>
        <w:tc>
          <w:tcPr>
            <w:tcW w:w="3051" w:type="dxa"/>
          </w:tcPr>
          <w:p w14:paraId="22978435" w14:textId="77777777" w:rsidR="00703B15" w:rsidRPr="00766C31" w:rsidRDefault="00703B15" w:rsidP="00703B15">
            <w:pPr>
              <w:pStyle w:val="ListParagraph"/>
              <w:numPr>
                <w:ilvl w:val="0"/>
                <w:numId w:val="5"/>
              </w:numPr>
              <w:spacing w:after="40"/>
              <w:rPr>
                <w:color w:val="4A4A4A"/>
                <w:sz w:val="20"/>
                <w:lang w:val="en-CA"/>
              </w:rPr>
            </w:pPr>
            <w:r w:rsidRPr="00766C31">
              <w:rPr>
                <w:color w:val="4A4A4A"/>
                <w:sz w:val="20"/>
                <w:lang w:val="en-CA"/>
              </w:rPr>
              <w:t>Available for very few countries</w:t>
            </w:r>
          </w:p>
          <w:p w14:paraId="29B7B055" w14:textId="77777777" w:rsidR="00703B15" w:rsidRPr="00766C31" w:rsidRDefault="00703B15" w:rsidP="00703B15">
            <w:pPr>
              <w:pStyle w:val="ListParagraph"/>
              <w:numPr>
                <w:ilvl w:val="0"/>
                <w:numId w:val="5"/>
              </w:numPr>
              <w:spacing w:after="40"/>
              <w:rPr>
                <w:color w:val="4A4A4A"/>
                <w:sz w:val="20"/>
                <w:lang w:val="en-CA"/>
              </w:rPr>
            </w:pPr>
            <w:r w:rsidRPr="00766C31">
              <w:rPr>
                <w:color w:val="4A4A4A"/>
                <w:sz w:val="20"/>
                <w:lang w:val="en-CA"/>
              </w:rPr>
              <w:t>Can be outdated</w:t>
            </w:r>
          </w:p>
          <w:p w14:paraId="06F486DF" w14:textId="77777777" w:rsidR="00703B15" w:rsidRPr="00766C31" w:rsidRDefault="00703B15" w:rsidP="00703B15">
            <w:pPr>
              <w:pStyle w:val="ListParagraph"/>
              <w:numPr>
                <w:ilvl w:val="0"/>
                <w:numId w:val="5"/>
              </w:numPr>
              <w:spacing w:after="40"/>
              <w:rPr>
                <w:color w:val="4A4A4A"/>
                <w:sz w:val="20"/>
                <w:lang w:val="en-CA"/>
              </w:rPr>
            </w:pPr>
            <w:r w:rsidRPr="00766C31">
              <w:rPr>
                <w:color w:val="4A4A4A"/>
                <w:sz w:val="20"/>
                <w:lang w:val="en-CA"/>
              </w:rPr>
              <w:t>Includes only information on the recovered bodies and not on missing persons</w:t>
            </w:r>
          </w:p>
        </w:tc>
      </w:tr>
      <w:tr w:rsidR="003F25B1" w:rsidRPr="003F25B1" w14:paraId="79E6C7A1" w14:textId="77777777" w:rsidTr="00703B15">
        <w:trPr>
          <w:trHeight w:val="708"/>
        </w:trPr>
        <w:tc>
          <w:tcPr>
            <w:tcW w:w="1413" w:type="dxa"/>
          </w:tcPr>
          <w:p w14:paraId="4B1CFF20" w14:textId="77777777" w:rsidR="00703B15" w:rsidRPr="00766C31" w:rsidRDefault="00703B15" w:rsidP="00033A51">
            <w:pPr>
              <w:spacing w:after="40"/>
              <w:rPr>
                <w:color w:val="4A4A4A"/>
                <w:sz w:val="20"/>
                <w:lang w:val="en-CA"/>
              </w:rPr>
            </w:pPr>
            <w:r w:rsidRPr="00766C31">
              <w:rPr>
                <w:color w:val="4A4A4A"/>
                <w:sz w:val="20"/>
                <w:lang w:val="en-CA"/>
              </w:rPr>
              <w:t xml:space="preserve">Government: Press releases, official statements </w:t>
            </w:r>
          </w:p>
          <w:p w14:paraId="32743DAD" w14:textId="77777777" w:rsidR="00703B15" w:rsidRPr="00766C31" w:rsidRDefault="00703B15" w:rsidP="00033A51">
            <w:pPr>
              <w:spacing w:after="40"/>
              <w:rPr>
                <w:color w:val="4A4A4A"/>
                <w:sz w:val="20"/>
                <w:lang w:val="en-CA"/>
              </w:rPr>
            </w:pPr>
          </w:p>
          <w:p w14:paraId="306EE187" w14:textId="77777777" w:rsidR="00703B15" w:rsidRPr="00766C31" w:rsidRDefault="00703B15" w:rsidP="00033A51">
            <w:pPr>
              <w:spacing w:after="40"/>
              <w:rPr>
                <w:color w:val="4A4A4A"/>
                <w:sz w:val="20"/>
                <w:lang w:val="en-CA"/>
              </w:rPr>
            </w:pPr>
          </w:p>
        </w:tc>
        <w:tc>
          <w:tcPr>
            <w:tcW w:w="1417" w:type="dxa"/>
          </w:tcPr>
          <w:p w14:paraId="28CEBD0E" w14:textId="77777777" w:rsidR="00703B15" w:rsidRPr="00766C31" w:rsidRDefault="00703B15" w:rsidP="00033A51">
            <w:pPr>
              <w:spacing w:after="40"/>
              <w:rPr>
                <w:color w:val="4A4A4A"/>
                <w:sz w:val="20"/>
                <w:lang w:val="en-CA"/>
              </w:rPr>
            </w:pPr>
            <w:r w:rsidRPr="00766C31">
              <w:rPr>
                <w:color w:val="4A4A4A"/>
                <w:sz w:val="20"/>
                <w:lang w:val="en-CA"/>
              </w:rPr>
              <w:t>Incident reports</w:t>
            </w:r>
          </w:p>
        </w:tc>
        <w:tc>
          <w:tcPr>
            <w:tcW w:w="2127" w:type="dxa"/>
          </w:tcPr>
          <w:p w14:paraId="1E3780BA" w14:textId="77777777" w:rsidR="00703B15" w:rsidRPr="00766C31" w:rsidRDefault="00703B15" w:rsidP="00033A51">
            <w:pPr>
              <w:spacing w:after="40"/>
              <w:rPr>
                <w:color w:val="4A4A4A"/>
                <w:sz w:val="20"/>
                <w:lang w:val="en-CA"/>
              </w:rPr>
            </w:pPr>
            <w:r w:rsidRPr="00766C31">
              <w:rPr>
                <w:color w:val="4A4A4A"/>
                <w:sz w:val="20"/>
                <w:lang w:val="en-CA"/>
              </w:rPr>
              <w:t>Some countries in Europe, South America</w:t>
            </w:r>
          </w:p>
        </w:tc>
        <w:tc>
          <w:tcPr>
            <w:tcW w:w="2142" w:type="dxa"/>
          </w:tcPr>
          <w:p w14:paraId="525233B7" w14:textId="77777777" w:rsidR="00703B15" w:rsidRPr="00766C31" w:rsidRDefault="00703B15" w:rsidP="00703B15">
            <w:pPr>
              <w:pStyle w:val="ListParagraph"/>
              <w:numPr>
                <w:ilvl w:val="0"/>
                <w:numId w:val="15"/>
              </w:numPr>
              <w:spacing w:after="40"/>
              <w:rPr>
                <w:color w:val="4A4A4A"/>
                <w:sz w:val="20"/>
                <w:lang w:val="en-CA"/>
              </w:rPr>
            </w:pPr>
            <w:r w:rsidRPr="00766C31">
              <w:rPr>
                <w:color w:val="4A4A4A"/>
                <w:sz w:val="20"/>
                <w:lang w:val="en-CA"/>
              </w:rPr>
              <w:t>Credible information about individual events</w:t>
            </w:r>
          </w:p>
        </w:tc>
        <w:tc>
          <w:tcPr>
            <w:tcW w:w="3051" w:type="dxa"/>
          </w:tcPr>
          <w:p w14:paraId="3696CCA5" w14:textId="77777777" w:rsidR="00703B15" w:rsidRPr="00766C31" w:rsidRDefault="00703B15" w:rsidP="00703B15">
            <w:pPr>
              <w:pStyle w:val="ListParagraph"/>
              <w:numPr>
                <w:ilvl w:val="0"/>
                <w:numId w:val="6"/>
              </w:numPr>
              <w:spacing w:after="40"/>
              <w:rPr>
                <w:color w:val="4A4A4A"/>
                <w:sz w:val="20"/>
                <w:lang w:val="en-CA"/>
              </w:rPr>
            </w:pPr>
            <w:r w:rsidRPr="00766C31">
              <w:rPr>
                <w:color w:val="4A4A4A"/>
                <w:sz w:val="20"/>
                <w:lang w:val="en-CA"/>
              </w:rPr>
              <w:t>Available for few, isolated events</w:t>
            </w:r>
          </w:p>
          <w:p w14:paraId="5235B5A0" w14:textId="77777777" w:rsidR="00703B15" w:rsidRPr="00766C31" w:rsidRDefault="00703B15" w:rsidP="00703B15">
            <w:pPr>
              <w:pStyle w:val="ListParagraph"/>
              <w:numPr>
                <w:ilvl w:val="0"/>
                <w:numId w:val="6"/>
              </w:numPr>
              <w:spacing w:after="40"/>
              <w:rPr>
                <w:color w:val="4A4A4A"/>
                <w:sz w:val="20"/>
                <w:lang w:val="en-CA"/>
              </w:rPr>
            </w:pPr>
            <w:r w:rsidRPr="00766C31">
              <w:rPr>
                <w:color w:val="4A4A4A"/>
                <w:sz w:val="20"/>
                <w:lang w:val="en-CA"/>
              </w:rPr>
              <w:t>Often need to request more detailed information</w:t>
            </w:r>
          </w:p>
          <w:p w14:paraId="7185933D" w14:textId="77777777" w:rsidR="00703B15" w:rsidRPr="00766C31" w:rsidRDefault="00703B15" w:rsidP="00703B15">
            <w:pPr>
              <w:pStyle w:val="ListParagraph"/>
              <w:numPr>
                <w:ilvl w:val="0"/>
                <w:numId w:val="6"/>
              </w:numPr>
              <w:spacing w:after="40"/>
              <w:rPr>
                <w:color w:val="4A4A4A"/>
                <w:sz w:val="20"/>
                <w:lang w:val="en-CA"/>
              </w:rPr>
            </w:pPr>
            <w:r w:rsidRPr="00766C31">
              <w:rPr>
                <w:color w:val="4A4A4A"/>
                <w:sz w:val="20"/>
                <w:lang w:val="en-CA"/>
              </w:rPr>
              <w:t>Usually includes only information on bodies recovered and not missing persons</w:t>
            </w:r>
          </w:p>
          <w:p w14:paraId="2C6E7C61" w14:textId="77777777" w:rsidR="00703B15" w:rsidRPr="00766C31" w:rsidRDefault="00703B15" w:rsidP="00703B15">
            <w:pPr>
              <w:pStyle w:val="ListParagraph"/>
              <w:numPr>
                <w:ilvl w:val="0"/>
                <w:numId w:val="6"/>
              </w:numPr>
              <w:spacing w:after="40"/>
              <w:rPr>
                <w:color w:val="4A4A4A"/>
                <w:sz w:val="20"/>
                <w:lang w:val="en-CA"/>
              </w:rPr>
            </w:pPr>
            <w:r w:rsidRPr="00766C31">
              <w:rPr>
                <w:color w:val="4A4A4A"/>
                <w:sz w:val="20"/>
                <w:lang w:val="en-CA"/>
              </w:rPr>
              <w:t>Media may only report most sensational cases</w:t>
            </w:r>
          </w:p>
          <w:p w14:paraId="25A65A66" w14:textId="77777777" w:rsidR="00703B15" w:rsidRPr="00766C31" w:rsidRDefault="00703B15" w:rsidP="00703B15">
            <w:pPr>
              <w:pStyle w:val="ListParagraph"/>
              <w:numPr>
                <w:ilvl w:val="0"/>
                <w:numId w:val="6"/>
              </w:numPr>
              <w:spacing w:after="40"/>
              <w:rPr>
                <w:color w:val="4A4A4A"/>
                <w:sz w:val="20"/>
                <w:lang w:val="en-CA"/>
              </w:rPr>
            </w:pPr>
            <w:r w:rsidRPr="00766C31">
              <w:rPr>
                <w:color w:val="4A4A4A"/>
                <w:sz w:val="20"/>
                <w:lang w:val="en-CA"/>
              </w:rPr>
              <w:t>Different media may report same incident with risk of double counting</w:t>
            </w:r>
          </w:p>
        </w:tc>
      </w:tr>
      <w:tr w:rsidR="003F25B1" w:rsidRPr="003F25B1" w14:paraId="409B0E96" w14:textId="77777777" w:rsidTr="00703B15">
        <w:trPr>
          <w:trHeight w:val="470"/>
        </w:trPr>
        <w:tc>
          <w:tcPr>
            <w:tcW w:w="1413" w:type="dxa"/>
          </w:tcPr>
          <w:p w14:paraId="25855DC2" w14:textId="77777777" w:rsidR="00703B15" w:rsidRPr="00766C31" w:rsidRDefault="00703B15" w:rsidP="00033A51">
            <w:pPr>
              <w:spacing w:after="40"/>
              <w:rPr>
                <w:color w:val="4A4A4A"/>
                <w:sz w:val="20"/>
                <w:lang w:val="en-CA"/>
              </w:rPr>
            </w:pPr>
            <w:r w:rsidRPr="00766C31">
              <w:rPr>
                <w:color w:val="4A4A4A"/>
                <w:sz w:val="20"/>
                <w:lang w:val="en-CA"/>
              </w:rPr>
              <w:t>Government: Record of border deaths</w:t>
            </w:r>
          </w:p>
          <w:p w14:paraId="086A8F1B" w14:textId="77777777" w:rsidR="00703B15" w:rsidRPr="00766C31" w:rsidRDefault="00703B15" w:rsidP="00033A51">
            <w:pPr>
              <w:spacing w:after="40"/>
              <w:rPr>
                <w:color w:val="4A4A4A"/>
                <w:sz w:val="20"/>
                <w:lang w:val="en-CA"/>
              </w:rPr>
            </w:pPr>
          </w:p>
          <w:p w14:paraId="7B00B80D" w14:textId="77777777" w:rsidR="00703B15" w:rsidRPr="00766C31" w:rsidRDefault="00703B15" w:rsidP="00033A51">
            <w:pPr>
              <w:spacing w:after="40"/>
              <w:rPr>
                <w:color w:val="4A4A4A"/>
                <w:sz w:val="20"/>
                <w:lang w:val="en-CA"/>
              </w:rPr>
            </w:pPr>
          </w:p>
        </w:tc>
        <w:tc>
          <w:tcPr>
            <w:tcW w:w="1417" w:type="dxa"/>
          </w:tcPr>
          <w:p w14:paraId="65A1C23B" w14:textId="77777777" w:rsidR="00703B15" w:rsidRPr="00766C31" w:rsidRDefault="00703B15" w:rsidP="00033A51">
            <w:pPr>
              <w:spacing w:after="40"/>
              <w:rPr>
                <w:color w:val="4A4A4A"/>
                <w:sz w:val="20"/>
                <w:lang w:val="en-CA"/>
              </w:rPr>
            </w:pPr>
            <w:r w:rsidRPr="00766C31">
              <w:rPr>
                <w:color w:val="4A4A4A"/>
                <w:sz w:val="20"/>
                <w:lang w:val="en-CA"/>
              </w:rPr>
              <w:t>Database (bodies)</w:t>
            </w:r>
          </w:p>
        </w:tc>
        <w:tc>
          <w:tcPr>
            <w:tcW w:w="2127" w:type="dxa"/>
          </w:tcPr>
          <w:p w14:paraId="09A546DA" w14:textId="77777777" w:rsidR="00703B15" w:rsidRPr="00766C31" w:rsidRDefault="00703B15" w:rsidP="00033A51">
            <w:pPr>
              <w:spacing w:after="40"/>
              <w:rPr>
                <w:color w:val="4A4A4A"/>
                <w:sz w:val="20"/>
                <w:lang w:val="en-CA"/>
              </w:rPr>
            </w:pPr>
            <w:r w:rsidRPr="00766C31">
              <w:rPr>
                <w:color w:val="4A4A4A"/>
                <w:sz w:val="20"/>
                <w:lang w:val="en-CA"/>
              </w:rPr>
              <w:t>US counties bordering Mexico</w:t>
            </w:r>
          </w:p>
        </w:tc>
        <w:tc>
          <w:tcPr>
            <w:tcW w:w="2142" w:type="dxa"/>
          </w:tcPr>
          <w:p w14:paraId="249BBE83" w14:textId="77777777" w:rsidR="00703B15" w:rsidRPr="00766C31" w:rsidRDefault="00703B15" w:rsidP="00703B15">
            <w:pPr>
              <w:pStyle w:val="ListParagraph"/>
              <w:numPr>
                <w:ilvl w:val="0"/>
                <w:numId w:val="16"/>
              </w:numPr>
              <w:spacing w:after="40"/>
              <w:rPr>
                <w:color w:val="4A4A4A"/>
                <w:sz w:val="20"/>
                <w:lang w:val="en-CA"/>
              </w:rPr>
            </w:pPr>
            <w:r w:rsidRPr="00766C31">
              <w:rPr>
                <w:color w:val="4A4A4A"/>
                <w:sz w:val="20"/>
                <w:lang w:val="en-CA"/>
              </w:rPr>
              <w:t>(Can) provide credible information</w:t>
            </w:r>
          </w:p>
        </w:tc>
        <w:tc>
          <w:tcPr>
            <w:tcW w:w="3051" w:type="dxa"/>
          </w:tcPr>
          <w:p w14:paraId="05E86C9A" w14:textId="77777777" w:rsidR="00703B15" w:rsidRPr="00766C31" w:rsidRDefault="00703B15" w:rsidP="00703B15">
            <w:pPr>
              <w:pStyle w:val="ListParagraph"/>
              <w:numPr>
                <w:ilvl w:val="0"/>
                <w:numId w:val="13"/>
              </w:numPr>
              <w:spacing w:after="40"/>
              <w:rPr>
                <w:color w:val="4A4A4A"/>
                <w:sz w:val="20"/>
                <w:lang w:val="en-CA"/>
              </w:rPr>
            </w:pPr>
            <w:r w:rsidRPr="00766C31">
              <w:rPr>
                <w:color w:val="4A4A4A"/>
                <w:sz w:val="20"/>
                <w:lang w:val="en-CA"/>
              </w:rPr>
              <w:t>Coverage is unknown, as many deaths are unidentified as migrants or not reported to consulates</w:t>
            </w:r>
          </w:p>
        </w:tc>
      </w:tr>
      <w:tr w:rsidR="003F25B1" w:rsidRPr="003F25B1" w14:paraId="039ABB82" w14:textId="77777777" w:rsidTr="00703B15">
        <w:tc>
          <w:tcPr>
            <w:tcW w:w="1413" w:type="dxa"/>
          </w:tcPr>
          <w:p w14:paraId="178B64A4" w14:textId="0D032062" w:rsidR="00703B15" w:rsidRPr="00766C31" w:rsidRDefault="00703B15" w:rsidP="00033A51">
            <w:pPr>
              <w:spacing w:after="40"/>
              <w:rPr>
                <w:color w:val="4A4A4A"/>
                <w:sz w:val="20"/>
                <w:lang w:val="en-CA"/>
              </w:rPr>
            </w:pPr>
            <w:r w:rsidRPr="00766C31">
              <w:rPr>
                <w:color w:val="4A4A4A"/>
                <w:sz w:val="20"/>
                <w:lang w:val="en-CA"/>
              </w:rPr>
              <w:t>Forensic data (i.e. from medical examiners/ coroners)</w:t>
            </w:r>
          </w:p>
          <w:p w14:paraId="59A09A61" w14:textId="77777777" w:rsidR="00703B15" w:rsidRPr="00766C31" w:rsidRDefault="00703B15" w:rsidP="00033A51">
            <w:pPr>
              <w:spacing w:after="40"/>
              <w:rPr>
                <w:color w:val="4A4A4A"/>
                <w:sz w:val="20"/>
                <w:lang w:val="en-CA"/>
              </w:rPr>
            </w:pPr>
          </w:p>
          <w:p w14:paraId="014F5AED" w14:textId="77777777" w:rsidR="00703B15" w:rsidRPr="00766C31" w:rsidRDefault="00703B15" w:rsidP="00033A51">
            <w:pPr>
              <w:spacing w:after="40"/>
              <w:rPr>
                <w:color w:val="4A4A4A"/>
                <w:sz w:val="20"/>
                <w:lang w:val="en-CA"/>
              </w:rPr>
            </w:pPr>
          </w:p>
        </w:tc>
        <w:tc>
          <w:tcPr>
            <w:tcW w:w="1417" w:type="dxa"/>
          </w:tcPr>
          <w:p w14:paraId="5C5FE7D9" w14:textId="77777777" w:rsidR="00703B15" w:rsidRPr="00766C31" w:rsidRDefault="00703B15" w:rsidP="00033A51">
            <w:pPr>
              <w:spacing w:after="40"/>
              <w:rPr>
                <w:color w:val="4A4A4A"/>
                <w:sz w:val="20"/>
                <w:lang w:val="en-CA"/>
              </w:rPr>
            </w:pPr>
            <w:r w:rsidRPr="00766C31">
              <w:rPr>
                <w:color w:val="4A4A4A"/>
                <w:sz w:val="20"/>
                <w:lang w:val="en-CA"/>
              </w:rPr>
              <w:t>Database (bodies) or summary figures</w:t>
            </w:r>
          </w:p>
        </w:tc>
        <w:tc>
          <w:tcPr>
            <w:tcW w:w="2127" w:type="dxa"/>
          </w:tcPr>
          <w:p w14:paraId="664E610C" w14:textId="7E68CCCC" w:rsidR="00703B15" w:rsidRPr="00766C31" w:rsidRDefault="00703B15" w:rsidP="00033A51">
            <w:pPr>
              <w:spacing w:after="40"/>
              <w:rPr>
                <w:color w:val="4A4A4A"/>
                <w:sz w:val="20"/>
                <w:lang w:val="en-CA"/>
              </w:rPr>
            </w:pPr>
            <w:r w:rsidRPr="00766C31">
              <w:rPr>
                <w:color w:val="4A4A4A"/>
                <w:sz w:val="20"/>
                <w:lang w:val="en-CA"/>
              </w:rPr>
              <w:t xml:space="preserve">US counties on United States‒Mexico border, European countries (see e.g. </w:t>
            </w:r>
            <w:proofErr w:type="spellStart"/>
            <w:r w:rsidRPr="00766C31">
              <w:rPr>
                <w:color w:val="4A4A4A"/>
                <w:sz w:val="20"/>
                <w:lang w:val="en-CA"/>
              </w:rPr>
              <w:t>Vrije</w:t>
            </w:r>
            <w:proofErr w:type="spellEnd"/>
            <w:r w:rsidRPr="00766C31">
              <w:rPr>
                <w:color w:val="4A4A4A"/>
                <w:sz w:val="20"/>
                <w:lang w:val="en-CA"/>
              </w:rPr>
              <w:t xml:space="preserve"> </w:t>
            </w:r>
            <w:proofErr w:type="spellStart"/>
            <w:r w:rsidRPr="00766C31">
              <w:rPr>
                <w:color w:val="4A4A4A"/>
                <w:sz w:val="20"/>
                <w:lang w:val="en-CA"/>
              </w:rPr>
              <w:t>Universiteit’s</w:t>
            </w:r>
            <w:proofErr w:type="spellEnd"/>
            <w:r w:rsidRPr="00766C31">
              <w:rPr>
                <w:color w:val="4A4A4A"/>
                <w:sz w:val="20"/>
                <w:lang w:val="en-CA"/>
              </w:rPr>
              <w:t xml:space="preserve"> Deaths at the Borders Database)</w:t>
            </w:r>
          </w:p>
        </w:tc>
        <w:tc>
          <w:tcPr>
            <w:tcW w:w="2142" w:type="dxa"/>
          </w:tcPr>
          <w:p w14:paraId="67EE0045" w14:textId="77777777" w:rsidR="00703B15" w:rsidRPr="00766C31" w:rsidRDefault="00703B15" w:rsidP="00703B15">
            <w:pPr>
              <w:pStyle w:val="ListParagraph"/>
              <w:numPr>
                <w:ilvl w:val="0"/>
                <w:numId w:val="13"/>
              </w:numPr>
              <w:spacing w:after="40"/>
              <w:rPr>
                <w:color w:val="4A4A4A"/>
                <w:sz w:val="20"/>
                <w:lang w:val="en-CA"/>
              </w:rPr>
            </w:pPr>
            <w:r w:rsidRPr="00766C31">
              <w:rPr>
                <w:color w:val="4A4A4A"/>
                <w:sz w:val="20"/>
                <w:lang w:val="en-CA"/>
              </w:rPr>
              <w:t>Credible and detailed information about individual incidents</w:t>
            </w:r>
          </w:p>
        </w:tc>
        <w:tc>
          <w:tcPr>
            <w:tcW w:w="3051" w:type="dxa"/>
          </w:tcPr>
          <w:p w14:paraId="308D3B06" w14:textId="77777777" w:rsidR="00703B15" w:rsidRPr="00766C31" w:rsidRDefault="00703B15" w:rsidP="00703B15">
            <w:pPr>
              <w:pStyle w:val="ListParagraph"/>
              <w:numPr>
                <w:ilvl w:val="0"/>
                <w:numId w:val="7"/>
              </w:numPr>
              <w:spacing w:after="40"/>
              <w:rPr>
                <w:color w:val="4A4A4A"/>
                <w:sz w:val="20"/>
                <w:lang w:val="en-CA"/>
              </w:rPr>
            </w:pPr>
            <w:r w:rsidRPr="00766C31">
              <w:rPr>
                <w:color w:val="4A4A4A"/>
                <w:sz w:val="20"/>
                <w:lang w:val="en-CA"/>
              </w:rPr>
              <w:t>Data disaggregated by migrant deaths are rarely available (only one example: Pima Country, Arizona)</w:t>
            </w:r>
          </w:p>
          <w:p w14:paraId="351E147F" w14:textId="77777777" w:rsidR="00703B15" w:rsidRPr="00766C31" w:rsidRDefault="00703B15" w:rsidP="00703B15">
            <w:pPr>
              <w:pStyle w:val="ListParagraph"/>
              <w:numPr>
                <w:ilvl w:val="0"/>
                <w:numId w:val="7"/>
              </w:numPr>
              <w:spacing w:after="40"/>
              <w:rPr>
                <w:color w:val="4A4A4A"/>
                <w:sz w:val="20"/>
                <w:lang w:val="en-CA"/>
              </w:rPr>
            </w:pPr>
            <w:r w:rsidRPr="00766C31">
              <w:rPr>
                <w:color w:val="4A4A4A"/>
                <w:sz w:val="20"/>
                <w:lang w:val="en-CA"/>
              </w:rPr>
              <w:t>Includes only information on bodies recovered and not missing persons</w:t>
            </w:r>
          </w:p>
          <w:p w14:paraId="5E051245" w14:textId="77777777" w:rsidR="00703B15" w:rsidRPr="00766C31" w:rsidRDefault="00703B15" w:rsidP="00703B15">
            <w:pPr>
              <w:pStyle w:val="ListParagraph"/>
              <w:numPr>
                <w:ilvl w:val="0"/>
                <w:numId w:val="7"/>
              </w:numPr>
              <w:spacing w:after="40"/>
              <w:rPr>
                <w:color w:val="4A4A4A"/>
                <w:sz w:val="20"/>
                <w:lang w:val="en-CA"/>
              </w:rPr>
            </w:pPr>
            <w:r w:rsidRPr="00766C31">
              <w:rPr>
                <w:color w:val="4A4A4A"/>
                <w:sz w:val="20"/>
                <w:lang w:val="en-CA"/>
              </w:rPr>
              <w:t xml:space="preserve">Extremely labour-intensive to request information and parse records; </w:t>
            </w:r>
            <w:proofErr w:type="gramStart"/>
            <w:r w:rsidRPr="00766C31">
              <w:rPr>
                <w:color w:val="4A4A4A"/>
                <w:sz w:val="20"/>
                <w:lang w:val="en-CA"/>
              </w:rPr>
              <w:t>consequently</w:t>
            </w:r>
            <w:proofErr w:type="gramEnd"/>
            <w:r w:rsidRPr="00766C31">
              <w:rPr>
                <w:color w:val="4A4A4A"/>
                <w:sz w:val="20"/>
                <w:lang w:val="en-CA"/>
              </w:rPr>
              <w:t xml:space="preserve"> often outdated</w:t>
            </w:r>
          </w:p>
        </w:tc>
      </w:tr>
      <w:tr w:rsidR="003F25B1" w:rsidRPr="003F25B1" w14:paraId="2145196C" w14:textId="77777777" w:rsidTr="00703B15">
        <w:tc>
          <w:tcPr>
            <w:tcW w:w="1413" w:type="dxa"/>
          </w:tcPr>
          <w:p w14:paraId="621826EB" w14:textId="4BFDF8E3" w:rsidR="00703B15" w:rsidRPr="00766C31" w:rsidRDefault="00703B15" w:rsidP="00033A51">
            <w:pPr>
              <w:spacing w:after="40"/>
              <w:rPr>
                <w:color w:val="4A4A4A"/>
                <w:sz w:val="20"/>
                <w:lang w:val="en-CA"/>
              </w:rPr>
            </w:pPr>
            <w:r w:rsidRPr="00766C31">
              <w:rPr>
                <w:color w:val="4A4A4A"/>
                <w:sz w:val="20"/>
                <w:lang w:val="en-CA"/>
              </w:rPr>
              <w:t>Coast guards/ police/ border patrol/</w:t>
            </w:r>
          </w:p>
          <w:p w14:paraId="5399E428" w14:textId="77777777" w:rsidR="00703B15" w:rsidRPr="00766C31" w:rsidRDefault="00703B15" w:rsidP="00033A51">
            <w:pPr>
              <w:spacing w:after="40"/>
              <w:rPr>
                <w:color w:val="4A4A4A"/>
                <w:sz w:val="20"/>
                <w:lang w:val="en-CA"/>
              </w:rPr>
            </w:pPr>
            <w:r w:rsidRPr="00766C31">
              <w:rPr>
                <w:color w:val="4A4A4A"/>
                <w:sz w:val="20"/>
                <w:lang w:val="en-CA"/>
              </w:rPr>
              <w:t>non-governmental organizations (NGOs)</w:t>
            </w:r>
          </w:p>
          <w:p w14:paraId="51D2A3C1" w14:textId="77777777" w:rsidR="00703B15" w:rsidRPr="00766C31" w:rsidRDefault="00703B15" w:rsidP="00033A51">
            <w:pPr>
              <w:spacing w:after="40"/>
              <w:rPr>
                <w:color w:val="4A4A4A"/>
                <w:sz w:val="20"/>
                <w:lang w:val="en-CA"/>
              </w:rPr>
            </w:pPr>
          </w:p>
        </w:tc>
        <w:tc>
          <w:tcPr>
            <w:tcW w:w="1417" w:type="dxa"/>
          </w:tcPr>
          <w:p w14:paraId="18E0F90F" w14:textId="77777777" w:rsidR="00703B15" w:rsidRPr="00766C31" w:rsidRDefault="00703B15" w:rsidP="00033A51">
            <w:pPr>
              <w:spacing w:after="40"/>
              <w:rPr>
                <w:color w:val="4A4A4A"/>
                <w:sz w:val="20"/>
                <w:lang w:val="en-CA"/>
              </w:rPr>
            </w:pPr>
            <w:r w:rsidRPr="00766C31">
              <w:rPr>
                <w:color w:val="4A4A4A"/>
                <w:sz w:val="20"/>
                <w:lang w:val="en-CA"/>
              </w:rPr>
              <w:t>Incident reports</w:t>
            </w:r>
          </w:p>
        </w:tc>
        <w:tc>
          <w:tcPr>
            <w:tcW w:w="2127" w:type="dxa"/>
          </w:tcPr>
          <w:p w14:paraId="09BF750B" w14:textId="77777777" w:rsidR="00703B15" w:rsidRPr="00766C31" w:rsidRDefault="00703B15" w:rsidP="00033A51">
            <w:pPr>
              <w:spacing w:after="40"/>
              <w:rPr>
                <w:color w:val="4A4A4A"/>
                <w:sz w:val="20"/>
                <w:lang w:val="en-CA"/>
              </w:rPr>
            </w:pPr>
            <w:r w:rsidRPr="00766C31">
              <w:rPr>
                <w:color w:val="4A4A4A"/>
                <w:sz w:val="20"/>
                <w:lang w:val="en-CA"/>
              </w:rPr>
              <w:t>Greece, Italy, Spain, Turkey, Libya, United States–Mexico border</w:t>
            </w:r>
          </w:p>
          <w:p w14:paraId="10F9CA24" w14:textId="77777777" w:rsidR="00703B15" w:rsidRPr="00766C31" w:rsidRDefault="00703B15" w:rsidP="00033A51">
            <w:pPr>
              <w:spacing w:after="40"/>
              <w:rPr>
                <w:color w:val="4A4A4A"/>
                <w:sz w:val="20"/>
                <w:lang w:val="en-CA"/>
              </w:rPr>
            </w:pPr>
          </w:p>
          <w:p w14:paraId="59CC81D2" w14:textId="77777777" w:rsidR="00703B15" w:rsidRPr="00766C31" w:rsidRDefault="00703B15" w:rsidP="00033A51">
            <w:pPr>
              <w:spacing w:after="40"/>
              <w:rPr>
                <w:color w:val="4A4A4A"/>
                <w:sz w:val="20"/>
                <w:lang w:val="en-CA"/>
              </w:rPr>
            </w:pPr>
          </w:p>
        </w:tc>
        <w:tc>
          <w:tcPr>
            <w:tcW w:w="2142" w:type="dxa"/>
          </w:tcPr>
          <w:p w14:paraId="159D3EB7" w14:textId="77777777" w:rsidR="00703B15" w:rsidRPr="00766C31" w:rsidRDefault="00703B15" w:rsidP="00703B15">
            <w:pPr>
              <w:pStyle w:val="ListParagraph"/>
              <w:numPr>
                <w:ilvl w:val="0"/>
                <w:numId w:val="17"/>
              </w:numPr>
              <w:spacing w:after="40"/>
              <w:rPr>
                <w:color w:val="4A4A4A"/>
                <w:sz w:val="20"/>
                <w:lang w:val="en-CA"/>
              </w:rPr>
            </w:pPr>
            <w:r w:rsidRPr="00766C31">
              <w:rPr>
                <w:color w:val="4A4A4A"/>
                <w:sz w:val="20"/>
                <w:lang w:val="en-CA"/>
              </w:rPr>
              <w:t xml:space="preserve">Credible information for individual cases </w:t>
            </w:r>
          </w:p>
        </w:tc>
        <w:tc>
          <w:tcPr>
            <w:tcW w:w="3051" w:type="dxa"/>
          </w:tcPr>
          <w:p w14:paraId="4C7BBBC3" w14:textId="77777777" w:rsidR="00703B15" w:rsidRPr="00766C31" w:rsidRDefault="00703B15" w:rsidP="00703B15">
            <w:pPr>
              <w:pStyle w:val="ListParagraph"/>
              <w:numPr>
                <w:ilvl w:val="0"/>
                <w:numId w:val="8"/>
              </w:numPr>
              <w:spacing w:after="40"/>
              <w:rPr>
                <w:color w:val="4A4A4A"/>
                <w:sz w:val="20"/>
                <w:lang w:val="en-CA"/>
              </w:rPr>
            </w:pPr>
            <w:r w:rsidRPr="00766C31">
              <w:rPr>
                <w:color w:val="4A4A4A"/>
                <w:sz w:val="20"/>
                <w:lang w:val="en-CA"/>
              </w:rPr>
              <w:t xml:space="preserve">Completeness of coverage is unknown </w:t>
            </w:r>
          </w:p>
          <w:p w14:paraId="41DEF40B" w14:textId="77777777" w:rsidR="00703B15" w:rsidRPr="00766C31" w:rsidRDefault="00703B15" w:rsidP="00703B15">
            <w:pPr>
              <w:pStyle w:val="ListParagraph"/>
              <w:numPr>
                <w:ilvl w:val="0"/>
                <w:numId w:val="8"/>
              </w:numPr>
              <w:spacing w:after="40"/>
              <w:rPr>
                <w:color w:val="4A4A4A"/>
                <w:sz w:val="20"/>
                <w:lang w:val="en-CA"/>
              </w:rPr>
            </w:pPr>
            <w:r w:rsidRPr="00766C31">
              <w:rPr>
                <w:color w:val="4A4A4A"/>
                <w:sz w:val="20"/>
                <w:lang w:val="en-CA"/>
              </w:rPr>
              <w:t>Often includes only information on bodies recovered and not missing persons (e.g. Spanish coast guard reports)</w:t>
            </w:r>
          </w:p>
        </w:tc>
      </w:tr>
      <w:tr w:rsidR="003F25B1" w:rsidRPr="003F25B1" w14:paraId="54CB07D1" w14:textId="77777777" w:rsidTr="00703B15">
        <w:tc>
          <w:tcPr>
            <w:tcW w:w="1413" w:type="dxa"/>
          </w:tcPr>
          <w:p w14:paraId="72ED0C63" w14:textId="77777777" w:rsidR="00703B15" w:rsidRPr="00766C31" w:rsidRDefault="00703B15" w:rsidP="00033A51">
            <w:pPr>
              <w:spacing w:after="40"/>
              <w:rPr>
                <w:color w:val="4A4A4A"/>
                <w:sz w:val="20"/>
                <w:lang w:val="en-CA"/>
              </w:rPr>
            </w:pPr>
            <w:r w:rsidRPr="00766C31">
              <w:rPr>
                <w:color w:val="4A4A4A"/>
                <w:sz w:val="20"/>
                <w:lang w:val="en-CA"/>
              </w:rPr>
              <w:t>Testimonies of shipwreck survivors</w:t>
            </w:r>
          </w:p>
        </w:tc>
        <w:tc>
          <w:tcPr>
            <w:tcW w:w="1417" w:type="dxa"/>
          </w:tcPr>
          <w:p w14:paraId="0B012F19" w14:textId="77777777" w:rsidR="00703B15" w:rsidRPr="00766C31" w:rsidRDefault="00703B15" w:rsidP="00033A51">
            <w:pPr>
              <w:spacing w:after="40"/>
              <w:rPr>
                <w:color w:val="4A4A4A"/>
                <w:sz w:val="20"/>
                <w:lang w:val="en-CA"/>
              </w:rPr>
            </w:pPr>
            <w:r w:rsidRPr="00766C31">
              <w:rPr>
                <w:color w:val="4A4A4A"/>
                <w:sz w:val="20"/>
                <w:lang w:val="en-CA"/>
              </w:rPr>
              <w:t>Incident reports</w:t>
            </w:r>
          </w:p>
        </w:tc>
        <w:tc>
          <w:tcPr>
            <w:tcW w:w="2127" w:type="dxa"/>
          </w:tcPr>
          <w:p w14:paraId="477892BF" w14:textId="77777777" w:rsidR="00703B15" w:rsidRPr="00766C31" w:rsidRDefault="00703B15" w:rsidP="00033A51">
            <w:pPr>
              <w:spacing w:after="40"/>
              <w:rPr>
                <w:color w:val="4A4A4A"/>
                <w:sz w:val="20"/>
                <w:lang w:val="en-CA"/>
              </w:rPr>
            </w:pPr>
            <w:r w:rsidRPr="00766C31">
              <w:rPr>
                <w:color w:val="4A4A4A"/>
                <w:sz w:val="20"/>
                <w:lang w:val="en-CA"/>
              </w:rPr>
              <w:t>Mediterranean (IOM, United Nations High Commissioner for Refugees (UNHCR)),</w:t>
            </w:r>
          </w:p>
          <w:p w14:paraId="77A279DB" w14:textId="77777777" w:rsidR="00703B15" w:rsidRPr="00766C31" w:rsidRDefault="00703B15" w:rsidP="00033A51">
            <w:pPr>
              <w:spacing w:after="40"/>
              <w:rPr>
                <w:color w:val="4A4A4A"/>
                <w:sz w:val="20"/>
                <w:lang w:val="en-CA"/>
              </w:rPr>
            </w:pPr>
            <w:r w:rsidRPr="00766C31">
              <w:rPr>
                <w:color w:val="4A4A4A"/>
                <w:sz w:val="20"/>
                <w:lang w:val="en-CA"/>
              </w:rPr>
              <w:t>Bay of Bengal/Andaman Sea (UNHCR)</w:t>
            </w:r>
          </w:p>
        </w:tc>
        <w:tc>
          <w:tcPr>
            <w:tcW w:w="2142" w:type="dxa"/>
          </w:tcPr>
          <w:p w14:paraId="2F29C9E9" w14:textId="77777777" w:rsidR="00703B15" w:rsidRPr="00766C31" w:rsidRDefault="00703B15" w:rsidP="00703B15">
            <w:pPr>
              <w:pStyle w:val="ListParagraph"/>
              <w:numPr>
                <w:ilvl w:val="0"/>
                <w:numId w:val="18"/>
              </w:numPr>
              <w:spacing w:after="40"/>
              <w:rPr>
                <w:color w:val="4A4A4A"/>
                <w:sz w:val="20"/>
                <w:lang w:val="en-CA"/>
              </w:rPr>
            </w:pPr>
            <w:r w:rsidRPr="00766C31">
              <w:rPr>
                <w:color w:val="4A4A4A"/>
                <w:sz w:val="20"/>
                <w:lang w:val="en-CA"/>
              </w:rPr>
              <w:t>Indicative data where little other information exists</w:t>
            </w:r>
          </w:p>
          <w:p w14:paraId="7133B327" w14:textId="77777777" w:rsidR="00703B15" w:rsidRPr="00766C31" w:rsidRDefault="00703B15" w:rsidP="00703B15">
            <w:pPr>
              <w:pStyle w:val="ListParagraph"/>
              <w:numPr>
                <w:ilvl w:val="0"/>
                <w:numId w:val="18"/>
              </w:numPr>
              <w:spacing w:after="40"/>
              <w:rPr>
                <w:color w:val="4A4A4A"/>
                <w:sz w:val="20"/>
                <w:lang w:val="en-CA"/>
              </w:rPr>
            </w:pPr>
            <w:r w:rsidRPr="00766C31">
              <w:rPr>
                <w:color w:val="4A4A4A"/>
                <w:sz w:val="20"/>
                <w:lang w:val="en-CA"/>
              </w:rPr>
              <w:t>Useful to estimate number of missing persons at sea</w:t>
            </w:r>
          </w:p>
        </w:tc>
        <w:tc>
          <w:tcPr>
            <w:tcW w:w="3051" w:type="dxa"/>
          </w:tcPr>
          <w:p w14:paraId="676CD241" w14:textId="77777777" w:rsidR="00703B15" w:rsidRPr="00766C31" w:rsidRDefault="00703B15" w:rsidP="00703B15">
            <w:pPr>
              <w:pStyle w:val="ListParagraph"/>
              <w:numPr>
                <w:ilvl w:val="0"/>
                <w:numId w:val="14"/>
              </w:numPr>
              <w:spacing w:after="40"/>
              <w:rPr>
                <w:color w:val="4A4A4A"/>
                <w:sz w:val="20"/>
                <w:lang w:val="en-CA"/>
              </w:rPr>
            </w:pPr>
            <w:r w:rsidRPr="00766C31">
              <w:rPr>
                <w:color w:val="4A4A4A"/>
                <w:sz w:val="20"/>
                <w:lang w:val="en-CA"/>
              </w:rPr>
              <w:t>Impossible to verify reports, survivors may provide range of estimates of missing persons (MMP always uses lowest estimate)</w:t>
            </w:r>
          </w:p>
        </w:tc>
      </w:tr>
      <w:tr w:rsidR="003F25B1" w:rsidRPr="003F25B1" w14:paraId="676CE28F" w14:textId="77777777" w:rsidTr="00703B15">
        <w:tc>
          <w:tcPr>
            <w:tcW w:w="1413" w:type="dxa"/>
          </w:tcPr>
          <w:p w14:paraId="0BF7AE9A" w14:textId="77777777" w:rsidR="00703B15" w:rsidRPr="00766C31" w:rsidRDefault="00703B15" w:rsidP="00033A51">
            <w:pPr>
              <w:spacing w:after="40"/>
              <w:rPr>
                <w:color w:val="4A4A4A"/>
                <w:sz w:val="20"/>
                <w:lang w:val="en-CA"/>
              </w:rPr>
            </w:pPr>
            <w:r w:rsidRPr="00766C31">
              <w:rPr>
                <w:color w:val="4A4A4A"/>
                <w:sz w:val="20"/>
                <w:lang w:val="en-CA"/>
              </w:rPr>
              <w:t>Testimonies of migrants: Survey programmes</w:t>
            </w:r>
          </w:p>
        </w:tc>
        <w:tc>
          <w:tcPr>
            <w:tcW w:w="1417" w:type="dxa"/>
          </w:tcPr>
          <w:p w14:paraId="37F1FCF9" w14:textId="77777777" w:rsidR="00703B15" w:rsidRPr="00766C31" w:rsidRDefault="00703B15" w:rsidP="00033A51">
            <w:pPr>
              <w:spacing w:after="40"/>
              <w:rPr>
                <w:color w:val="4A4A4A"/>
                <w:sz w:val="20"/>
                <w:lang w:val="en-CA"/>
              </w:rPr>
            </w:pPr>
            <w:r w:rsidRPr="00766C31">
              <w:rPr>
                <w:color w:val="4A4A4A"/>
                <w:sz w:val="20"/>
                <w:lang w:val="en-CA"/>
              </w:rPr>
              <w:t xml:space="preserve">Summary figures. Incident-based </w:t>
            </w:r>
            <w:r w:rsidRPr="00766C31">
              <w:rPr>
                <w:color w:val="4A4A4A"/>
                <w:sz w:val="20"/>
                <w:lang w:val="en-CA"/>
              </w:rPr>
              <w:lastRenderedPageBreak/>
              <w:t>database often available on request</w:t>
            </w:r>
          </w:p>
        </w:tc>
        <w:tc>
          <w:tcPr>
            <w:tcW w:w="2127" w:type="dxa"/>
          </w:tcPr>
          <w:p w14:paraId="5982AAAE" w14:textId="77777777" w:rsidR="00703B15" w:rsidRPr="00766C31" w:rsidRDefault="00703B15" w:rsidP="00033A51">
            <w:pPr>
              <w:spacing w:after="40"/>
              <w:rPr>
                <w:color w:val="4A4A4A"/>
                <w:sz w:val="20"/>
                <w:lang w:val="en-CA"/>
              </w:rPr>
            </w:pPr>
            <w:r w:rsidRPr="00766C31">
              <w:rPr>
                <w:color w:val="4A4A4A"/>
                <w:sz w:val="20"/>
                <w:lang w:val="en-CA"/>
              </w:rPr>
              <w:lastRenderedPageBreak/>
              <w:t>Mediterranean (IOM),</w:t>
            </w:r>
          </w:p>
          <w:p w14:paraId="04DAC755" w14:textId="1C521415" w:rsidR="00703B15" w:rsidRPr="00766C31" w:rsidRDefault="00703B15" w:rsidP="00033A51">
            <w:pPr>
              <w:spacing w:after="40"/>
              <w:rPr>
                <w:color w:val="4A4A4A"/>
                <w:sz w:val="20"/>
                <w:lang w:val="en-CA"/>
              </w:rPr>
            </w:pPr>
            <w:r w:rsidRPr="00766C31">
              <w:rPr>
                <w:color w:val="4A4A4A"/>
                <w:sz w:val="20"/>
                <w:lang w:val="en-CA"/>
              </w:rPr>
              <w:t>North Africa (</w:t>
            </w:r>
            <w:proofErr w:type="spellStart"/>
            <w:r w:rsidRPr="00766C31">
              <w:rPr>
                <w:color w:val="4A4A4A"/>
                <w:sz w:val="20"/>
                <w:lang w:val="en-US"/>
              </w:rPr>
              <w:t>MHub</w:t>
            </w:r>
            <w:proofErr w:type="spellEnd"/>
            <w:r w:rsidRPr="00766C31">
              <w:rPr>
                <w:color w:val="4A4A4A"/>
                <w:sz w:val="20"/>
                <w:lang w:val="en-CA"/>
              </w:rPr>
              <w:t xml:space="preserve"> and Mixed Migration Centre),</w:t>
            </w:r>
          </w:p>
          <w:p w14:paraId="564EF327" w14:textId="77777777" w:rsidR="00703B15" w:rsidRPr="00766C31" w:rsidRDefault="00703B15" w:rsidP="00033A51">
            <w:pPr>
              <w:spacing w:after="40"/>
              <w:rPr>
                <w:color w:val="4A4A4A"/>
                <w:sz w:val="20"/>
                <w:lang w:val="en-CA"/>
              </w:rPr>
            </w:pPr>
            <w:r w:rsidRPr="00766C31">
              <w:rPr>
                <w:color w:val="4A4A4A"/>
                <w:sz w:val="20"/>
                <w:lang w:val="en-CA"/>
              </w:rPr>
              <w:lastRenderedPageBreak/>
              <w:t>sub-Saharan Africa (Mixed Migration Centre),</w:t>
            </w:r>
          </w:p>
          <w:p w14:paraId="581DAD7E" w14:textId="6F695A85" w:rsidR="00703B15" w:rsidRPr="00766C31" w:rsidRDefault="00703B15" w:rsidP="00033A51">
            <w:pPr>
              <w:spacing w:after="40"/>
              <w:rPr>
                <w:color w:val="4A4A4A"/>
                <w:sz w:val="20"/>
                <w:lang w:val="en-CA"/>
              </w:rPr>
            </w:pPr>
            <w:r w:rsidRPr="00766C31">
              <w:rPr>
                <w:color w:val="4A4A4A"/>
                <w:sz w:val="20"/>
                <w:lang w:val="en-CA"/>
              </w:rPr>
              <w:t>Asia (Mixed Migration Centre)</w:t>
            </w:r>
          </w:p>
        </w:tc>
        <w:tc>
          <w:tcPr>
            <w:tcW w:w="2142" w:type="dxa"/>
          </w:tcPr>
          <w:p w14:paraId="05959BA9" w14:textId="77777777" w:rsidR="00703B15" w:rsidRPr="00766C31" w:rsidRDefault="00703B15" w:rsidP="00703B15">
            <w:pPr>
              <w:pStyle w:val="ListParagraph"/>
              <w:numPr>
                <w:ilvl w:val="0"/>
                <w:numId w:val="14"/>
              </w:numPr>
              <w:spacing w:after="40"/>
              <w:rPr>
                <w:color w:val="4A4A4A"/>
                <w:sz w:val="20"/>
                <w:lang w:val="en-CA"/>
              </w:rPr>
            </w:pPr>
            <w:r w:rsidRPr="00766C31">
              <w:rPr>
                <w:color w:val="4A4A4A"/>
                <w:sz w:val="20"/>
                <w:lang w:val="en-CA"/>
              </w:rPr>
              <w:lastRenderedPageBreak/>
              <w:t xml:space="preserve">Indicative data where no other data sources exist, interviewees may </w:t>
            </w:r>
            <w:r w:rsidRPr="00766C31">
              <w:rPr>
                <w:color w:val="4A4A4A"/>
                <w:sz w:val="20"/>
                <w:lang w:val="en-CA"/>
              </w:rPr>
              <w:lastRenderedPageBreak/>
              <w:t>speak more honestly with interviewers who speak their native language and/or are also migrants</w:t>
            </w:r>
          </w:p>
        </w:tc>
        <w:tc>
          <w:tcPr>
            <w:tcW w:w="3051" w:type="dxa"/>
          </w:tcPr>
          <w:p w14:paraId="5781508D" w14:textId="77777777" w:rsidR="00703B15" w:rsidRPr="00766C31" w:rsidRDefault="00703B15" w:rsidP="00703B15">
            <w:pPr>
              <w:pStyle w:val="ListParagraph"/>
              <w:numPr>
                <w:ilvl w:val="0"/>
                <w:numId w:val="9"/>
              </w:numPr>
              <w:spacing w:after="40"/>
              <w:rPr>
                <w:color w:val="4A4A4A"/>
                <w:sz w:val="20"/>
                <w:lang w:val="en-CA"/>
              </w:rPr>
            </w:pPr>
            <w:r w:rsidRPr="00766C31">
              <w:rPr>
                <w:color w:val="4A4A4A"/>
                <w:sz w:val="20"/>
                <w:lang w:val="en-CA"/>
              </w:rPr>
              <w:lastRenderedPageBreak/>
              <w:t xml:space="preserve">Impossible to verify reports for veracity or double-counting, sample size is </w:t>
            </w:r>
            <w:r w:rsidRPr="00766C31">
              <w:rPr>
                <w:color w:val="4A4A4A"/>
                <w:sz w:val="20"/>
                <w:lang w:val="en-CA"/>
              </w:rPr>
              <w:lastRenderedPageBreak/>
              <w:t xml:space="preserve">generally small and unrepresentative </w:t>
            </w:r>
          </w:p>
          <w:p w14:paraId="16FC06DE" w14:textId="77777777" w:rsidR="00703B15" w:rsidRPr="00766C31" w:rsidRDefault="00703B15" w:rsidP="00703B15">
            <w:pPr>
              <w:pStyle w:val="ListParagraph"/>
              <w:numPr>
                <w:ilvl w:val="0"/>
                <w:numId w:val="9"/>
              </w:numPr>
              <w:spacing w:after="40"/>
              <w:rPr>
                <w:color w:val="4A4A4A"/>
                <w:sz w:val="20"/>
                <w:lang w:val="en-CA"/>
              </w:rPr>
            </w:pPr>
            <w:r w:rsidRPr="00766C31">
              <w:rPr>
                <w:color w:val="4A4A4A"/>
                <w:sz w:val="20"/>
                <w:lang w:val="en-CA"/>
              </w:rPr>
              <w:t xml:space="preserve">Breaks between funding can inhibit comparison </w:t>
            </w:r>
          </w:p>
          <w:p w14:paraId="5DA03DBA" w14:textId="77777777" w:rsidR="00703B15" w:rsidRPr="00766C31" w:rsidRDefault="00703B15" w:rsidP="00703B15">
            <w:pPr>
              <w:pStyle w:val="ListParagraph"/>
              <w:numPr>
                <w:ilvl w:val="0"/>
                <w:numId w:val="9"/>
              </w:numPr>
              <w:spacing w:after="40"/>
              <w:rPr>
                <w:color w:val="4A4A4A"/>
                <w:sz w:val="20"/>
                <w:lang w:val="en-CA"/>
              </w:rPr>
            </w:pPr>
            <w:r w:rsidRPr="00766C31">
              <w:rPr>
                <w:color w:val="4A4A4A"/>
                <w:sz w:val="20"/>
                <w:lang w:val="en-CA"/>
              </w:rPr>
              <w:t>Dates of deaths are often imprecise</w:t>
            </w:r>
          </w:p>
        </w:tc>
      </w:tr>
      <w:tr w:rsidR="003F25B1" w:rsidRPr="003F25B1" w14:paraId="3982AF11" w14:textId="77777777" w:rsidTr="00703B15">
        <w:tc>
          <w:tcPr>
            <w:tcW w:w="1413" w:type="dxa"/>
          </w:tcPr>
          <w:p w14:paraId="573C678E" w14:textId="77777777" w:rsidR="00703B15" w:rsidRPr="00766C31" w:rsidRDefault="00703B15" w:rsidP="00033A51">
            <w:pPr>
              <w:spacing w:after="40"/>
              <w:rPr>
                <w:color w:val="4A4A4A"/>
                <w:sz w:val="20"/>
                <w:lang w:val="en-CA"/>
              </w:rPr>
            </w:pPr>
            <w:r w:rsidRPr="00766C31">
              <w:rPr>
                <w:color w:val="4A4A4A"/>
                <w:sz w:val="20"/>
                <w:lang w:val="en-CA"/>
              </w:rPr>
              <w:lastRenderedPageBreak/>
              <w:t>NGO reports</w:t>
            </w:r>
          </w:p>
        </w:tc>
        <w:tc>
          <w:tcPr>
            <w:tcW w:w="1417" w:type="dxa"/>
          </w:tcPr>
          <w:p w14:paraId="435DAA19" w14:textId="77777777" w:rsidR="00703B15" w:rsidRPr="00766C31" w:rsidRDefault="00703B15" w:rsidP="00033A51">
            <w:pPr>
              <w:spacing w:after="40"/>
              <w:rPr>
                <w:color w:val="4A4A4A"/>
                <w:sz w:val="20"/>
                <w:lang w:val="en-CA"/>
              </w:rPr>
            </w:pPr>
            <w:r w:rsidRPr="00766C31">
              <w:rPr>
                <w:color w:val="4A4A4A"/>
                <w:sz w:val="20"/>
                <w:lang w:val="en-CA"/>
              </w:rPr>
              <w:t>Summary figures, incident-based database often available upon request</w:t>
            </w:r>
          </w:p>
        </w:tc>
        <w:tc>
          <w:tcPr>
            <w:tcW w:w="2127" w:type="dxa"/>
          </w:tcPr>
          <w:p w14:paraId="7B53500E" w14:textId="77777777" w:rsidR="00703B15" w:rsidRPr="00766C31" w:rsidRDefault="00703B15" w:rsidP="00033A51">
            <w:pPr>
              <w:spacing w:after="40"/>
              <w:rPr>
                <w:color w:val="4A4A4A"/>
                <w:sz w:val="20"/>
                <w:lang w:val="en-CA"/>
              </w:rPr>
            </w:pPr>
            <w:r w:rsidRPr="00766C31">
              <w:rPr>
                <w:color w:val="4A4A4A"/>
                <w:sz w:val="20"/>
                <w:lang w:val="en-CA"/>
              </w:rPr>
              <w:t>South-East Asia (Office of the United Nations High Commissioner for Human Rights),</w:t>
            </w:r>
          </w:p>
          <w:p w14:paraId="46331429" w14:textId="77777777" w:rsidR="00703B15" w:rsidRPr="00766C31" w:rsidRDefault="00703B15" w:rsidP="00033A51">
            <w:pPr>
              <w:spacing w:after="40"/>
              <w:rPr>
                <w:color w:val="4A4A4A"/>
                <w:sz w:val="20"/>
                <w:lang w:val="en-CA"/>
              </w:rPr>
            </w:pPr>
            <w:r w:rsidRPr="00766C31">
              <w:rPr>
                <w:color w:val="4A4A4A"/>
                <w:sz w:val="20"/>
                <w:lang w:val="en-CA"/>
              </w:rPr>
              <w:t>Middle East (several NGOs),</w:t>
            </w:r>
          </w:p>
          <w:p w14:paraId="3099321A" w14:textId="77777777" w:rsidR="00703B15" w:rsidRPr="00766C31" w:rsidRDefault="00703B15" w:rsidP="00033A51">
            <w:pPr>
              <w:spacing w:after="40"/>
              <w:rPr>
                <w:color w:val="4A4A4A"/>
                <w:sz w:val="20"/>
                <w:lang w:val="en-CA"/>
              </w:rPr>
            </w:pPr>
            <w:r w:rsidRPr="00766C31">
              <w:rPr>
                <w:color w:val="4A4A4A"/>
                <w:sz w:val="20"/>
                <w:lang w:val="en-CA"/>
              </w:rPr>
              <w:t>Western Mediterranean (</w:t>
            </w:r>
            <w:proofErr w:type="spellStart"/>
            <w:r w:rsidRPr="00766C31">
              <w:rPr>
                <w:color w:val="4A4A4A"/>
                <w:sz w:val="20"/>
                <w:lang w:val="en-CA"/>
              </w:rPr>
              <w:t>Asociación</w:t>
            </w:r>
            <w:proofErr w:type="spellEnd"/>
            <w:r w:rsidRPr="00766C31">
              <w:rPr>
                <w:color w:val="4A4A4A"/>
                <w:sz w:val="20"/>
                <w:lang w:val="en-CA"/>
              </w:rPr>
              <w:t xml:space="preserve"> Pro Derechos Humanos de </w:t>
            </w:r>
            <w:proofErr w:type="gramStart"/>
            <w:r w:rsidRPr="00766C31">
              <w:rPr>
                <w:color w:val="4A4A4A"/>
                <w:sz w:val="20"/>
                <w:lang w:val="en-CA"/>
              </w:rPr>
              <w:t>Andalucía )</w:t>
            </w:r>
            <w:proofErr w:type="gramEnd"/>
          </w:p>
        </w:tc>
        <w:tc>
          <w:tcPr>
            <w:tcW w:w="2142" w:type="dxa"/>
          </w:tcPr>
          <w:p w14:paraId="0023D4AF" w14:textId="77777777" w:rsidR="00703B15" w:rsidRPr="00766C31" w:rsidRDefault="00703B15" w:rsidP="00703B15">
            <w:pPr>
              <w:pStyle w:val="ListParagraph"/>
              <w:numPr>
                <w:ilvl w:val="0"/>
                <w:numId w:val="19"/>
              </w:numPr>
              <w:spacing w:after="40"/>
              <w:rPr>
                <w:color w:val="4A4A4A"/>
                <w:sz w:val="20"/>
                <w:lang w:val="en-CA"/>
              </w:rPr>
            </w:pPr>
            <w:r w:rsidRPr="00766C31">
              <w:rPr>
                <w:color w:val="4A4A4A"/>
                <w:sz w:val="20"/>
                <w:lang w:val="en-CA"/>
              </w:rPr>
              <w:t>(Can) provide credible information from local contexts, sometimes with specialized knowledge from NGO staff. Though usually these are summary figures released annually, NGOs are generally willing to provide underlying data if asked</w:t>
            </w:r>
          </w:p>
        </w:tc>
        <w:tc>
          <w:tcPr>
            <w:tcW w:w="3051" w:type="dxa"/>
          </w:tcPr>
          <w:p w14:paraId="79A2EAC1" w14:textId="77777777" w:rsidR="00703B15" w:rsidRPr="00766C31" w:rsidRDefault="00703B15" w:rsidP="00703B15">
            <w:pPr>
              <w:pStyle w:val="ListParagraph"/>
              <w:numPr>
                <w:ilvl w:val="0"/>
                <w:numId w:val="10"/>
              </w:numPr>
              <w:spacing w:after="40"/>
              <w:rPr>
                <w:color w:val="4A4A4A"/>
                <w:sz w:val="20"/>
                <w:lang w:val="en-CA"/>
              </w:rPr>
            </w:pPr>
            <w:r w:rsidRPr="00766C31">
              <w:rPr>
                <w:color w:val="4A4A4A"/>
                <w:sz w:val="20"/>
                <w:lang w:val="en-CA"/>
              </w:rPr>
              <w:t>Cover only regional or localized areas</w:t>
            </w:r>
          </w:p>
          <w:p w14:paraId="7A14DC42" w14:textId="77777777" w:rsidR="00703B15" w:rsidRPr="00766C31" w:rsidRDefault="00703B15" w:rsidP="00703B15">
            <w:pPr>
              <w:pStyle w:val="ListParagraph"/>
              <w:numPr>
                <w:ilvl w:val="0"/>
                <w:numId w:val="10"/>
              </w:numPr>
              <w:spacing w:after="40"/>
              <w:rPr>
                <w:color w:val="4A4A4A"/>
                <w:sz w:val="20"/>
                <w:lang w:val="en-CA"/>
              </w:rPr>
            </w:pPr>
            <w:r w:rsidRPr="00766C31">
              <w:rPr>
                <w:color w:val="4A4A4A"/>
                <w:sz w:val="20"/>
                <w:lang w:val="en-CA"/>
              </w:rPr>
              <w:t>Often release data annually as summary figure, which are impossible to check for veracity and double counting</w:t>
            </w:r>
          </w:p>
          <w:p w14:paraId="0D52B8A8" w14:textId="77777777" w:rsidR="00703B15" w:rsidRPr="00766C31" w:rsidRDefault="00703B15" w:rsidP="00703B15">
            <w:pPr>
              <w:pStyle w:val="ListParagraph"/>
              <w:numPr>
                <w:ilvl w:val="0"/>
                <w:numId w:val="10"/>
              </w:numPr>
              <w:spacing w:after="40"/>
              <w:rPr>
                <w:color w:val="4A4A4A"/>
                <w:sz w:val="20"/>
                <w:lang w:val="en-CA"/>
              </w:rPr>
            </w:pPr>
            <w:r w:rsidRPr="00766C31">
              <w:rPr>
                <w:color w:val="4A4A4A"/>
                <w:sz w:val="20"/>
                <w:lang w:val="en-CA"/>
              </w:rPr>
              <w:t>Definition of “migrant death” may vary</w:t>
            </w:r>
          </w:p>
        </w:tc>
      </w:tr>
      <w:tr w:rsidR="003F25B1" w:rsidRPr="003F25B1" w14:paraId="21B1B559" w14:textId="77777777" w:rsidTr="00703B15">
        <w:tc>
          <w:tcPr>
            <w:tcW w:w="1413" w:type="dxa"/>
          </w:tcPr>
          <w:p w14:paraId="6582F531" w14:textId="77777777" w:rsidR="00703B15" w:rsidRPr="00766C31" w:rsidRDefault="00703B15" w:rsidP="00033A51">
            <w:pPr>
              <w:spacing w:after="40"/>
              <w:rPr>
                <w:color w:val="4A4A4A"/>
                <w:sz w:val="20"/>
                <w:lang w:val="en-CA"/>
              </w:rPr>
            </w:pPr>
            <w:r w:rsidRPr="00766C31">
              <w:rPr>
                <w:color w:val="4A4A4A"/>
                <w:sz w:val="20"/>
                <w:lang w:val="en-CA"/>
              </w:rPr>
              <w:t>Media: Traditional media reporting</w:t>
            </w:r>
          </w:p>
          <w:p w14:paraId="6C0546B8" w14:textId="77777777" w:rsidR="00703B15" w:rsidRPr="00766C31" w:rsidRDefault="00703B15" w:rsidP="00033A51">
            <w:pPr>
              <w:spacing w:after="40"/>
              <w:rPr>
                <w:color w:val="4A4A4A"/>
                <w:sz w:val="20"/>
                <w:lang w:val="en-CA"/>
              </w:rPr>
            </w:pPr>
          </w:p>
          <w:p w14:paraId="2176EC98" w14:textId="77777777" w:rsidR="00703B15" w:rsidRPr="00766C31" w:rsidRDefault="00703B15" w:rsidP="00033A51">
            <w:pPr>
              <w:spacing w:after="40"/>
              <w:rPr>
                <w:color w:val="4A4A4A"/>
                <w:sz w:val="20"/>
                <w:lang w:val="en-CA"/>
              </w:rPr>
            </w:pPr>
          </w:p>
        </w:tc>
        <w:tc>
          <w:tcPr>
            <w:tcW w:w="1417" w:type="dxa"/>
          </w:tcPr>
          <w:p w14:paraId="6A5F3E7C" w14:textId="77777777" w:rsidR="00703B15" w:rsidRPr="00766C31" w:rsidRDefault="00703B15" w:rsidP="00033A51">
            <w:pPr>
              <w:spacing w:after="40"/>
              <w:rPr>
                <w:color w:val="4A4A4A"/>
                <w:sz w:val="20"/>
                <w:lang w:val="en-CA"/>
              </w:rPr>
            </w:pPr>
            <w:r w:rsidRPr="00766C31">
              <w:rPr>
                <w:color w:val="4A4A4A"/>
                <w:sz w:val="20"/>
                <w:lang w:val="en-CA"/>
              </w:rPr>
              <w:t>Incident reports</w:t>
            </w:r>
          </w:p>
        </w:tc>
        <w:tc>
          <w:tcPr>
            <w:tcW w:w="2127" w:type="dxa"/>
          </w:tcPr>
          <w:p w14:paraId="62ED0EE2" w14:textId="77777777" w:rsidR="00703B15" w:rsidRPr="00766C31" w:rsidRDefault="00703B15" w:rsidP="00033A51">
            <w:pPr>
              <w:spacing w:after="40"/>
              <w:rPr>
                <w:color w:val="4A4A4A"/>
                <w:sz w:val="20"/>
                <w:lang w:val="en-CA"/>
              </w:rPr>
            </w:pPr>
            <w:r w:rsidRPr="00766C31">
              <w:rPr>
                <w:color w:val="4A4A4A"/>
                <w:sz w:val="20"/>
                <w:lang w:val="en-CA"/>
              </w:rPr>
              <w:t>Coverage in Central America, United States –Mexico border, Europe; to a lesser degree in Asia and Africa</w:t>
            </w:r>
          </w:p>
        </w:tc>
        <w:tc>
          <w:tcPr>
            <w:tcW w:w="2142" w:type="dxa"/>
          </w:tcPr>
          <w:p w14:paraId="3B60ED43" w14:textId="77777777" w:rsidR="00703B15" w:rsidRPr="00766C31" w:rsidRDefault="00703B15" w:rsidP="00703B15">
            <w:pPr>
              <w:pStyle w:val="ListParagraph"/>
              <w:numPr>
                <w:ilvl w:val="0"/>
                <w:numId w:val="20"/>
              </w:numPr>
              <w:spacing w:after="40"/>
              <w:rPr>
                <w:color w:val="4A4A4A"/>
                <w:sz w:val="20"/>
                <w:lang w:val="en-CA"/>
              </w:rPr>
            </w:pPr>
            <w:r w:rsidRPr="00766C31">
              <w:rPr>
                <w:color w:val="4A4A4A"/>
                <w:sz w:val="20"/>
                <w:lang w:val="en-CA"/>
              </w:rPr>
              <w:t xml:space="preserve">Provides current information on events that may not be reported otherwise </w:t>
            </w:r>
          </w:p>
          <w:p w14:paraId="107AF22B" w14:textId="77777777" w:rsidR="00703B15" w:rsidRPr="00766C31" w:rsidRDefault="00703B15" w:rsidP="00703B15">
            <w:pPr>
              <w:pStyle w:val="ListParagraph"/>
              <w:numPr>
                <w:ilvl w:val="0"/>
                <w:numId w:val="20"/>
              </w:numPr>
              <w:spacing w:after="40"/>
              <w:rPr>
                <w:color w:val="4A4A4A"/>
                <w:sz w:val="20"/>
                <w:lang w:val="en-CA"/>
              </w:rPr>
            </w:pPr>
            <w:r w:rsidRPr="00766C31">
              <w:rPr>
                <w:color w:val="4A4A4A"/>
                <w:sz w:val="20"/>
                <w:lang w:val="en-CA"/>
              </w:rPr>
              <w:t>Contextual information may be included that doesn’t come across in data sets</w:t>
            </w:r>
          </w:p>
        </w:tc>
        <w:tc>
          <w:tcPr>
            <w:tcW w:w="3051" w:type="dxa"/>
          </w:tcPr>
          <w:p w14:paraId="57A91264" w14:textId="77777777" w:rsidR="00703B15" w:rsidRPr="00766C31" w:rsidRDefault="00703B15" w:rsidP="00703B15">
            <w:pPr>
              <w:pStyle w:val="ListParagraph"/>
              <w:numPr>
                <w:ilvl w:val="0"/>
                <w:numId w:val="12"/>
              </w:numPr>
              <w:spacing w:after="40"/>
              <w:rPr>
                <w:color w:val="4A4A4A"/>
                <w:sz w:val="20"/>
                <w:lang w:val="en-CA"/>
              </w:rPr>
            </w:pPr>
            <w:r w:rsidRPr="00766C31">
              <w:rPr>
                <w:color w:val="4A4A4A"/>
                <w:sz w:val="20"/>
                <w:lang w:val="en-CA"/>
              </w:rPr>
              <w:t>Quality varies significantly, and information can be incomplete or inaccurate</w:t>
            </w:r>
          </w:p>
          <w:p w14:paraId="0C337E11" w14:textId="77777777" w:rsidR="00703B15" w:rsidRPr="00766C31" w:rsidRDefault="00703B15" w:rsidP="00703B15">
            <w:pPr>
              <w:pStyle w:val="ListParagraph"/>
              <w:numPr>
                <w:ilvl w:val="0"/>
                <w:numId w:val="12"/>
              </w:numPr>
              <w:spacing w:after="40"/>
              <w:rPr>
                <w:color w:val="4A4A4A"/>
                <w:sz w:val="20"/>
                <w:lang w:val="en-CA"/>
              </w:rPr>
            </w:pPr>
            <w:proofErr w:type="gramStart"/>
            <w:r w:rsidRPr="00766C31">
              <w:rPr>
                <w:color w:val="4A4A4A"/>
                <w:sz w:val="20"/>
                <w:lang w:val="en-CA"/>
              </w:rPr>
              <w:t>Generally</w:t>
            </w:r>
            <w:proofErr w:type="gramEnd"/>
            <w:r w:rsidRPr="00766C31">
              <w:rPr>
                <w:color w:val="4A4A4A"/>
                <w:sz w:val="20"/>
                <w:lang w:val="en-CA"/>
              </w:rPr>
              <w:t xml:space="preserve"> no follow-up reporting (e.g. the aftermath of a car crash)</w:t>
            </w:r>
          </w:p>
          <w:p w14:paraId="2E780FB1" w14:textId="77777777" w:rsidR="00703B15" w:rsidRPr="00766C31" w:rsidRDefault="00703B15" w:rsidP="00703B15">
            <w:pPr>
              <w:pStyle w:val="ListParagraph"/>
              <w:numPr>
                <w:ilvl w:val="0"/>
                <w:numId w:val="12"/>
              </w:numPr>
              <w:spacing w:after="40"/>
              <w:rPr>
                <w:color w:val="4A4A4A"/>
                <w:sz w:val="20"/>
                <w:lang w:val="en-CA"/>
              </w:rPr>
            </w:pPr>
            <w:r w:rsidRPr="00766C31">
              <w:rPr>
                <w:color w:val="4A4A4A"/>
                <w:sz w:val="20"/>
                <w:lang w:val="en-CA"/>
              </w:rPr>
              <w:t>“Big” news is more likely to receive pickup – i.e. smaller incidents not part of a “crisis” may not be reported</w:t>
            </w:r>
          </w:p>
          <w:p w14:paraId="4EFED802" w14:textId="77777777" w:rsidR="00703B15" w:rsidRPr="00766C31" w:rsidRDefault="00703B15" w:rsidP="00703B15">
            <w:pPr>
              <w:pStyle w:val="ListParagraph"/>
              <w:numPr>
                <w:ilvl w:val="0"/>
                <w:numId w:val="12"/>
              </w:numPr>
              <w:spacing w:after="40"/>
              <w:rPr>
                <w:color w:val="4A4A4A"/>
                <w:sz w:val="20"/>
                <w:lang w:val="en-CA"/>
              </w:rPr>
            </w:pPr>
            <w:r w:rsidRPr="00766C31">
              <w:rPr>
                <w:color w:val="4A4A4A"/>
                <w:sz w:val="20"/>
                <w:lang w:val="en-CA"/>
              </w:rPr>
              <w:t>Requires frequent data mining/searching of sources</w:t>
            </w:r>
          </w:p>
        </w:tc>
      </w:tr>
      <w:tr w:rsidR="003F25B1" w:rsidRPr="003F25B1" w14:paraId="25DEF049" w14:textId="77777777" w:rsidTr="00703B15">
        <w:tc>
          <w:tcPr>
            <w:tcW w:w="1413" w:type="dxa"/>
          </w:tcPr>
          <w:p w14:paraId="3986CB09" w14:textId="77777777" w:rsidR="00703B15" w:rsidRPr="00766C31" w:rsidRDefault="00703B15" w:rsidP="00033A51">
            <w:pPr>
              <w:spacing w:after="40"/>
              <w:rPr>
                <w:color w:val="4A4A4A"/>
                <w:sz w:val="20"/>
                <w:lang w:val="en-CA"/>
              </w:rPr>
            </w:pPr>
            <w:r w:rsidRPr="00766C31">
              <w:rPr>
                <w:color w:val="4A4A4A"/>
                <w:sz w:val="20"/>
                <w:lang w:val="en-CA"/>
              </w:rPr>
              <w:t>Media: Social media</w:t>
            </w:r>
          </w:p>
        </w:tc>
        <w:tc>
          <w:tcPr>
            <w:tcW w:w="1417" w:type="dxa"/>
          </w:tcPr>
          <w:p w14:paraId="0327D87D" w14:textId="77777777" w:rsidR="00703B15" w:rsidRPr="00766C31" w:rsidRDefault="00703B15" w:rsidP="00033A51">
            <w:pPr>
              <w:spacing w:after="40"/>
              <w:rPr>
                <w:color w:val="4A4A4A"/>
                <w:sz w:val="20"/>
                <w:lang w:val="en-CA"/>
              </w:rPr>
            </w:pPr>
            <w:r w:rsidRPr="00766C31">
              <w:rPr>
                <w:color w:val="4A4A4A"/>
                <w:sz w:val="20"/>
                <w:lang w:val="en-CA"/>
              </w:rPr>
              <w:t>Incident reports</w:t>
            </w:r>
          </w:p>
        </w:tc>
        <w:tc>
          <w:tcPr>
            <w:tcW w:w="2127" w:type="dxa"/>
          </w:tcPr>
          <w:p w14:paraId="2AA8DA13" w14:textId="77777777" w:rsidR="00703B15" w:rsidRPr="00766C31" w:rsidRDefault="00703B15" w:rsidP="00033A51">
            <w:pPr>
              <w:spacing w:after="40"/>
              <w:rPr>
                <w:color w:val="4A4A4A"/>
                <w:sz w:val="20"/>
                <w:lang w:val="en-CA"/>
              </w:rPr>
            </w:pPr>
            <w:r w:rsidRPr="00766C31">
              <w:rPr>
                <w:color w:val="4A4A4A"/>
                <w:sz w:val="20"/>
                <w:lang w:val="en-CA"/>
              </w:rPr>
              <w:t>Middle East, Central America, Mediterranean</w:t>
            </w:r>
          </w:p>
        </w:tc>
        <w:tc>
          <w:tcPr>
            <w:tcW w:w="2142" w:type="dxa"/>
          </w:tcPr>
          <w:p w14:paraId="2AC2DA41" w14:textId="53A1B5E7" w:rsidR="00703B15" w:rsidRPr="00766C31" w:rsidRDefault="00703B15" w:rsidP="00703B15">
            <w:pPr>
              <w:pStyle w:val="ListParagraph"/>
              <w:numPr>
                <w:ilvl w:val="0"/>
                <w:numId w:val="21"/>
              </w:numPr>
              <w:spacing w:after="40"/>
              <w:rPr>
                <w:color w:val="4A4A4A"/>
                <w:sz w:val="20"/>
                <w:lang w:val="en-CA"/>
              </w:rPr>
            </w:pPr>
            <w:r w:rsidRPr="00766C31">
              <w:rPr>
                <w:color w:val="4A4A4A"/>
                <w:sz w:val="20"/>
                <w:lang w:val="en-CA"/>
              </w:rPr>
              <w:t>(Can) provide the most current information about incidents, can foster connections between data sources (e.g. IOM with local NGOs), information about cases not reported in news (e.g. European Asylum Support Office weekly social media monitoring reports)</w:t>
            </w:r>
          </w:p>
        </w:tc>
        <w:tc>
          <w:tcPr>
            <w:tcW w:w="3051" w:type="dxa"/>
          </w:tcPr>
          <w:p w14:paraId="103BC7CF" w14:textId="77777777" w:rsidR="00703B15" w:rsidRPr="00766C31" w:rsidRDefault="00703B15" w:rsidP="00703B15">
            <w:pPr>
              <w:pStyle w:val="ListParagraph"/>
              <w:numPr>
                <w:ilvl w:val="0"/>
                <w:numId w:val="11"/>
              </w:numPr>
              <w:spacing w:after="40"/>
              <w:rPr>
                <w:color w:val="4A4A4A"/>
                <w:sz w:val="20"/>
                <w:lang w:val="en-CA"/>
              </w:rPr>
            </w:pPr>
            <w:r w:rsidRPr="00766C31">
              <w:rPr>
                <w:color w:val="4A4A4A"/>
                <w:sz w:val="20"/>
                <w:lang w:val="en-CA"/>
              </w:rPr>
              <w:t xml:space="preserve">Little information is provided that can be incomplete or inaccurate </w:t>
            </w:r>
          </w:p>
          <w:p w14:paraId="606CFBA8" w14:textId="77777777" w:rsidR="00703B15" w:rsidRPr="00766C31" w:rsidRDefault="00703B15" w:rsidP="00703B15">
            <w:pPr>
              <w:pStyle w:val="ListParagraph"/>
              <w:numPr>
                <w:ilvl w:val="0"/>
                <w:numId w:val="11"/>
              </w:numPr>
              <w:spacing w:after="40"/>
              <w:rPr>
                <w:color w:val="4A4A4A"/>
                <w:sz w:val="20"/>
                <w:lang w:val="en-CA"/>
              </w:rPr>
            </w:pPr>
            <w:r w:rsidRPr="00766C31">
              <w:rPr>
                <w:color w:val="4A4A4A"/>
                <w:sz w:val="20"/>
                <w:lang w:val="en-CA"/>
              </w:rPr>
              <w:t>It can be difficult/unfeasible to follow-up to get more information and/or verify</w:t>
            </w:r>
          </w:p>
          <w:p w14:paraId="4FFF435B" w14:textId="77777777" w:rsidR="00703B15" w:rsidRPr="00766C31" w:rsidRDefault="00703B15" w:rsidP="00703B15">
            <w:pPr>
              <w:pStyle w:val="ListParagraph"/>
              <w:numPr>
                <w:ilvl w:val="0"/>
                <w:numId w:val="11"/>
              </w:numPr>
              <w:spacing w:after="40"/>
              <w:rPr>
                <w:color w:val="4A4A4A"/>
                <w:sz w:val="20"/>
                <w:lang w:val="en-CA"/>
              </w:rPr>
            </w:pPr>
            <w:r w:rsidRPr="00766C31">
              <w:rPr>
                <w:color w:val="4A4A4A"/>
                <w:sz w:val="20"/>
                <w:lang w:val="en-CA"/>
              </w:rPr>
              <w:t xml:space="preserve">False information can travel quickly </w:t>
            </w:r>
          </w:p>
          <w:p w14:paraId="0EC7E669" w14:textId="77777777" w:rsidR="00703B15" w:rsidRPr="00766C31" w:rsidRDefault="00703B15" w:rsidP="00703B15">
            <w:pPr>
              <w:pStyle w:val="ListParagraph"/>
              <w:numPr>
                <w:ilvl w:val="0"/>
                <w:numId w:val="11"/>
              </w:numPr>
              <w:spacing w:after="40"/>
              <w:rPr>
                <w:color w:val="4A4A4A"/>
                <w:sz w:val="20"/>
                <w:lang w:val="en-CA"/>
              </w:rPr>
            </w:pPr>
            <w:r w:rsidRPr="00766C31">
              <w:rPr>
                <w:color w:val="4A4A4A"/>
                <w:sz w:val="20"/>
                <w:lang w:val="en-CA"/>
              </w:rPr>
              <w:t>Requires frequent data mining/searching of sources</w:t>
            </w:r>
          </w:p>
        </w:tc>
      </w:tr>
    </w:tbl>
    <w:p w14:paraId="12E6A004"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4956B35"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Disaggregation:</w:t>
      </w:r>
    </w:p>
    <w:p w14:paraId="4D9A444F" w14:textId="4B4DEA72" w:rsidR="005806F2" w:rsidRDefault="00645AB3" w:rsidP="005806F2">
      <w:pPr>
        <w:rPr>
          <w:rFonts w:eastAsia="Times New Roman" w:cs="Times New Roman"/>
          <w:color w:val="4A4A4A"/>
          <w:sz w:val="21"/>
          <w:szCs w:val="21"/>
          <w:lang w:eastAsia="en-GB"/>
        </w:rPr>
      </w:pPr>
      <w:hyperlink w:anchor="_Table_2:_Variables" w:history="1">
        <w:r w:rsidR="005806F2" w:rsidRPr="00DD47E8">
          <w:rPr>
            <w:rStyle w:val="Hyperlink"/>
            <w:rFonts w:eastAsia="Times New Roman" w:cs="Times New Roman"/>
            <w:sz w:val="21"/>
            <w:szCs w:val="21"/>
            <w:lang w:eastAsia="en-GB"/>
          </w:rPr>
          <w:t>Table 2</w:t>
        </w:r>
      </w:hyperlink>
      <w:r w:rsidR="005806F2">
        <w:rPr>
          <w:rFonts w:eastAsia="Times New Roman" w:cs="Times New Roman"/>
          <w:color w:val="4A4A4A"/>
          <w:sz w:val="21"/>
          <w:szCs w:val="21"/>
          <w:lang w:eastAsia="en-GB"/>
        </w:rPr>
        <w:t xml:space="preserve">, below, </w:t>
      </w:r>
      <w:r w:rsidR="005806F2" w:rsidRPr="005806F2">
        <w:rPr>
          <w:rFonts w:eastAsia="Times New Roman" w:cs="Times New Roman"/>
          <w:color w:val="4A4A4A"/>
          <w:sz w:val="21"/>
          <w:szCs w:val="21"/>
          <w:lang w:eastAsia="en-GB"/>
        </w:rPr>
        <w:t xml:space="preserve">presents the list of variables that constitute the Missing Migrants Project database.  While ideally all incidents recorded would include entries for each of these variables, the challenges described above mean that this is not always possible.  The minimum information necessary to register an incident is the date of the incident, the number of dead and/or the number of missing, and the location of death. </w:t>
      </w:r>
      <w:r w:rsidR="005806F2" w:rsidRPr="005806F2">
        <w:rPr>
          <w:rFonts w:eastAsia="Times New Roman" w:cs="Times New Roman"/>
          <w:color w:val="4A4A4A"/>
          <w:sz w:val="21"/>
          <w:szCs w:val="21"/>
          <w:lang w:eastAsia="en-GB"/>
        </w:rPr>
        <w:lastRenderedPageBreak/>
        <w:t xml:space="preserve">If the information is unavailable, the cell is left blank or “unknown” is recorded, as indicated in the table below. </w:t>
      </w:r>
    </w:p>
    <w:p w14:paraId="4C7E6F7C" w14:textId="13D77D02" w:rsidR="00033A51" w:rsidRPr="005806F2" w:rsidRDefault="00033A51" w:rsidP="00033A51">
      <w:pPr>
        <w:pStyle w:val="Heading5"/>
        <w:rPr>
          <w:lang w:eastAsia="en-GB"/>
        </w:rPr>
      </w:pPr>
      <w:bookmarkStart w:id="2" w:name="_Table_2:_Variables"/>
      <w:bookmarkEnd w:id="2"/>
      <w:r>
        <w:rPr>
          <w:lang w:eastAsia="en-GB"/>
        </w:rPr>
        <w:t>Table 2: Variables contained in the Missing Migrants Project database</w:t>
      </w:r>
    </w:p>
    <w:tbl>
      <w:tblPr>
        <w:tblW w:w="909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2145"/>
        <w:gridCol w:w="6945"/>
      </w:tblGrid>
      <w:tr w:rsidR="003F25B1" w:rsidRPr="003F25B1" w14:paraId="23AF976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EB09B16"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Style w:val="Strong"/>
                <w:rFonts w:asciiTheme="minorHAnsi" w:hAnsiTheme="minorHAnsi"/>
                <w:color w:val="4A4A4A"/>
                <w:sz w:val="20"/>
              </w:rPr>
              <w:t>Variable Name</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83A67DE"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Style w:val="Strong"/>
                <w:rFonts w:asciiTheme="minorHAnsi" w:hAnsiTheme="minorHAnsi"/>
                <w:color w:val="4A4A4A"/>
                <w:sz w:val="20"/>
              </w:rPr>
              <w:t>Description</w:t>
            </w:r>
          </w:p>
        </w:tc>
      </w:tr>
      <w:tr w:rsidR="003F25B1" w:rsidRPr="003F25B1" w14:paraId="3F7DD8C2"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50FA08"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Web ID</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94B8AF"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An automatically generated number used to identify each unique entry in the dataset.</w:t>
            </w:r>
          </w:p>
        </w:tc>
      </w:tr>
      <w:tr w:rsidR="003F25B1" w:rsidRPr="003F25B1" w14:paraId="3EB1A22F"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F15361"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Region of incident</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A18A654"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region in which an incident took place. For more about regional classifications used in the dataset, click </w:t>
            </w:r>
            <w:hyperlink r:id="rId15" w:history="1">
              <w:r w:rsidRPr="00766C31">
                <w:rPr>
                  <w:rStyle w:val="Hyperlink"/>
                  <w:rFonts w:asciiTheme="minorHAnsi" w:hAnsiTheme="minorHAnsi"/>
                  <w:b/>
                  <w:color w:val="4A4A4A"/>
                  <w:sz w:val="20"/>
                </w:rPr>
                <w:t>here</w:t>
              </w:r>
            </w:hyperlink>
            <w:r w:rsidRPr="00766C31">
              <w:rPr>
                <w:rFonts w:asciiTheme="minorHAnsi" w:hAnsiTheme="minorHAnsi"/>
                <w:color w:val="4A4A4A"/>
                <w:sz w:val="20"/>
              </w:rPr>
              <w:t>.</w:t>
            </w:r>
          </w:p>
        </w:tc>
      </w:tr>
      <w:tr w:rsidR="003F25B1" w:rsidRPr="003F25B1" w14:paraId="3D483F23"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FA7AB5B"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Reported date</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65AA70"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 xml:space="preserve">Estimated date of death. In cases where the exact date of death is not known, this variable indicates the date in which the body or bodies were found. In cases where data are drawn from surviving migrants, witnesses or other interviews, this variable is entered as the date of the death as reported by the interviewee.  At a minimum, the month and the year of death is recorded. In some cases, official statistics are not disaggregated by the incident, meaning that data is reported as a total number of deaths occurring during a certain </w:t>
            </w:r>
            <w:proofErr w:type="gramStart"/>
            <w:r w:rsidRPr="00766C31">
              <w:rPr>
                <w:rFonts w:asciiTheme="minorHAnsi" w:hAnsiTheme="minorHAnsi"/>
                <w:color w:val="4A4A4A"/>
                <w:sz w:val="20"/>
              </w:rPr>
              <w:t>time period</w:t>
            </w:r>
            <w:proofErr w:type="gramEnd"/>
            <w:r w:rsidRPr="00766C31">
              <w:rPr>
                <w:rFonts w:asciiTheme="minorHAnsi" w:hAnsiTheme="minorHAnsi"/>
                <w:color w:val="4A4A4A"/>
                <w:sz w:val="20"/>
              </w:rPr>
              <w:t>. In such cases the entry is marked as a “cumulative total,” and the latest date of the range is recorded, with the full dates recorded in the comments.</w:t>
            </w:r>
          </w:p>
        </w:tc>
      </w:tr>
      <w:tr w:rsidR="003F25B1" w:rsidRPr="003F25B1" w14:paraId="58A5550E"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7AB0140"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Reported year</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65BBE6F"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year in which the incident occurred.</w:t>
            </w:r>
          </w:p>
        </w:tc>
      </w:tr>
      <w:tr w:rsidR="003F25B1" w:rsidRPr="003F25B1" w14:paraId="5E42FC5B"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9BCE4C8"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Reported month</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A1BFAC"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month in which the incident occurred.</w:t>
            </w:r>
          </w:p>
        </w:tc>
      </w:tr>
      <w:tr w:rsidR="003F25B1" w:rsidRPr="003F25B1" w14:paraId="76C5015C"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AD804DA"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dead</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C3EF835"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total number of people confirmed dead in one</w:t>
            </w:r>
            <w:r w:rsidRPr="00766C31">
              <w:rPr>
                <w:rStyle w:val="Strong"/>
                <w:rFonts w:asciiTheme="minorHAnsi" w:hAnsiTheme="minorHAnsi"/>
                <w:color w:val="4A4A4A"/>
                <w:sz w:val="20"/>
              </w:rPr>
              <w:t> </w:t>
            </w:r>
            <w:r w:rsidRPr="00766C31">
              <w:rPr>
                <w:rFonts w:asciiTheme="minorHAnsi" w:hAnsiTheme="minorHAnsi"/>
                <w:color w:val="4A4A4A"/>
                <w:sz w:val="20"/>
              </w:rPr>
              <w:t>incident, i.e. the number of bodies recovered.  If migrants are missing and presumed dead, such as in cases of shipwrecks, leave blank.</w:t>
            </w:r>
          </w:p>
        </w:tc>
      </w:tr>
      <w:tr w:rsidR="003F25B1" w:rsidRPr="003F25B1" w14:paraId="7AACBCC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D22D24"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missing</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01AAEB2"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total number of those who are missing and are thus assumed to be dead.  This variable is generally recorded in incidents involving shipwrecks.  The number of missing is calculated by subtracting the number of bodies recovered from a shipwreck and the number of survivors from the total number of migrants reported to have been on the boat.  This number may be reported by surviving migrants or witnesses.  If no missing persons are reported, it is left blank.</w:t>
            </w:r>
          </w:p>
        </w:tc>
      </w:tr>
      <w:tr w:rsidR="003F25B1" w:rsidRPr="003F25B1" w14:paraId="265BB2A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FD3F204"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Total dead and missing</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F872E0"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sum of the ‘number dead’ and ‘number missing’ variables.</w:t>
            </w:r>
          </w:p>
        </w:tc>
      </w:tr>
      <w:tr w:rsidR="003F25B1" w:rsidRPr="003F25B1" w14:paraId="3473F033"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6E24C46"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of survivors</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94E076"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number of migrants that survived the incident, if known. The age, gender, and country of origin of survivors are recorded in the ‘Comments’ variable if known. If unknown, it is left blank</w:t>
            </w:r>
          </w:p>
        </w:tc>
      </w:tr>
      <w:tr w:rsidR="003F25B1" w:rsidRPr="003F25B1" w14:paraId="7D3C8369"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ED2AC7E"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of females</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330410D"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Indicates the number of females found dead or missing. If unknown, it is left blank.</w:t>
            </w:r>
          </w:p>
        </w:tc>
      </w:tr>
      <w:tr w:rsidR="003F25B1" w:rsidRPr="003F25B1" w14:paraId="2E5EC13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8A3E5F"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of males</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87734A"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Indicates the number of males found dead or missing. If unknown, it is left blank.</w:t>
            </w:r>
          </w:p>
        </w:tc>
      </w:tr>
      <w:tr w:rsidR="003F25B1" w:rsidRPr="003F25B1" w14:paraId="5672F7BF"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28159C"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Number of children</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0D1A9FD"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Indicates the number of individuals under the age of 18 found dead or missing. If unknown, it is left blank.</w:t>
            </w:r>
          </w:p>
        </w:tc>
      </w:tr>
      <w:tr w:rsidR="003F25B1" w:rsidRPr="003F25B1" w14:paraId="278E22BE"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973401"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Age</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AB2C722"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age of the decedent(s). Occasionally, an estimated age range is recorded. If unknown, it is left blank.</w:t>
            </w:r>
          </w:p>
        </w:tc>
      </w:tr>
      <w:tr w:rsidR="003F25B1" w:rsidRPr="003F25B1" w14:paraId="6AEB1DFA"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D7A021"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Country of origin</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E556C3D"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Country of birth of the decedent. If unknown, the entry will be marked “unknown”.</w:t>
            </w:r>
          </w:p>
          <w:p w14:paraId="7526C1F1" w14:textId="43F3019F" w:rsidR="0040031E" w:rsidRPr="00766C31" w:rsidRDefault="0040031E">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This variable is not included in the public dataset due to data protection concerns but summary figures can be provided upon request.</w:t>
            </w:r>
          </w:p>
        </w:tc>
      </w:tr>
      <w:tr w:rsidR="003F25B1" w:rsidRPr="003F25B1" w14:paraId="27902545"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EA0185"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Region of origin</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5D2F6E3"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Region of origin of the decedent(s). In some incidents, region of origin may be marked as “Presumed” or “(P)” if migrants travelling through that location are known to hail from a certain region. If unknown, the entry will be marked “unknown”.</w:t>
            </w:r>
          </w:p>
          <w:p w14:paraId="24493558" w14:textId="27D42A33" w:rsidR="0040031E" w:rsidRPr="00766C31" w:rsidRDefault="0040031E">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This variable is not included in the public dataset due to data protection concerns but summary figures can be provided upon request.</w:t>
            </w:r>
          </w:p>
        </w:tc>
      </w:tr>
      <w:tr w:rsidR="003F25B1" w:rsidRPr="003F25B1" w14:paraId="3EB4740F"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FF299A9"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Cause of death</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8FDE12D"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determination of conditions resulting in the migrant's death i.e. the circumstances of the event that produced the fatal injury. If unknown, the reason why is included where possible.  For example, “Unknown – skeletal remains only”, is used in cases in which only the skeleton of the decedent was found.</w:t>
            </w:r>
          </w:p>
        </w:tc>
      </w:tr>
      <w:tr w:rsidR="003F25B1" w:rsidRPr="003F25B1" w14:paraId="25E7E2F8"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BD52EE7"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Location description</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C752A63"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Place where the death(s) occurred or where the body or bodies were found. Nearby towns or cities or borders are included where possible. When incidents are reported in an unspecified location, this will be noted.</w:t>
            </w:r>
          </w:p>
        </w:tc>
      </w:tr>
      <w:tr w:rsidR="003F25B1" w:rsidRPr="003F25B1" w14:paraId="3061DC7A"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FB171D"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lastRenderedPageBreak/>
              <w:t>Location coordinates</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AB29743"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Place where the death(s) occurred or where the body or bodies were found. In many regions, most notably the Mediterranean, geographic coordinates are estimated as precise locations are not often known. The location description should always be checked against the location coordinates.</w:t>
            </w:r>
          </w:p>
        </w:tc>
      </w:tr>
      <w:tr w:rsidR="003F25B1" w:rsidRPr="003F25B1" w14:paraId="46773A90"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5406F8"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Migration route</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39C18FB"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Name of the migrant route on which incident occurred, if known. If unknown, it is left blank.</w:t>
            </w:r>
          </w:p>
        </w:tc>
      </w:tr>
      <w:tr w:rsidR="003F25B1" w:rsidRPr="003F25B1" w14:paraId="475E7FD5"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70E7702"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UNSD geographical grouping</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F8799E"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 xml:space="preserve">Geographical region in which the incident took place, as designated by the United Nations Statistics Division (UNSD) </w:t>
            </w:r>
            <w:proofErr w:type="spellStart"/>
            <w:r w:rsidRPr="00766C31">
              <w:rPr>
                <w:rFonts w:asciiTheme="minorHAnsi" w:hAnsiTheme="minorHAnsi"/>
                <w:color w:val="4A4A4A"/>
                <w:sz w:val="20"/>
              </w:rPr>
              <w:t>geoscheme</w:t>
            </w:r>
            <w:proofErr w:type="spellEnd"/>
            <w:r w:rsidRPr="00766C31">
              <w:rPr>
                <w:rFonts w:asciiTheme="minorHAnsi" w:hAnsiTheme="minorHAnsi"/>
                <w:color w:val="4A4A4A"/>
                <w:sz w:val="20"/>
              </w:rPr>
              <w:t>. For more about regional classifications used in the dataset, click </w:t>
            </w:r>
            <w:hyperlink r:id="rId16" w:history="1">
              <w:r w:rsidRPr="00766C31">
                <w:rPr>
                  <w:rStyle w:val="Hyperlink"/>
                  <w:rFonts w:asciiTheme="minorHAnsi" w:hAnsiTheme="minorHAnsi"/>
                  <w:b/>
                  <w:color w:val="4A4A4A"/>
                  <w:sz w:val="20"/>
                </w:rPr>
                <w:t>here</w:t>
              </w:r>
            </w:hyperlink>
            <w:r w:rsidRPr="00766C31">
              <w:rPr>
                <w:rFonts w:asciiTheme="minorHAnsi" w:hAnsiTheme="minorHAnsi"/>
                <w:color w:val="4A4A4A"/>
                <w:sz w:val="20"/>
              </w:rPr>
              <w:t>.</w:t>
            </w:r>
          </w:p>
        </w:tc>
      </w:tr>
      <w:tr w:rsidR="003F25B1" w:rsidRPr="003F25B1" w14:paraId="3E58188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tcPr>
          <w:p w14:paraId="5D102DC0" w14:textId="72D0A20E" w:rsidR="0040031E" w:rsidRPr="00766C31" w:rsidRDefault="0040031E">
            <w:pPr>
              <w:pStyle w:val="NormalWeb"/>
              <w:spacing w:before="0" w:beforeAutospacing="0" w:after="0" w:afterAutospacing="0"/>
              <w:rPr>
                <w:rStyle w:val="Strong"/>
                <w:rFonts w:asciiTheme="minorHAnsi" w:hAnsiTheme="minorHAnsi"/>
                <w:b w:val="0"/>
                <w:color w:val="4A4A4A"/>
                <w:sz w:val="20"/>
              </w:rPr>
            </w:pPr>
            <w:r w:rsidRPr="00766C31">
              <w:rPr>
                <w:rStyle w:val="Strong"/>
                <w:rFonts w:asciiTheme="minorHAnsi" w:hAnsiTheme="minorHAnsi"/>
                <w:b w:val="0"/>
                <w:color w:val="4A4A4A"/>
                <w:sz w:val="20"/>
              </w:rPr>
              <w:t>Geolocation</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tcPr>
          <w:p w14:paraId="50B80301" w14:textId="4A028B82" w:rsidR="0040031E" w:rsidRPr="00766C31" w:rsidRDefault="0040031E">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The estimation of the real-world location of the incident, represented as coordinates. While the geolocation is available for all incidents, in many cases (particularly at sea or in remote areas) the coordinates are approximate.</w:t>
            </w:r>
          </w:p>
        </w:tc>
      </w:tr>
      <w:tr w:rsidR="003F25B1" w:rsidRPr="003F25B1" w14:paraId="048CBC2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tcPr>
          <w:p w14:paraId="565FC6AF" w14:textId="789DC6D7" w:rsidR="00033A51" w:rsidRPr="00766C31" w:rsidRDefault="00033A51">
            <w:pPr>
              <w:pStyle w:val="NormalWeb"/>
              <w:spacing w:before="0" w:beforeAutospacing="0" w:after="0" w:afterAutospacing="0"/>
              <w:rPr>
                <w:rStyle w:val="Strong"/>
                <w:rFonts w:asciiTheme="minorHAnsi" w:hAnsiTheme="minorHAnsi"/>
                <w:b w:val="0"/>
                <w:color w:val="4A4A4A"/>
                <w:sz w:val="20"/>
              </w:rPr>
            </w:pPr>
            <w:r w:rsidRPr="00766C31">
              <w:rPr>
                <w:rStyle w:val="Strong"/>
                <w:rFonts w:asciiTheme="minorHAnsi" w:hAnsiTheme="minorHAnsi"/>
                <w:b w:val="0"/>
                <w:color w:val="4A4A4A"/>
                <w:sz w:val="20"/>
              </w:rPr>
              <w:t>Information source</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tcPr>
          <w:p w14:paraId="3355FB0C" w14:textId="400BE1AD" w:rsidR="00033A51" w:rsidRPr="00766C31" w:rsidRDefault="00033A51">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 xml:space="preserve">The source(s) of information </w:t>
            </w:r>
            <w:r w:rsidR="00265B64" w:rsidRPr="00766C31">
              <w:rPr>
                <w:rFonts w:asciiTheme="minorHAnsi" w:hAnsiTheme="minorHAnsi"/>
                <w:color w:val="4A4A4A"/>
                <w:sz w:val="20"/>
              </w:rPr>
              <w:t xml:space="preserve">for the incident report. For online articles, a link and title of the page will be included in a separate </w:t>
            </w:r>
          </w:p>
        </w:tc>
      </w:tr>
      <w:tr w:rsidR="003F25B1" w:rsidRPr="003F25B1" w14:paraId="6CAB5A86"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F5AFBA1"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Source quality</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73FC85"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Incidents are ranked on a scale from 1-5 based on the source(s) of information available. Incidents ranked as level 1 are based on information from only one media source. Incidents ranked as level 2 are based on information from uncorroborated eyewitness accounts or data from survey respondents. Incidents ranked as level 3 are based on information from multiple media reports, while level 4 incidents are based on information from at least one NGO, IGO, or another humanitarian actor with direct knowledge of the incident. Incidents ranked at level 5 are based on information from official sources such as coroners, medical examiners, or government officials OR from multiple humanitarian actors.</w:t>
            </w:r>
          </w:p>
        </w:tc>
      </w:tr>
      <w:tr w:rsidR="003F25B1" w:rsidRPr="003F25B1" w14:paraId="2496A17D" w14:textId="77777777" w:rsidTr="005806F2">
        <w:tc>
          <w:tcPr>
            <w:tcW w:w="21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4BCA937" w14:textId="77777777" w:rsidR="005806F2" w:rsidRPr="00766C31" w:rsidRDefault="005806F2">
            <w:pPr>
              <w:pStyle w:val="NormalWeb"/>
              <w:spacing w:before="0" w:beforeAutospacing="0" w:after="0" w:afterAutospacing="0"/>
              <w:rPr>
                <w:rFonts w:asciiTheme="minorHAnsi" w:hAnsiTheme="minorHAnsi"/>
                <w:b/>
                <w:color w:val="4A4A4A"/>
                <w:sz w:val="20"/>
              </w:rPr>
            </w:pPr>
            <w:r w:rsidRPr="00766C31">
              <w:rPr>
                <w:rStyle w:val="Strong"/>
                <w:rFonts w:asciiTheme="minorHAnsi" w:hAnsiTheme="minorHAnsi"/>
                <w:b w:val="0"/>
                <w:color w:val="4A4A4A"/>
                <w:sz w:val="20"/>
              </w:rPr>
              <w:t>Comments</w:t>
            </w:r>
          </w:p>
        </w:tc>
        <w:tc>
          <w:tcPr>
            <w:tcW w:w="694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4B4510F" w14:textId="77777777" w:rsidR="005806F2" w:rsidRPr="00766C31" w:rsidRDefault="005806F2">
            <w:pPr>
              <w:pStyle w:val="NormalWeb"/>
              <w:spacing w:before="0" w:beforeAutospacing="0" w:after="0" w:afterAutospacing="0"/>
              <w:rPr>
                <w:rFonts w:asciiTheme="minorHAnsi" w:hAnsiTheme="minorHAnsi"/>
                <w:color w:val="4A4A4A"/>
                <w:sz w:val="20"/>
              </w:rPr>
            </w:pPr>
            <w:r w:rsidRPr="00766C31">
              <w:rPr>
                <w:rFonts w:asciiTheme="minorHAnsi" w:hAnsiTheme="minorHAnsi"/>
                <w:color w:val="4A4A4A"/>
                <w:sz w:val="20"/>
              </w:rPr>
              <w:t>Brief description narrating additional facts about the death.  If no extra information is available, this is left blank.</w:t>
            </w:r>
          </w:p>
        </w:tc>
      </w:tr>
    </w:tbl>
    <w:p w14:paraId="633E9B1B" w14:textId="323B5F12" w:rsidR="0058556D" w:rsidRPr="00573631" w:rsidRDefault="0058556D" w:rsidP="00573631">
      <w:pPr>
        <w:shd w:val="clear" w:color="auto" w:fill="FFFFFF"/>
        <w:spacing w:after="0"/>
        <w:rPr>
          <w:rFonts w:eastAsia="Times New Roman" w:cs="Times New Roman"/>
          <w:color w:val="4A4A4A"/>
          <w:sz w:val="21"/>
          <w:szCs w:val="21"/>
          <w:lang w:eastAsia="en-GB"/>
        </w:rPr>
      </w:pPr>
    </w:p>
    <w:p w14:paraId="73D14641"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3E811796" w14:textId="77777777"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Treatment of missing values:</w:t>
      </w:r>
    </w:p>
    <w:p w14:paraId="7972A596"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3E47725D" w14:textId="77777777" w:rsidR="0058556D" w:rsidRPr="00766C31" w:rsidRDefault="0058556D" w:rsidP="00766C31">
      <w:pPr>
        <w:pStyle w:val="Heading4"/>
      </w:pPr>
      <w:r w:rsidRPr="00766C31">
        <w:t>At country level</w:t>
      </w:r>
    </w:p>
    <w:p w14:paraId="55FB31D3" w14:textId="5A93D615" w:rsidR="00A61D74" w:rsidRPr="00A61D74" w:rsidRDefault="0040031E" w:rsidP="00766C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MMP data codifies the location of a death in several ways, including the country in which the incident occurs</w:t>
      </w:r>
      <w:r w:rsidR="00396463">
        <w:rPr>
          <w:rFonts w:eastAsia="Times New Roman" w:cs="Times New Roman"/>
          <w:color w:val="4A4A4A"/>
          <w:sz w:val="21"/>
          <w:szCs w:val="21"/>
          <w:lang w:eastAsia="en-GB"/>
        </w:rPr>
        <w:t xml:space="preserve"> for the purposes of SDG Indicator 10.7.2</w:t>
      </w:r>
      <w:r>
        <w:rPr>
          <w:rFonts w:eastAsia="Times New Roman" w:cs="Times New Roman"/>
          <w:color w:val="4A4A4A"/>
          <w:sz w:val="21"/>
          <w:szCs w:val="21"/>
          <w:lang w:eastAsia="en-GB"/>
        </w:rPr>
        <w:t xml:space="preserve">. In many </w:t>
      </w:r>
      <w:r w:rsidR="0083436C">
        <w:rPr>
          <w:rFonts w:eastAsia="Times New Roman" w:cs="Times New Roman"/>
          <w:color w:val="4A4A4A"/>
          <w:sz w:val="21"/>
          <w:szCs w:val="21"/>
          <w:lang w:eastAsia="en-GB"/>
        </w:rPr>
        <w:t>incidents</w:t>
      </w:r>
      <w:r>
        <w:rPr>
          <w:rFonts w:eastAsia="Times New Roman" w:cs="Times New Roman"/>
          <w:color w:val="4A4A4A"/>
          <w:sz w:val="21"/>
          <w:szCs w:val="21"/>
          <w:lang w:eastAsia="en-GB"/>
        </w:rPr>
        <w:t xml:space="preserve">, deaths recorded in the MMP database occur at international borders or at sea outside of national </w:t>
      </w:r>
      <w:r w:rsidR="00396463">
        <w:rPr>
          <w:rFonts w:eastAsia="Times New Roman" w:cs="Times New Roman"/>
          <w:color w:val="4A4A4A"/>
          <w:sz w:val="21"/>
          <w:szCs w:val="21"/>
          <w:lang w:eastAsia="en-GB"/>
        </w:rPr>
        <w:t>waters</w:t>
      </w:r>
      <w:r w:rsidR="0083436C">
        <w:rPr>
          <w:rFonts w:eastAsia="Times New Roman" w:cs="Times New Roman"/>
          <w:color w:val="4A4A4A"/>
          <w:sz w:val="21"/>
          <w:szCs w:val="21"/>
          <w:lang w:eastAsia="en-GB"/>
        </w:rPr>
        <w:t>: in such cases</w:t>
      </w:r>
      <w:r>
        <w:rPr>
          <w:rFonts w:eastAsia="Times New Roman" w:cs="Times New Roman"/>
          <w:color w:val="4A4A4A"/>
          <w:sz w:val="21"/>
          <w:szCs w:val="21"/>
          <w:lang w:eastAsia="en-GB"/>
        </w:rPr>
        <w:t xml:space="preserve"> </w:t>
      </w:r>
      <w:r w:rsidR="005752DA">
        <w:rPr>
          <w:rFonts w:eastAsia="Times New Roman" w:cs="Times New Roman"/>
          <w:color w:val="4A4A4A"/>
          <w:sz w:val="21"/>
          <w:szCs w:val="21"/>
          <w:lang w:eastAsia="en-GB"/>
        </w:rPr>
        <w:t xml:space="preserve">the country of departure is </w:t>
      </w:r>
      <w:r w:rsidR="0083436C">
        <w:rPr>
          <w:rFonts w:eastAsia="Times New Roman" w:cs="Times New Roman"/>
          <w:color w:val="4A4A4A"/>
          <w:sz w:val="21"/>
          <w:szCs w:val="21"/>
          <w:lang w:eastAsia="en-GB"/>
        </w:rPr>
        <w:t xml:space="preserve">used </w:t>
      </w:r>
      <w:r w:rsidR="00396463">
        <w:rPr>
          <w:rFonts w:eastAsia="Times New Roman" w:cs="Times New Roman"/>
          <w:color w:val="4A4A4A"/>
          <w:sz w:val="21"/>
          <w:szCs w:val="21"/>
          <w:lang w:eastAsia="en-GB"/>
        </w:rPr>
        <w:t>for</w:t>
      </w:r>
      <w:r>
        <w:rPr>
          <w:rFonts w:eastAsia="Times New Roman" w:cs="Times New Roman"/>
          <w:color w:val="4A4A4A"/>
          <w:sz w:val="21"/>
          <w:szCs w:val="21"/>
          <w:lang w:eastAsia="en-GB"/>
        </w:rPr>
        <w:t xml:space="preserve"> the </w:t>
      </w:r>
      <w:r w:rsidR="00396463">
        <w:rPr>
          <w:rFonts w:eastAsia="Times New Roman" w:cs="Times New Roman"/>
          <w:color w:val="4A4A4A"/>
          <w:sz w:val="21"/>
          <w:szCs w:val="21"/>
          <w:lang w:eastAsia="en-GB"/>
        </w:rPr>
        <w:t>country variable</w:t>
      </w:r>
      <w:r>
        <w:rPr>
          <w:rFonts w:eastAsia="Times New Roman" w:cs="Times New Roman"/>
          <w:color w:val="4A4A4A"/>
          <w:sz w:val="21"/>
          <w:szCs w:val="21"/>
          <w:lang w:eastAsia="en-GB"/>
        </w:rPr>
        <w:t>. Geolocation data is available for all incidents</w:t>
      </w:r>
      <w:r w:rsidR="00AF08DA">
        <w:rPr>
          <w:rFonts w:eastAsia="Times New Roman" w:cs="Times New Roman"/>
          <w:color w:val="4A4A4A"/>
          <w:sz w:val="21"/>
          <w:szCs w:val="21"/>
          <w:lang w:eastAsia="en-GB"/>
        </w:rPr>
        <w:t xml:space="preserve"> from </w:t>
      </w:r>
      <w:hyperlink r:id="rId17" w:history="1">
        <w:r w:rsidR="00AF08DA" w:rsidRPr="00AF08DA">
          <w:rPr>
            <w:rStyle w:val="Hyperlink"/>
            <w:rFonts w:eastAsia="Times New Roman" w:cs="Times New Roman"/>
            <w:sz w:val="21"/>
            <w:szCs w:val="21"/>
            <w:lang w:eastAsia="en-GB"/>
          </w:rPr>
          <w:t>missingmigrants.iom.int/downloads</w:t>
        </w:r>
      </w:hyperlink>
      <w:r>
        <w:rPr>
          <w:rFonts w:eastAsia="Times New Roman" w:cs="Times New Roman"/>
          <w:color w:val="4A4A4A"/>
          <w:sz w:val="21"/>
          <w:szCs w:val="21"/>
          <w:lang w:eastAsia="en-GB"/>
        </w:rPr>
        <w:t xml:space="preserve">, though </w:t>
      </w:r>
      <w:r w:rsidR="0083436C">
        <w:rPr>
          <w:rFonts w:eastAsia="Times New Roman" w:cs="Times New Roman"/>
          <w:color w:val="4A4A4A"/>
          <w:sz w:val="21"/>
          <w:szCs w:val="21"/>
          <w:lang w:eastAsia="en-GB"/>
        </w:rPr>
        <w:t>th</w:t>
      </w:r>
      <w:r w:rsidR="00A849E4">
        <w:rPr>
          <w:rFonts w:eastAsia="Times New Roman" w:cs="Times New Roman"/>
          <w:color w:val="4A4A4A"/>
          <w:sz w:val="21"/>
          <w:szCs w:val="21"/>
          <w:lang w:eastAsia="en-GB"/>
        </w:rPr>
        <w:t>is may be</w:t>
      </w:r>
      <w:r>
        <w:rPr>
          <w:rFonts w:eastAsia="Times New Roman" w:cs="Times New Roman"/>
          <w:color w:val="4A4A4A"/>
          <w:sz w:val="21"/>
          <w:szCs w:val="21"/>
          <w:lang w:eastAsia="en-GB"/>
        </w:rPr>
        <w:t xml:space="preserve"> an approximation for cases at sea or in remote terrains such as deserts.</w:t>
      </w:r>
    </w:p>
    <w:p w14:paraId="20B355E7" w14:textId="77777777" w:rsidR="0058556D" w:rsidRPr="00573631" w:rsidRDefault="0058556D" w:rsidP="00573631">
      <w:pPr>
        <w:shd w:val="clear" w:color="auto" w:fill="FFFFFF"/>
        <w:spacing w:after="0"/>
        <w:ind w:left="495"/>
        <w:rPr>
          <w:rFonts w:eastAsia="Times New Roman" w:cs="Times New Roman"/>
          <w:color w:val="4A4A4A"/>
          <w:sz w:val="21"/>
          <w:szCs w:val="21"/>
          <w:lang w:eastAsia="en-GB"/>
        </w:rPr>
      </w:pPr>
    </w:p>
    <w:p w14:paraId="1AF34820" w14:textId="77777777" w:rsidR="0058556D" w:rsidRPr="00766C31" w:rsidRDefault="0058556D" w:rsidP="00766C31">
      <w:pPr>
        <w:pStyle w:val="Heading4"/>
      </w:pPr>
      <w:r w:rsidRPr="00766C31">
        <w:t>At regional and global levels</w:t>
      </w:r>
    </w:p>
    <w:p w14:paraId="6868149D" w14:textId="1FA1B927" w:rsidR="0040031E" w:rsidRDefault="00A849E4" w:rsidP="00766C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 the SDG 10.7.</w:t>
      </w:r>
      <w:r w:rsidR="00615490">
        <w:rPr>
          <w:rFonts w:eastAsia="Times New Roman" w:cs="Times New Roman"/>
          <w:color w:val="4A4A4A"/>
          <w:sz w:val="21"/>
          <w:szCs w:val="21"/>
          <w:lang w:eastAsia="en-GB"/>
        </w:rPr>
        <w:t>2</w:t>
      </w:r>
      <w:r>
        <w:rPr>
          <w:rFonts w:eastAsia="Times New Roman" w:cs="Times New Roman"/>
          <w:color w:val="4A4A4A"/>
          <w:sz w:val="21"/>
          <w:szCs w:val="21"/>
          <w:lang w:eastAsia="en-GB"/>
        </w:rPr>
        <w:t xml:space="preserve"> dataset, </w:t>
      </w:r>
      <w:r w:rsidR="00A80E38">
        <w:rPr>
          <w:rFonts w:eastAsia="Times New Roman" w:cs="Times New Roman"/>
          <w:color w:val="4A4A4A"/>
          <w:sz w:val="21"/>
          <w:szCs w:val="21"/>
          <w:lang w:eastAsia="en-GB"/>
        </w:rPr>
        <w:t>regional-level data is available for years 2014-current reporting ye</w:t>
      </w:r>
      <w:r w:rsidR="00AD3875">
        <w:rPr>
          <w:rFonts w:eastAsia="Times New Roman" w:cs="Times New Roman"/>
          <w:color w:val="4A4A4A"/>
          <w:sz w:val="21"/>
          <w:szCs w:val="21"/>
          <w:lang w:eastAsia="en-GB"/>
        </w:rPr>
        <w:t>a</w:t>
      </w:r>
      <w:r w:rsidR="00A80E38">
        <w:rPr>
          <w:rFonts w:eastAsia="Times New Roman" w:cs="Times New Roman"/>
          <w:color w:val="4A4A4A"/>
          <w:sz w:val="21"/>
          <w:szCs w:val="21"/>
          <w:lang w:eastAsia="en-GB"/>
        </w:rPr>
        <w:t xml:space="preserve">r </w:t>
      </w:r>
      <w:r w:rsidR="00AD3875">
        <w:rPr>
          <w:rFonts w:eastAsia="Times New Roman" w:cs="Times New Roman"/>
          <w:color w:val="4A4A4A"/>
          <w:sz w:val="21"/>
          <w:szCs w:val="21"/>
          <w:lang w:eastAsia="en-GB"/>
        </w:rPr>
        <w:t xml:space="preserve">based on the </w:t>
      </w:r>
      <w:r w:rsidR="00AD3875" w:rsidRPr="0040031E">
        <w:rPr>
          <w:rFonts w:eastAsia="Times New Roman" w:cs="Times New Roman"/>
          <w:color w:val="4A4A4A"/>
          <w:sz w:val="21"/>
          <w:szCs w:val="21"/>
          <w:lang w:eastAsia="en-GB"/>
        </w:rPr>
        <w:t xml:space="preserve">United Nations Statistics Division’s </w:t>
      </w:r>
      <w:proofErr w:type="spellStart"/>
      <w:r w:rsidR="00AD3875" w:rsidRPr="0040031E">
        <w:rPr>
          <w:rFonts w:eastAsia="Times New Roman" w:cs="Times New Roman"/>
          <w:color w:val="4A4A4A"/>
          <w:sz w:val="21"/>
          <w:szCs w:val="21"/>
          <w:lang w:eastAsia="en-GB"/>
        </w:rPr>
        <w:t>geoscheme</w:t>
      </w:r>
      <w:proofErr w:type="spellEnd"/>
      <w:r w:rsidR="00AD3875">
        <w:rPr>
          <w:rFonts w:eastAsia="Times New Roman" w:cs="Times New Roman"/>
          <w:color w:val="4A4A4A"/>
          <w:sz w:val="21"/>
          <w:szCs w:val="21"/>
          <w:lang w:eastAsia="en-GB"/>
        </w:rPr>
        <w:t>.</w:t>
      </w:r>
      <w:r w:rsidR="00396463">
        <w:rPr>
          <w:rFonts w:eastAsia="Times New Roman" w:cs="Times New Roman"/>
          <w:color w:val="4A4A4A"/>
          <w:sz w:val="21"/>
          <w:szCs w:val="21"/>
          <w:lang w:eastAsia="en-GB"/>
        </w:rPr>
        <w:t xml:space="preserve"> </w:t>
      </w:r>
      <w:r>
        <w:rPr>
          <w:rFonts w:eastAsia="Times New Roman" w:cs="Times New Roman"/>
          <w:color w:val="4A4A4A"/>
          <w:sz w:val="21"/>
          <w:szCs w:val="21"/>
          <w:lang w:eastAsia="en-GB"/>
        </w:rPr>
        <w:t xml:space="preserve">In the original MMP data, available for download from </w:t>
      </w:r>
      <w:hyperlink r:id="rId18" w:history="1">
        <w:r w:rsidRPr="00AF08DA">
          <w:rPr>
            <w:rStyle w:val="Hyperlink"/>
            <w:rFonts w:eastAsia="Times New Roman" w:cs="Times New Roman"/>
            <w:sz w:val="21"/>
            <w:szCs w:val="21"/>
            <w:lang w:eastAsia="en-GB"/>
          </w:rPr>
          <w:t>missingmigrants.iom.int/downloads</w:t>
        </w:r>
      </w:hyperlink>
      <w:r>
        <w:rPr>
          <w:rFonts w:eastAsia="Times New Roman" w:cs="Times New Roman"/>
          <w:color w:val="4A4A4A"/>
          <w:sz w:val="21"/>
          <w:szCs w:val="21"/>
          <w:lang w:eastAsia="en-GB"/>
        </w:rPr>
        <w:t>, t</w:t>
      </w:r>
      <w:r w:rsidR="0040031E">
        <w:rPr>
          <w:rFonts w:eastAsia="Times New Roman" w:cs="Times New Roman"/>
          <w:color w:val="4A4A4A"/>
          <w:sz w:val="21"/>
          <w:szCs w:val="21"/>
          <w:lang w:eastAsia="en-GB"/>
        </w:rPr>
        <w:t>he location of MMP incidents</w:t>
      </w:r>
      <w:r w:rsidR="0040031E" w:rsidRPr="0040031E">
        <w:rPr>
          <w:rFonts w:eastAsia="Times New Roman" w:cs="Times New Roman"/>
          <w:color w:val="4A4A4A"/>
          <w:sz w:val="21"/>
          <w:szCs w:val="21"/>
          <w:lang w:eastAsia="en-GB"/>
        </w:rPr>
        <w:t xml:space="preserve"> are categorized in </w:t>
      </w:r>
      <w:r w:rsidR="00AA1107">
        <w:rPr>
          <w:rFonts w:eastAsia="Times New Roman" w:cs="Times New Roman"/>
          <w:color w:val="4A4A4A"/>
          <w:sz w:val="21"/>
          <w:szCs w:val="21"/>
          <w:lang w:eastAsia="en-GB"/>
        </w:rPr>
        <w:t>several</w:t>
      </w:r>
      <w:r w:rsidR="0040031E" w:rsidRPr="0040031E">
        <w:rPr>
          <w:rFonts w:eastAsia="Times New Roman" w:cs="Times New Roman"/>
          <w:color w:val="4A4A4A"/>
          <w:sz w:val="21"/>
          <w:szCs w:val="21"/>
          <w:lang w:eastAsia="en-GB"/>
        </w:rPr>
        <w:t xml:space="preserve"> ways based on the physical location in which they reportedly occurred. First, they are categorized by the geographical sub-regions of the United Nations Statistics Division’s </w:t>
      </w:r>
      <w:proofErr w:type="spellStart"/>
      <w:r w:rsidR="0040031E" w:rsidRPr="0040031E">
        <w:rPr>
          <w:rFonts w:eastAsia="Times New Roman" w:cs="Times New Roman"/>
          <w:color w:val="4A4A4A"/>
          <w:sz w:val="21"/>
          <w:szCs w:val="21"/>
          <w:lang w:eastAsia="en-GB"/>
        </w:rPr>
        <w:t>geoscheme</w:t>
      </w:r>
      <w:proofErr w:type="spellEnd"/>
      <w:r w:rsidR="0040031E" w:rsidRPr="0040031E">
        <w:rPr>
          <w:rFonts w:eastAsia="Times New Roman" w:cs="Times New Roman"/>
          <w:color w:val="4A4A4A"/>
          <w:sz w:val="21"/>
          <w:szCs w:val="21"/>
          <w:lang w:eastAsia="en-GB"/>
        </w:rPr>
        <w:t>. These regions are included for academic and statistical purposes. Generally, when migrant deaths and disappearances occur at sea, they are included in the region nearest to the body of water in which they occurred. For example, deaths in the Bay of Bengal are categorized under South-Eastern Asia. Some bodies of water, such as the Mediterranean Sea, border several UN sub-regions, and deaths in these areas are consequently left uncategorized.</w:t>
      </w:r>
    </w:p>
    <w:p w14:paraId="685A84BA" w14:textId="77777777" w:rsidR="003F25B1" w:rsidRPr="0040031E" w:rsidRDefault="003F25B1" w:rsidP="00766C31">
      <w:pPr>
        <w:shd w:val="clear" w:color="auto" w:fill="FFFFFF"/>
        <w:spacing w:after="0"/>
        <w:rPr>
          <w:rFonts w:eastAsia="Times New Roman" w:cs="Times New Roman"/>
          <w:color w:val="4A4A4A"/>
          <w:sz w:val="21"/>
          <w:szCs w:val="21"/>
          <w:lang w:eastAsia="en-GB"/>
        </w:rPr>
      </w:pPr>
    </w:p>
    <w:p w14:paraId="1F4B3B8F" w14:textId="3C363A3D" w:rsidR="0040031E" w:rsidRDefault="00AD3875" w:rsidP="0040031E">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The full, incident-based </w:t>
      </w:r>
      <w:r w:rsidR="0040031E" w:rsidRPr="0040031E">
        <w:rPr>
          <w:rFonts w:eastAsia="Times New Roman" w:cs="Times New Roman"/>
          <w:color w:val="4A4A4A"/>
          <w:sz w:val="21"/>
          <w:szCs w:val="21"/>
          <w:lang w:eastAsia="en-GB"/>
        </w:rPr>
        <w:t xml:space="preserve">Missing Migrants Project </w:t>
      </w:r>
      <w:r>
        <w:rPr>
          <w:rFonts w:eastAsia="Times New Roman" w:cs="Times New Roman"/>
          <w:color w:val="4A4A4A"/>
          <w:sz w:val="21"/>
          <w:szCs w:val="21"/>
          <w:lang w:eastAsia="en-GB"/>
        </w:rPr>
        <w:t xml:space="preserve">dataset </w:t>
      </w:r>
      <w:r w:rsidR="0040031E" w:rsidRPr="0040031E">
        <w:rPr>
          <w:rFonts w:eastAsia="Times New Roman" w:cs="Times New Roman"/>
          <w:color w:val="4A4A4A"/>
          <w:sz w:val="21"/>
          <w:szCs w:val="21"/>
          <w:lang w:eastAsia="en-GB"/>
        </w:rPr>
        <w:t xml:space="preserve">also categorizes incidents into a set of geographical regions defined by current migration patterns and contemporary common language usage. </w:t>
      </w:r>
      <w:r w:rsidR="0040031E" w:rsidRPr="0040031E">
        <w:rPr>
          <w:rFonts w:eastAsia="Times New Roman" w:cs="Times New Roman"/>
          <w:color w:val="4A4A4A"/>
          <w:sz w:val="21"/>
          <w:szCs w:val="21"/>
          <w:lang w:eastAsia="en-GB"/>
        </w:rPr>
        <w:lastRenderedPageBreak/>
        <w:t xml:space="preserve">These regions can be seen on the map, below, and differ from the UN </w:t>
      </w:r>
      <w:proofErr w:type="spellStart"/>
      <w:r w:rsidR="0040031E" w:rsidRPr="0040031E">
        <w:rPr>
          <w:rFonts w:eastAsia="Times New Roman" w:cs="Times New Roman"/>
          <w:color w:val="4A4A4A"/>
          <w:sz w:val="21"/>
          <w:szCs w:val="21"/>
          <w:lang w:eastAsia="en-GB"/>
        </w:rPr>
        <w:t>geoscheme</w:t>
      </w:r>
      <w:proofErr w:type="spellEnd"/>
      <w:r w:rsidR="0040031E" w:rsidRPr="0040031E">
        <w:rPr>
          <w:rFonts w:eastAsia="Times New Roman" w:cs="Times New Roman"/>
          <w:color w:val="4A4A4A"/>
          <w:sz w:val="21"/>
          <w:szCs w:val="21"/>
          <w:lang w:eastAsia="en-GB"/>
        </w:rPr>
        <w:t xml:space="preserve"> in several ways.  Firstly, several regions have modified names - most notably, states in the UN-designated region of ‘Western Asia’ are categorized here under ‘Middle East’. Secondly, some regions are combined because they have similar patterns of migration; for example, Europe is defined as one region instead of four. Additionally, the US-Mexico border is counted as a distinct region, as it has a </w:t>
      </w:r>
      <w:proofErr w:type="gramStart"/>
      <w:r w:rsidR="0040031E" w:rsidRPr="0040031E">
        <w:rPr>
          <w:rFonts w:eastAsia="Times New Roman" w:cs="Times New Roman"/>
          <w:color w:val="4A4A4A"/>
          <w:sz w:val="21"/>
          <w:szCs w:val="21"/>
          <w:lang w:eastAsia="en-GB"/>
        </w:rPr>
        <w:t>particular migration</w:t>
      </w:r>
      <w:proofErr w:type="gramEnd"/>
      <w:r w:rsidR="0040031E" w:rsidRPr="0040031E">
        <w:rPr>
          <w:rFonts w:eastAsia="Times New Roman" w:cs="Times New Roman"/>
          <w:color w:val="4A4A4A"/>
          <w:sz w:val="21"/>
          <w:szCs w:val="21"/>
          <w:lang w:eastAsia="en-GB"/>
        </w:rPr>
        <w:t xml:space="preserve"> context relating to instances of migrant deaths and disappearances. The Mediterranean is also included as a geographic region on this list for the same reason.  The regional break-down for Africa also deviates from the UN </w:t>
      </w:r>
      <w:proofErr w:type="spellStart"/>
      <w:r w:rsidR="0040031E" w:rsidRPr="0040031E">
        <w:rPr>
          <w:rFonts w:eastAsia="Times New Roman" w:cs="Times New Roman"/>
          <w:color w:val="4A4A4A"/>
          <w:sz w:val="21"/>
          <w:szCs w:val="21"/>
          <w:lang w:eastAsia="en-GB"/>
        </w:rPr>
        <w:t>geoscheme</w:t>
      </w:r>
      <w:proofErr w:type="spellEnd"/>
      <w:r w:rsidR="0040031E" w:rsidRPr="0040031E">
        <w:rPr>
          <w:rFonts w:eastAsia="Times New Roman" w:cs="Times New Roman"/>
          <w:color w:val="4A4A4A"/>
          <w:sz w:val="21"/>
          <w:szCs w:val="21"/>
          <w:lang w:eastAsia="en-GB"/>
        </w:rPr>
        <w:t>, again in the interest of grouping areas with strongly related migration trends. For instance, the Horn of Africa is counted as its own region, as migration in Ethiopia, Somalia, Djibouti, and Eritrea have migration flows distinct from the UN-designated regions of Northern and Eastern Africa. Similarly, North Africa includes all deaths in the Sahara Desert, as well as those between north-western Africa and the Canary Islands. Eastern African countries not in the Horn, as well as those in the Western, Middle and Southern African regions are combined into ‘Sub-Saharan Africa’ as comparatively few deaths are recorded in this area.</w:t>
      </w:r>
    </w:p>
    <w:p w14:paraId="33AA9FA4" w14:textId="29A18CCF" w:rsidR="0040031E" w:rsidRPr="0040031E" w:rsidRDefault="0040031E" w:rsidP="0040031E">
      <w:pPr>
        <w:shd w:val="clear" w:color="auto" w:fill="FFFFFF"/>
        <w:spacing w:after="0"/>
        <w:rPr>
          <w:rFonts w:eastAsia="Times New Roman" w:cs="Times New Roman"/>
          <w:color w:val="4A4A4A"/>
          <w:sz w:val="21"/>
          <w:szCs w:val="21"/>
          <w:lang w:eastAsia="en-GB"/>
        </w:rPr>
      </w:pPr>
      <w:r>
        <w:rPr>
          <w:noProof/>
        </w:rPr>
        <w:drawing>
          <wp:inline distT="0" distB="0" distL="0" distR="0" wp14:anchorId="7B120766" wp14:editId="371CA496">
            <wp:extent cx="5731510" cy="2451100"/>
            <wp:effectExtent l="0" t="0" r="254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451100"/>
                    </a:xfrm>
                    <a:prstGeom prst="rect">
                      <a:avLst/>
                    </a:prstGeom>
                    <a:noFill/>
                    <a:ln>
                      <a:noFill/>
                    </a:ln>
                  </pic:spPr>
                </pic:pic>
              </a:graphicData>
            </a:graphic>
          </wp:inline>
        </w:drawing>
      </w:r>
    </w:p>
    <w:p w14:paraId="7B373F36" w14:textId="77777777" w:rsidR="0040031E" w:rsidRDefault="0040031E" w:rsidP="00573631">
      <w:pPr>
        <w:shd w:val="clear" w:color="auto" w:fill="FFFFFF"/>
        <w:spacing w:after="0"/>
        <w:rPr>
          <w:rFonts w:eastAsia="Times New Roman" w:cs="Times New Roman"/>
          <w:b/>
          <w:bCs/>
          <w:color w:val="4A4A4A"/>
          <w:sz w:val="21"/>
          <w:szCs w:val="21"/>
          <w:lang w:eastAsia="en-GB"/>
        </w:rPr>
      </w:pPr>
    </w:p>
    <w:p w14:paraId="5DFDFA60" w14:textId="5D73256A" w:rsidR="0058556D" w:rsidRPr="00766C31" w:rsidRDefault="0058556D" w:rsidP="00573631">
      <w:pPr>
        <w:shd w:val="clear" w:color="auto" w:fill="FFFFFF"/>
        <w:spacing w:after="0"/>
        <w:rPr>
          <w:b/>
          <w:color w:val="4A4A4A"/>
          <w:sz w:val="21"/>
        </w:rPr>
      </w:pPr>
      <w:r w:rsidRPr="00573631">
        <w:rPr>
          <w:rFonts w:eastAsia="Times New Roman" w:cs="Times New Roman"/>
          <w:b/>
          <w:bCs/>
          <w:color w:val="4A4A4A"/>
          <w:sz w:val="21"/>
          <w:szCs w:val="21"/>
          <w:lang w:eastAsia="en-GB"/>
        </w:rPr>
        <w:t>Regional aggregates:</w:t>
      </w:r>
    </w:p>
    <w:p w14:paraId="256F33CB" w14:textId="4BABFA7E" w:rsidR="0040031E" w:rsidRPr="0040031E" w:rsidRDefault="0040031E" w:rsidP="00573631">
      <w:pPr>
        <w:shd w:val="clear" w:color="auto" w:fill="FFFFFF"/>
        <w:spacing w:after="0"/>
        <w:rPr>
          <w:rFonts w:eastAsia="Times New Roman" w:cs="Times New Roman"/>
          <w:color w:val="4A4A4A"/>
          <w:sz w:val="21"/>
          <w:szCs w:val="21"/>
          <w:lang w:eastAsia="en-GB"/>
        </w:rPr>
      </w:pPr>
      <w:r w:rsidRPr="0040031E">
        <w:rPr>
          <w:rFonts w:eastAsia="Times New Roman" w:cs="Times New Roman"/>
          <w:color w:val="4A4A4A"/>
          <w:sz w:val="21"/>
          <w:szCs w:val="21"/>
          <w:lang w:eastAsia="en-GB"/>
        </w:rPr>
        <w:t>Regional</w:t>
      </w:r>
      <w:r>
        <w:rPr>
          <w:rFonts w:eastAsia="Times New Roman" w:cs="Times New Roman"/>
          <w:color w:val="4A4A4A"/>
          <w:sz w:val="21"/>
          <w:szCs w:val="21"/>
          <w:lang w:eastAsia="en-GB"/>
        </w:rPr>
        <w:t xml:space="preserve"> aggregates represent the sum of the number of migrant deaths recorded in that region, per the </w:t>
      </w:r>
      <w:r w:rsidR="00615490">
        <w:rPr>
          <w:rFonts w:eastAsia="Times New Roman" w:cs="Times New Roman"/>
          <w:color w:val="4A4A4A"/>
          <w:sz w:val="21"/>
          <w:szCs w:val="21"/>
          <w:lang w:eastAsia="en-GB"/>
        </w:rPr>
        <w:t xml:space="preserve">UNSG </w:t>
      </w:r>
      <w:proofErr w:type="spellStart"/>
      <w:r w:rsidR="00615490">
        <w:rPr>
          <w:rFonts w:eastAsia="Times New Roman" w:cs="Times New Roman"/>
          <w:color w:val="4A4A4A"/>
          <w:sz w:val="21"/>
          <w:szCs w:val="21"/>
          <w:lang w:eastAsia="en-GB"/>
        </w:rPr>
        <w:t>geoscheme</w:t>
      </w:r>
      <w:proofErr w:type="spellEnd"/>
      <w:r w:rsidR="00615490">
        <w:rPr>
          <w:rFonts w:eastAsia="Times New Roman" w:cs="Times New Roman"/>
          <w:color w:val="4A4A4A"/>
          <w:sz w:val="21"/>
          <w:szCs w:val="21"/>
          <w:lang w:eastAsia="en-GB"/>
        </w:rPr>
        <w:t xml:space="preserve"> and the </w:t>
      </w:r>
      <w:r>
        <w:rPr>
          <w:rFonts w:eastAsia="Times New Roman" w:cs="Times New Roman"/>
          <w:color w:val="4A4A4A"/>
          <w:sz w:val="21"/>
          <w:szCs w:val="21"/>
          <w:lang w:eastAsia="en-GB"/>
        </w:rPr>
        <w:t>categorizations discussed in the section above.</w:t>
      </w:r>
    </w:p>
    <w:p w14:paraId="5673AFA9"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2F26CC39" w14:textId="42E44FF8" w:rsidR="0058556D" w:rsidRPr="00766C31" w:rsidRDefault="0058556D" w:rsidP="00573631">
      <w:pPr>
        <w:shd w:val="clear" w:color="auto" w:fill="FFFFFF"/>
        <w:spacing w:after="0"/>
        <w:rPr>
          <w:b/>
          <w:color w:val="4A4A4A"/>
          <w:sz w:val="21"/>
        </w:rPr>
      </w:pPr>
      <w:r w:rsidRPr="00573631">
        <w:rPr>
          <w:rFonts w:eastAsia="Times New Roman" w:cs="Times New Roman"/>
          <w:b/>
          <w:bCs/>
          <w:color w:val="4A4A4A"/>
          <w:sz w:val="21"/>
          <w:szCs w:val="21"/>
          <w:lang w:eastAsia="en-GB"/>
        </w:rPr>
        <w:t>Sources of discrepancies:</w:t>
      </w:r>
    </w:p>
    <w:p w14:paraId="7E757AC6" w14:textId="53FDBA93" w:rsidR="0058556D" w:rsidRDefault="00033A51" w:rsidP="00033A5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 xml:space="preserve">As the MMP dataset does not </w:t>
      </w:r>
      <w:r w:rsidR="00AA1107">
        <w:rPr>
          <w:rFonts w:eastAsia="Times New Roman" w:cs="Times New Roman"/>
          <w:color w:val="4A4A4A"/>
          <w:sz w:val="21"/>
          <w:szCs w:val="21"/>
          <w:lang w:eastAsia="en-GB"/>
        </w:rPr>
        <w:t>rely exclusively on official data, there may be discrepancies from government reports. The full incident-based dataset, including all sources, can be downloaded for comparison and verification at missingmigrants.iom.int</w:t>
      </w:r>
      <w:r w:rsidR="00615490">
        <w:rPr>
          <w:rFonts w:eastAsia="Times New Roman" w:cs="Times New Roman"/>
          <w:color w:val="4A4A4A"/>
          <w:sz w:val="21"/>
          <w:szCs w:val="21"/>
          <w:lang w:eastAsia="en-GB"/>
        </w:rPr>
        <w:t>/downloads</w:t>
      </w:r>
      <w:r w:rsidR="00AA1107">
        <w:rPr>
          <w:rFonts w:eastAsia="Times New Roman" w:cs="Times New Roman"/>
          <w:color w:val="4A4A4A"/>
          <w:sz w:val="21"/>
          <w:szCs w:val="21"/>
          <w:lang w:eastAsia="en-GB"/>
        </w:rPr>
        <w:t>.</w:t>
      </w:r>
    </w:p>
    <w:p w14:paraId="2058DEAB" w14:textId="77777777" w:rsidR="00FB3B2B" w:rsidRPr="00573631" w:rsidRDefault="00FB3B2B" w:rsidP="00FB3B2B">
      <w:pPr>
        <w:shd w:val="clear" w:color="auto" w:fill="FFFFFF"/>
        <w:spacing w:after="0"/>
        <w:rPr>
          <w:rFonts w:eastAsia="Times New Roman" w:cs="Times New Roman"/>
          <w:b/>
          <w:bCs/>
          <w:color w:val="4A4A4A"/>
          <w:sz w:val="21"/>
          <w:szCs w:val="21"/>
          <w:lang w:eastAsia="en-GB"/>
        </w:rPr>
      </w:pPr>
    </w:p>
    <w:p w14:paraId="0C631759" w14:textId="76FC6372"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Methods and guidance</w:t>
      </w:r>
      <w:r w:rsidR="0034329E">
        <w:rPr>
          <w:rFonts w:eastAsia="Times New Roman" w:cs="Times New Roman"/>
          <w:b/>
          <w:bCs/>
          <w:color w:val="4A4A4A"/>
          <w:sz w:val="21"/>
          <w:szCs w:val="21"/>
          <w:lang w:eastAsia="en-GB"/>
        </w:rPr>
        <w:t xml:space="preserve"> </w:t>
      </w:r>
      <w:r w:rsidR="00507852">
        <w:rPr>
          <w:rFonts w:eastAsia="Times New Roman" w:cs="Times New Roman"/>
          <w:b/>
          <w:bCs/>
          <w:color w:val="4A4A4A"/>
          <w:sz w:val="21"/>
          <w:szCs w:val="21"/>
          <w:lang w:eastAsia="en-GB"/>
        </w:rPr>
        <w:t>available</w:t>
      </w:r>
      <w:r w:rsidR="0034329E">
        <w:rPr>
          <w:rFonts w:eastAsia="Times New Roman" w:cs="Times New Roman"/>
          <w:b/>
          <w:bCs/>
          <w:color w:val="4A4A4A"/>
          <w:sz w:val="21"/>
          <w:szCs w:val="21"/>
          <w:lang w:eastAsia="en-GB"/>
        </w:rPr>
        <w:t xml:space="preserve"> to countries</w:t>
      </w:r>
      <w:r w:rsidRPr="00D54F29">
        <w:rPr>
          <w:rFonts w:eastAsia="Times New Roman" w:cs="Times New Roman"/>
          <w:b/>
          <w:bCs/>
          <w:color w:val="4A4A4A"/>
          <w:sz w:val="21"/>
          <w:szCs w:val="21"/>
          <w:lang w:eastAsia="en-GB"/>
        </w:rPr>
        <w:t xml:space="preserve"> for the compilation of the data at the national level:</w:t>
      </w:r>
    </w:p>
    <w:p w14:paraId="1FC8CC05" w14:textId="64A3478E" w:rsidR="00371A20" w:rsidRPr="00033A51" w:rsidRDefault="002A31E3" w:rsidP="00573631">
      <w:pPr>
        <w:pStyle w:val="ListParagraph"/>
        <w:numPr>
          <w:ilvl w:val="0"/>
          <w:numId w:val="3"/>
        </w:num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There are n</w:t>
      </w:r>
      <w:r w:rsidR="00033A51">
        <w:rPr>
          <w:rFonts w:eastAsia="Times New Roman" w:cs="Times New Roman"/>
          <w:color w:val="4A4A4A"/>
          <w:sz w:val="21"/>
          <w:szCs w:val="21"/>
          <w:lang w:eastAsia="en-GB"/>
        </w:rPr>
        <w:t>o known international recommendations and/or guidelines specifically on the topic of data on migrant deaths.</w:t>
      </w:r>
      <w:r w:rsidR="00371A20" w:rsidRPr="00B8087E">
        <w:rPr>
          <w:rFonts w:eastAsia="Times New Roman" w:cs="Times New Roman"/>
          <w:color w:val="4A4A4A"/>
          <w:sz w:val="21"/>
          <w:szCs w:val="21"/>
          <w:lang w:eastAsia="en-GB"/>
        </w:rPr>
        <w:t xml:space="preserve"> </w:t>
      </w:r>
    </w:p>
    <w:p w14:paraId="698F0416" w14:textId="77777777" w:rsidR="00422EA5" w:rsidRDefault="00422EA5" w:rsidP="00573631">
      <w:pPr>
        <w:shd w:val="clear" w:color="auto" w:fill="FFFFFF"/>
        <w:spacing w:after="0"/>
        <w:rPr>
          <w:color w:val="4A86E8"/>
          <w:sz w:val="20"/>
          <w:szCs w:val="20"/>
        </w:rPr>
      </w:pPr>
    </w:p>
    <w:p w14:paraId="2E9CA11A" w14:textId="77777777" w:rsidR="00422EA5" w:rsidRPr="00D54F29" w:rsidRDefault="00422EA5" w:rsidP="00573631">
      <w:pPr>
        <w:shd w:val="clear" w:color="auto" w:fill="FFFFFF"/>
        <w:spacing w:after="0"/>
        <w:rPr>
          <w:rFonts w:eastAsia="Times New Roman" w:cs="Times New Roman"/>
          <w:b/>
          <w:bCs/>
          <w:color w:val="4A4A4A"/>
          <w:sz w:val="21"/>
          <w:szCs w:val="21"/>
          <w:lang w:eastAsia="en-GB"/>
        </w:rPr>
      </w:pPr>
      <w:r w:rsidRPr="00D54F29">
        <w:rPr>
          <w:rFonts w:eastAsia="Times New Roman" w:cs="Times New Roman"/>
          <w:b/>
          <w:bCs/>
          <w:color w:val="4A4A4A"/>
          <w:sz w:val="21"/>
          <w:szCs w:val="21"/>
          <w:lang w:eastAsia="en-GB"/>
        </w:rPr>
        <w:t>Quality assurance</w:t>
      </w:r>
    </w:p>
    <w:p w14:paraId="7D51DAC1" w14:textId="24907DED" w:rsidR="00033A51" w:rsidRDefault="00033A51" w:rsidP="009C78E4">
      <w:pPr>
        <w:pStyle w:val="ListParagraph"/>
        <w:numPr>
          <w:ilvl w:val="0"/>
          <w:numId w:val="4"/>
        </w:numPr>
        <w:shd w:val="clear" w:color="auto" w:fill="FFFFFF"/>
        <w:spacing w:after="0"/>
        <w:rPr>
          <w:rFonts w:eastAsia="Times New Roman" w:cs="Times New Roman"/>
          <w:color w:val="4A4A4A"/>
          <w:sz w:val="21"/>
          <w:szCs w:val="21"/>
        </w:rPr>
      </w:pPr>
      <w:r>
        <w:rPr>
          <w:rFonts w:eastAsia="Times New Roman" w:cs="Times New Roman"/>
          <w:color w:val="4A4A4A"/>
          <w:sz w:val="21"/>
          <w:szCs w:val="21"/>
        </w:rPr>
        <w:t>As the data contained in the MMP dataset comes from a wide variety of sources, all data are verified by a team at IOM’s Global Migration Data Analysis Centre to ensure that:</w:t>
      </w:r>
    </w:p>
    <w:p w14:paraId="563BA884" w14:textId="20126A4C" w:rsidR="00033A51" w:rsidRDefault="00033A51" w:rsidP="00033A51">
      <w:pPr>
        <w:pStyle w:val="ListParagraph"/>
        <w:numPr>
          <w:ilvl w:val="1"/>
          <w:numId w:val="4"/>
        </w:numPr>
        <w:shd w:val="clear" w:color="auto" w:fill="FFFFFF"/>
        <w:spacing w:after="0"/>
        <w:rPr>
          <w:rFonts w:eastAsia="Times New Roman" w:cs="Times New Roman"/>
          <w:color w:val="4A4A4A"/>
          <w:sz w:val="21"/>
          <w:szCs w:val="21"/>
        </w:rPr>
      </w:pPr>
      <w:r>
        <w:rPr>
          <w:rFonts w:eastAsia="Times New Roman" w:cs="Times New Roman"/>
          <w:color w:val="4A4A4A"/>
          <w:sz w:val="21"/>
          <w:szCs w:val="21"/>
        </w:rPr>
        <w:t>The incident reported meets MMP’s definition of a death during migration</w:t>
      </w:r>
    </w:p>
    <w:p w14:paraId="7D84BA47" w14:textId="4331AC0C" w:rsidR="00033A51" w:rsidRDefault="00033A51" w:rsidP="00033A51">
      <w:pPr>
        <w:pStyle w:val="ListParagraph"/>
        <w:numPr>
          <w:ilvl w:val="1"/>
          <w:numId w:val="4"/>
        </w:numPr>
        <w:shd w:val="clear" w:color="auto" w:fill="FFFFFF"/>
        <w:spacing w:after="0"/>
        <w:rPr>
          <w:rFonts w:eastAsia="Times New Roman" w:cs="Times New Roman"/>
          <w:color w:val="4A4A4A"/>
          <w:sz w:val="21"/>
          <w:szCs w:val="21"/>
        </w:rPr>
      </w:pPr>
      <w:r>
        <w:rPr>
          <w:rFonts w:eastAsia="Times New Roman" w:cs="Times New Roman"/>
          <w:color w:val="4A4A4A"/>
          <w:sz w:val="21"/>
          <w:szCs w:val="21"/>
        </w:rPr>
        <w:t>The information contained in the report is accurate</w:t>
      </w:r>
      <w:r w:rsidR="000B67C7">
        <w:rPr>
          <w:rFonts w:eastAsia="Times New Roman" w:cs="Times New Roman"/>
          <w:color w:val="4A4A4A"/>
          <w:sz w:val="21"/>
          <w:szCs w:val="21"/>
        </w:rPr>
        <w:t xml:space="preserve"> and complete</w:t>
      </w:r>
    </w:p>
    <w:p w14:paraId="6C8C19CE" w14:textId="1C588D2A" w:rsidR="00033A51" w:rsidRDefault="00033A51" w:rsidP="00033A51">
      <w:pPr>
        <w:pStyle w:val="ListParagraph"/>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rPr>
        <w:lastRenderedPageBreak/>
        <w:t xml:space="preserve">The latter process usually consists of searching for separate reports on the same incident which contain similar information, including contacting the relevant authorities for confirmation where possible. The ‘Source quality’ variable indicates the reliability of the information reported (see </w:t>
      </w:r>
      <w:hyperlink w:anchor="_Table_2:_Variables" w:history="1">
        <w:r w:rsidRPr="00DD47E8">
          <w:rPr>
            <w:rStyle w:val="Hyperlink"/>
            <w:rFonts w:eastAsia="Times New Roman" w:cs="Times New Roman"/>
            <w:sz w:val="21"/>
            <w:szCs w:val="21"/>
          </w:rPr>
          <w:t>Table 2</w:t>
        </w:r>
      </w:hyperlink>
      <w:r>
        <w:rPr>
          <w:rFonts w:eastAsia="Times New Roman" w:cs="Times New Roman"/>
          <w:color w:val="4A4A4A"/>
          <w:sz w:val="21"/>
          <w:szCs w:val="21"/>
        </w:rPr>
        <w:t xml:space="preserve"> for details).</w:t>
      </w:r>
    </w:p>
    <w:p w14:paraId="17D42520" w14:textId="77777777" w:rsidR="00422EA5" w:rsidRPr="00D54F29" w:rsidRDefault="00422EA5" w:rsidP="00573631">
      <w:pPr>
        <w:shd w:val="clear" w:color="auto" w:fill="FFFFFF"/>
        <w:spacing w:after="0"/>
        <w:rPr>
          <w:rFonts w:eastAsia="Times New Roman" w:cs="Times New Roman"/>
          <w:color w:val="4A4A4A"/>
          <w:sz w:val="21"/>
          <w:szCs w:val="21"/>
          <w:highlight w:val="yellow"/>
          <w:lang w:eastAsia="en-GB"/>
        </w:rPr>
      </w:pPr>
    </w:p>
    <w:p w14:paraId="40A0ED07"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8B20C6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Sources</w:t>
      </w:r>
    </w:p>
    <w:p w14:paraId="61934DC5"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B1B63CB" w14:textId="1D40960A" w:rsidR="0058556D" w:rsidRPr="00766C31" w:rsidRDefault="0058556D" w:rsidP="00573631">
      <w:pPr>
        <w:shd w:val="clear" w:color="auto" w:fill="FFFFFF"/>
        <w:spacing w:after="0"/>
        <w:rPr>
          <w:b/>
          <w:color w:val="4A4A4A"/>
          <w:sz w:val="21"/>
        </w:rPr>
      </w:pPr>
      <w:r w:rsidRPr="00573631">
        <w:rPr>
          <w:rFonts w:eastAsia="Times New Roman" w:cs="Times New Roman"/>
          <w:b/>
          <w:bCs/>
          <w:color w:val="4A4A4A"/>
          <w:sz w:val="21"/>
          <w:szCs w:val="21"/>
          <w:lang w:eastAsia="en-GB"/>
        </w:rPr>
        <w:t>Description:</w:t>
      </w:r>
    </w:p>
    <w:p w14:paraId="51C8C5F0" w14:textId="62742701" w:rsidR="00033A51" w:rsidRDefault="00033A51" w:rsidP="00265B64">
      <w:pPr>
        <w:shd w:val="clear" w:color="auto" w:fill="FFFFFF"/>
        <w:spacing w:after="0"/>
        <w:jc w:val="both"/>
        <w:rPr>
          <w:rFonts w:eastAsia="Times New Roman" w:cs="Times New Roman"/>
          <w:color w:val="4A4A4A"/>
          <w:sz w:val="21"/>
          <w:szCs w:val="21"/>
          <w:lang w:eastAsia="en-GB"/>
        </w:rPr>
      </w:pPr>
      <w:r w:rsidRPr="00033A51">
        <w:rPr>
          <w:rFonts w:eastAsia="Times New Roman" w:cs="Times New Roman"/>
          <w:color w:val="4A4A4A"/>
          <w:sz w:val="21"/>
          <w:szCs w:val="21"/>
          <w:lang w:eastAsia="en-GB"/>
        </w:rPr>
        <w:t xml:space="preserve">See </w:t>
      </w:r>
      <w:hyperlink w:anchor="_Table_1:_Missing" w:history="1">
        <w:r w:rsidRPr="00DD47E8">
          <w:rPr>
            <w:rStyle w:val="Hyperlink"/>
            <w:rFonts w:eastAsia="Times New Roman" w:cs="Times New Roman"/>
            <w:sz w:val="21"/>
            <w:szCs w:val="21"/>
            <w:lang w:eastAsia="en-GB"/>
          </w:rPr>
          <w:t>Table 1</w:t>
        </w:r>
      </w:hyperlink>
      <w:r>
        <w:rPr>
          <w:rFonts w:eastAsia="Times New Roman" w:cs="Times New Roman"/>
          <w:color w:val="4A4A4A"/>
          <w:sz w:val="21"/>
          <w:szCs w:val="21"/>
          <w:lang w:eastAsia="en-GB"/>
        </w:rPr>
        <w:t xml:space="preserve">, above, for details on data sources used in the MMP database.  For each incident recorded, the specific source of information is </w:t>
      </w:r>
      <w:r w:rsidR="00265B64">
        <w:rPr>
          <w:rFonts w:eastAsia="Times New Roman" w:cs="Times New Roman"/>
          <w:color w:val="4A4A4A"/>
          <w:sz w:val="21"/>
          <w:szCs w:val="21"/>
          <w:lang w:eastAsia="en-GB"/>
        </w:rPr>
        <w:t>listed</w:t>
      </w:r>
      <w:r>
        <w:rPr>
          <w:rFonts w:eastAsia="Times New Roman" w:cs="Times New Roman"/>
          <w:color w:val="4A4A4A"/>
          <w:sz w:val="21"/>
          <w:szCs w:val="21"/>
          <w:lang w:eastAsia="en-GB"/>
        </w:rPr>
        <w:t xml:space="preserve"> in the ‘</w:t>
      </w:r>
      <w:r w:rsidR="00265B64">
        <w:rPr>
          <w:rFonts w:eastAsia="Times New Roman" w:cs="Times New Roman"/>
          <w:color w:val="4A4A4A"/>
          <w:sz w:val="21"/>
          <w:szCs w:val="21"/>
          <w:lang w:eastAsia="en-GB"/>
        </w:rPr>
        <w:t>Information Source</w:t>
      </w:r>
      <w:r>
        <w:rPr>
          <w:rFonts w:eastAsia="Times New Roman" w:cs="Times New Roman"/>
          <w:color w:val="4A4A4A"/>
          <w:sz w:val="21"/>
          <w:szCs w:val="21"/>
          <w:lang w:eastAsia="en-GB"/>
        </w:rPr>
        <w:t xml:space="preserve">’ </w:t>
      </w:r>
      <w:r w:rsidR="00265B64">
        <w:rPr>
          <w:rFonts w:eastAsia="Times New Roman" w:cs="Times New Roman"/>
          <w:color w:val="4A4A4A"/>
          <w:sz w:val="21"/>
          <w:szCs w:val="21"/>
          <w:lang w:eastAsia="en-GB"/>
        </w:rPr>
        <w:t xml:space="preserve">variable, along with a link to the report if relevant, in the downloadable dataset available from </w:t>
      </w:r>
      <w:hyperlink r:id="rId20" w:history="1">
        <w:r w:rsidR="00265B64" w:rsidRPr="00265B64">
          <w:rPr>
            <w:rStyle w:val="Hyperlink"/>
            <w:rFonts w:eastAsia="Times New Roman" w:cs="Times New Roman"/>
            <w:sz w:val="21"/>
            <w:szCs w:val="21"/>
            <w:lang w:eastAsia="en-GB"/>
          </w:rPr>
          <w:t>mmp.iom.int/downloads</w:t>
        </w:r>
      </w:hyperlink>
      <w:r w:rsidR="00265B64">
        <w:rPr>
          <w:rFonts w:eastAsia="Times New Roman" w:cs="Times New Roman"/>
          <w:color w:val="4A4A4A"/>
          <w:sz w:val="21"/>
          <w:szCs w:val="21"/>
          <w:lang w:eastAsia="en-GB"/>
        </w:rPr>
        <w:t>.</w:t>
      </w:r>
    </w:p>
    <w:p w14:paraId="15F89E10"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7DD49431" w14:textId="1FFE2D90" w:rsidR="0058556D" w:rsidRPr="00766C31" w:rsidRDefault="0058556D" w:rsidP="00573631">
      <w:pPr>
        <w:shd w:val="clear" w:color="auto" w:fill="FFFFFF"/>
        <w:spacing w:after="0"/>
        <w:rPr>
          <w:b/>
          <w:color w:val="4A4A4A"/>
          <w:sz w:val="21"/>
        </w:rPr>
      </w:pPr>
      <w:r w:rsidRPr="00573631">
        <w:rPr>
          <w:rFonts w:eastAsia="Times New Roman" w:cs="Times New Roman"/>
          <w:b/>
          <w:bCs/>
          <w:color w:val="4A4A4A"/>
          <w:sz w:val="21"/>
          <w:szCs w:val="21"/>
          <w:lang w:eastAsia="en-GB"/>
        </w:rPr>
        <w:t>Collection process:</w:t>
      </w:r>
    </w:p>
    <w:p w14:paraId="7526C101" w14:textId="06ABE76B" w:rsidR="00265B64" w:rsidRPr="00265B64" w:rsidRDefault="00265B64" w:rsidP="00573631">
      <w:pPr>
        <w:shd w:val="clear" w:color="auto" w:fill="FFFFFF"/>
        <w:spacing w:after="0"/>
        <w:rPr>
          <w:rFonts w:eastAsia="Times New Roman" w:cs="Times New Roman"/>
          <w:color w:val="4A4A4A"/>
          <w:sz w:val="21"/>
          <w:szCs w:val="21"/>
          <w:lang w:eastAsia="en-GB"/>
        </w:rPr>
      </w:pPr>
      <w:r w:rsidRPr="00265B64">
        <w:rPr>
          <w:rFonts w:eastAsia="Times New Roman" w:cs="Times New Roman"/>
          <w:color w:val="4A4A4A"/>
          <w:sz w:val="21"/>
          <w:szCs w:val="21"/>
          <w:lang w:eastAsia="en-GB"/>
        </w:rPr>
        <w:t xml:space="preserve">Data </w:t>
      </w:r>
      <w:r>
        <w:rPr>
          <w:rFonts w:eastAsia="Times New Roman" w:cs="Times New Roman"/>
          <w:color w:val="4A4A4A"/>
          <w:sz w:val="21"/>
          <w:szCs w:val="21"/>
          <w:lang w:eastAsia="en-GB"/>
        </w:rPr>
        <w:t xml:space="preserve">is collected by IOM staff based at IOM’s Global Migration Data Analysis Centre and in its Regional Offices on an ongoing basis. This consists of (1) receiving information from the data sources listed in </w:t>
      </w:r>
      <w:hyperlink w:anchor="_Table_1:_Missing" w:history="1">
        <w:r w:rsidRPr="00DD47E8">
          <w:rPr>
            <w:rStyle w:val="Hyperlink"/>
            <w:rFonts w:eastAsia="Times New Roman" w:cs="Times New Roman"/>
            <w:sz w:val="21"/>
            <w:szCs w:val="21"/>
            <w:lang w:eastAsia="en-GB"/>
          </w:rPr>
          <w:t>Table 1</w:t>
        </w:r>
      </w:hyperlink>
      <w:r>
        <w:rPr>
          <w:rFonts w:eastAsia="Times New Roman" w:cs="Times New Roman"/>
          <w:color w:val="4A4A4A"/>
          <w:sz w:val="21"/>
          <w:szCs w:val="21"/>
          <w:lang w:eastAsia="en-GB"/>
        </w:rPr>
        <w:t xml:space="preserve">, above, when relevant; (2) monitoring online </w:t>
      </w:r>
      <w:proofErr w:type="gramStart"/>
      <w:r>
        <w:rPr>
          <w:rFonts w:eastAsia="Times New Roman" w:cs="Times New Roman"/>
          <w:color w:val="4A4A4A"/>
          <w:sz w:val="21"/>
          <w:szCs w:val="21"/>
          <w:lang w:eastAsia="en-GB"/>
        </w:rPr>
        <w:t>news  and</w:t>
      </w:r>
      <w:proofErr w:type="gramEnd"/>
      <w:r>
        <w:rPr>
          <w:rFonts w:eastAsia="Times New Roman" w:cs="Times New Roman"/>
          <w:color w:val="4A4A4A"/>
          <w:sz w:val="21"/>
          <w:szCs w:val="21"/>
          <w:lang w:eastAsia="en-GB"/>
        </w:rPr>
        <w:t xml:space="preserve"> social media for relevant reports; and (3) verifying all incidents as discussed in the ‘quality assurance’ section above.</w:t>
      </w:r>
    </w:p>
    <w:p w14:paraId="1C99878C"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48F1D07D"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Availability</w:t>
      </w:r>
    </w:p>
    <w:p w14:paraId="7FD821F3"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6A7FEB4D" w14:textId="4C732C11" w:rsidR="00265B64" w:rsidRDefault="0058556D" w:rsidP="00A61D74">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Description:</w:t>
      </w:r>
    </w:p>
    <w:p w14:paraId="60AFD915" w14:textId="536A4637" w:rsidR="0058556D" w:rsidRDefault="00265B64" w:rsidP="00FA45C1">
      <w:pPr>
        <w:shd w:val="clear" w:color="auto" w:fill="FFFFFF"/>
        <w:spacing w:after="0"/>
        <w:jc w:val="both"/>
        <w:rPr>
          <w:rFonts w:eastAsia="Times New Roman" w:cs="Times New Roman"/>
          <w:color w:val="4A4A4A"/>
          <w:sz w:val="21"/>
          <w:szCs w:val="21"/>
          <w:lang w:eastAsia="en-GB"/>
        </w:rPr>
      </w:pPr>
      <w:r>
        <w:rPr>
          <w:rFonts w:eastAsia="Times New Roman" w:cs="Times New Roman"/>
          <w:color w:val="4A4A4A"/>
          <w:sz w:val="21"/>
          <w:szCs w:val="21"/>
          <w:lang w:eastAsia="en-GB"/>
        </w:rPr>
        <w:t>The MMP is a global project, and as such collects data in all regions of the world. However, as mentioned throughout, the MMP data is only as strong as the data sources available, meaning that for remote geographies and developing countries less data tends to be available. Generally, MMP’s coverage is strongest in the Mediterranean and the US-Mexico border, whereas for the rest of the world data coverage is believed to be poor.</w:t>
      </w:r>
      <w:r w:rsidR="00FA45C1">
        <w:rPr>
          <w:rFonts w:eastAsia="Times New Roman" w:cs="Times New Roman"/>
          <w:color w:val="4A4A4A"/>
          <w:sz w:val="21"/>
          <w:szCs w:val="21"/>
          <w:lang w:eastAsia="en-GB"/>
        </w:rPr>
        <w:t xml:space="preserve"> However, coverage should not be equated with data quality, as for example in the case of the Mediterranean Sea </w:t>
      </w:r>
      <w:r w:rsidR="00DD47E8">
        <w:rPr>
          <w:rFonts w:eastAsia="Times New Roman" w:cs="Times New Roman"/>
          <w:color w:val="4A4A4A"/>
          <w:sz w:val="21"/>
          <w:szCs w:val="21"/>
          <w:lang w:eastAsia="en-GB"/>
        </w:rPr>
        <w:t>many bodies are lost and consequently the data on gender and age of the decedents is highly incomplete.</w:t>
      </w:r>
    </w:p>
    <w:p w14:paraId="5527ECAB" w14:textId="77777777" w:rsidR="00A61D74" w:rsidRPr="00573631" w:rsidRDefault="00A61D74" w:rsidP="00A61D74">
      <w:pPr>
        <w:shd w:val="clear" w:color="auto" w:fill="FFFFFF"/>
        <w:spacing w:after="0"/>
        <w:rPr>
          <w:rFonts w:eastAsia="Times New Roman" w:cs="Times New Roman"/>
          <w:color w:val="4A4A4A"/>
          <w:sz w:val="21"/>
          <w:szCs w:val="21"/>
          <w:lang w:eastAsia="en-GB"/>
        </w:rPr>
      </w:pPr>
    </w:p>
    <w:p w14:paraId="77AF477E" w14:textId="77777777" w:rsidR="0058556D" w:rsidRPr="00573631" w:rsidRDefault="0058556D" w:rsidP="00573631">
      <w:pPr>
        <w:keepNext/>
        <w:keepLines/>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Time series:</w:t>
      </w:r>
    </w:p>
    <w:p w14:paraId="1A5691C8" w14:textId="52BF7912" w:rsidR="0058556D" w:rsidRDefault="00DD47E8" w:rsidP="00573631">
      <w:pPr>
        <w:keepNext/>
        <w:keepLines/>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2014-present (ongoing data collection)</w:t>
      </w:r>
    </w:p>
    <w:p w14:paraId="06235371" w14:textId="77777777" w:rsidR="000173F9" w:rsidRPr="00573631" w:rsidRDefault="000173F9" w:rsidP="00573631">
      <w:pPr>
        <w:keepNext/>
        <w:keepLines/>
        <w:shd w:val="clear" w:color="auto" w:fill="FFFFFF"/>
        <w:spacing w:after="0"/>
        <w:rPr>
          <w:rFonts w:eastAsia="Times New Roman" w:cs="Times New Roman"/>
          <w:color w:val="4A4A4A"/>
          <w:sz w:val="21"/>
          <w:szCs w:val="21"/>
          <w:lang w:eastAsia="en-GB"/>
        </w:rPr>
      </w:pPr>
    </w:p>
    <w:p w14:paraId="1444C8DB"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Calendar</w:t>
      </w:r>
    </w:p>
    <w:p w14:paraId="2DDA32E1" w14:textId="77777777" w:rsidR="0058556D" w:rsidRPr="00573631" w:rsidRDefault="0058556D" w:rsidP="00573631">
      <w:pPr>
        <w:shd w:val="clear" w:color="auto" w:fill="FFFFFF"/>
        <w:spacing w:after="0"/>
        <w:rPr>
          <w:rFonts w:eastAsia="Times New Roman" w:cs="Times New Roman"/>
          <w:b/>
          <w:bCs/>
          <w:color w:val="4A4A4A"/>
          <w:sz w:val="21"/>
          <w:szCs w:val="21"/>
          <w:lang w:eastAsia="en-GB"/>
        </w:rPr>
      </w:pPr>
    </w:p>
    <w:p w14:paraId="498CD169" w14:textId="796DD82C" w:rsidR="0058556D" w:rsidRDefault="0058556D" w:rsidP="00233DFF">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collection:</w:t>
      </w:r>
      <w:r w:rsidR="00233DFF">
        <w:rPr>
          <w:rFonts w:eastAsia="Times New Roman" w:cs="Times New Roman"/>
          <w:color w:val="4A4A4A"/>
          <w:sz w:val="21"/>
          <w:szCs w:val="21"/>
          <w:lang w:eastAsia="en-GB"/>
        </w:rPr>
        <w:t xml:space="preserve"> </w:t>
      </w:r>
      <w:r w:rsidR="00FB16C3">
        <w:rPr>
          <w:rFonts w:eastAsia="Times New Roman" w:cs="Times New Roman"/>
          <w:color w:val="4A4A4A"/>
          <w:sz w:val="21"/>
          <w:szCs w:val="21"/>
          <w:lang w:eastAsia="en-GB"/>
        </w:rPr>
        <w:t>Ongoing (updated twice weekly)</w:t>
      </w:r>
    </w:p>
    <w:p w14:paraId="3A4A9498" w14:textId="77777777" w:rsidR="00A61D74" w:rsidRPr="00573631" w:rsidRDefault="00A61D74" w:rsidP="00A61D74">
      <w:pPr>
        <w:shd w:val="clear" w:color="auto" w:fill="FFFFFF"/>
        <w:tabs>
          <w:tab w:val="left" w:pos="1320"/>
        </w:tabs>
        <w:spacing w:after="0"/>
        <w:rPr>
          <w:rFonts w:eastAsia="Times New Roman" w:cs="Times New Roman"/>
          <w:color w:val="4A4A4A"/>
          <w:sz w:val="21"/>
          <w:szCs w:val="21"/>
          <w:lang w:eastAsia="en-GB"/>
        </w:rPr>
      </w:pPr>
    </w:p>
    <w:p w14:paraId="7DB0A509" w14:textId="39BBFE92" w:rsidR="0058556D"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Data release:</w:t>
      </w:r>
      <w:r w:rsidR="00233DFF">
        <w:rPr>
          <w:rFonts w:eastAsia="Times New Roman" w:cs="Times New Roman"/>
          <w:b/>
          <w:bCs/>
          <w:color w:val="4A4A4A"/>
          <w:sz w:val="21"/>
          <w:szCs w:val="21"/>
          <w:lang w:eastAsia="en-GB"/>
        </w:rPr>
        <w:t xml:space="preserve"> </w:t>
      </w:r>
      <w:r w:rsidR="00FB16C3">
        <w:rPr>
          <w:rFonts w:eastAsia="Times New Roman" w:cs="Times New Roman"/>
          <w:color w:val="4A4A4A"/>
          <w:sz w:val="21"/>
          <w:szCs w:val="21"/>
          <w:lang w:eastAsia="en-GB"/>
        </w:rPr>
        <w:t xml:space="preserve">Data is updated on an ongoing basis and uploaded to </w:t>
      </w:r>
      <w:hyperlink r:id="rId21" w:history="1">
        <w:r w:rsidR="00FB16C3" w:rsidRPr="00FB16C3">
          <w:rPr>
            <w:rStyle w:val="Hyperlink"/>
            <w:rFonts w:eastAsia="Times New Roman" w:cs="Times New Roman"/>
            <w:sz w:val="21"/>
            <w:szCs w:val="21"/>
            <w:lang w:eastAsia="en-GB"/>
          </w:rPr>
          <w:t>missingmigrants.iom.int</w:t>
        </w:r>
      </w:hyperlink>
      <w:r w:rsidR="00FB16C3">
        <w:rPr>
          <w:rFonts w:eastAsia="Times New Roman" w:cs="Times New Roman"/>
          <w:color w:val="4A4A4A"/>
          <w:sz w:val="21"/>
          <w:szCs w:val="21"/>
          <w:lang w:eastAsia="en-GB"/>
        </w:rPr>
        <w:t xml:space="preserve"> weekly, </w:t>
      </w:r>
      <w:r w:rsidR="00DD47E8">
        <w:rPr>
          <w:rFonts w:eastAsia="Times New Roman" w:cs="Times New Roman"/>
          <w:color w:val="4A4A4A"/>
          <w:sz w:val="21"/>
          <w:szCs w:val="21"/>
          <w:lang w:eastAsia="en-GB"/>
        </w:rPr>
        <w:t>typically</w:t>
      </w:r>
      <w:r w:rsidR="00FB16C3">
        <w:rPr>
          <w:rFonts w:eastAsia="Times New Roman" w:cs="Times New Roman"/>
          <w:color w:val="4A4A4A"/>
          <w:sz w:val="21"/>
          <w:szCs w:val="21"/>
          <w:lang w:eastAsia="en-GB"/>
        </w:rPr>
        <w:t xml:space="preserve"> on Mondays and Thursdays</w:t>
      </w:r>
      <w:r w:rsidR="00DD47E8">
        <w:rPr>
          <w:rFonts w:eastAsia="Times New Roman" w:cs="Times New Roman"/>
          <w:color w:val="4A4A4A"/>
          <w:sz w:val="21"/>
          <w:szCs w:val="21"/>
          <w:lang w:eastAsia="en-GB"/>
        </w:rPr>
        <w:t>.</w:t>
      </w:r>
    </w:p>
    <w:p w14:paraId="7CB84A2B"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4502563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providers</w:t>
      </w:r>
    </w:p>
    <w:p w14:paraId="2EC840EA" w14:textId="71E70C0F" w:rsidR="00A61D74" w:rsidRDefault="00DD47E8" w:rsidP="00A61D74">
      <w:pPr>
        <w:shd w:val="clear" w:color="auto" w:fill="FFFFFF"/>
        <w:spacing w:after="0"/>
        <w:rPr>
          <w:rFonts w:eastAsia="Times New Roman" w:cs="Times New Roman"/>
          <w:color w:val="4A4A4A"/>
          <w:sz w:val="21"/>
          <w:szCs w:val="21"/>
        </w:rPr>
      </w:pPr>
      <w:r>
        <w:rPr>
          <w:rFonts w:eastAsia="Times New Roman" w:cs="Times New Roman"/>
          <w:color w:val="4A4A4A"/>
          <w:sz w:val="21"/>
          <w:szCs w:val="21"/>
        </w:rPr>
        <w:lastRenderedPageBreak/>
        <w:t xml:space="preserve">The MMP dataset does not disaggregate data at a country level, and no country currently collects and reports data on deaths during migration on its territories. Other data providers – including local authorities, NGOs, surveys with survivors and other sources – are outlined in </w:t>
      </w:r>
      <w:hyperlink w:anchor="_Table_1:_Missing" w:history="1">
        <w:r w:rsidRPr="00DD47E8">
          <w:rPr>
            <w:rStyle w:val="Hyperlink"/>
            <w:rFonts w:eastAsia="Times New Roman" w:cs="Times New Roman"/>
            <w:sz w:val="21"/>
            <w:szCs w:val="21"/>
          </w:rPr>
          <w:t>Table 1</w:t>
        </w:r>
      </w:hyperlink>
      <w:r>
        <w:rPr>
          <w:rFonts w:eastAsia="Times New Roman" w:cs="Times New Roman"/>
          <w:color w:val="4A4A4A"/>
          <w:sz w:val="21"/>
          <w:szCs w:val="21"/>
        </w:rPr>
        <w:t xml:space="preserve"> above.</w:t>
      </w:r>
    </w:p>
    <w:p w14:paraId="4A92C9EA" w14:textId="77777777" w:rsidR="00DD47E8" w:rsidRPr="00573631" w:rsidRDefault="00DD47E8" w:rsidP="00A61D74">
      <w:pPr>
        <w:shd w:val="clear" w:color="auto" w:fill="FFFFFF"/>
        <w:spacing w:after="0"/>
        <w:rPr>
          <w:rFonts w:eastAsia="Times New Roman" w:cs="Times New Roman"/>
          <w:color w:val="4A4A4A"/>
          <w:sz w:val="21"/>
          <w:szCs w:val="21"/>
          <w:lang w:eastAsia="en-GB"/>
        </w:rPr>
      </w:pPr>
    </w:p>
    <w:p w14:paraId="536F2719"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Data compilers</w:t>
      </w:r>
    </w:p>
    <w:p w14:paraId="6A3BDEF8" w14:textId="300AD393" w:rsidR="0058556D" w:rsidRDefault="00DD47E8" w:rsidP="00573631">
      <w:pPr>
        <w:shd w:val="clear" w:color="auto" w:fill="FFFFFF"/>
        <w:spacing w:after="0"/>
        <w:rPr>
          <w:rFonts w:eastAsia="Times New Roman" w:cs="Times New Roman"/>
          <w:color w:val="4A4A4A"/>
          <w:sz w:val="21"/>
          <w:szCs w:val="21"/>
          <w:lang w:eastAsia="en-GB"/>
        </w:rPr>
      </w:pPr>
      <w:r>
        <w:rPr>
          <w:rFonts w:eastAsia="Times New Roman" w:cs="Times New Roman"/>
          <w:color w:val="4A4A4A"/>
          <w:sz w:val="21"/>
          <w:szCs w:val="21"/>
          <w:lang w:eastAsia="en-GB"/>
        </w:rPr>
        <w:t>International Organization for Migration</w:t>
      </w:r>
    </w:p>
    <w:p w14:paraId="15E5B7B9" w14:textId="77777777" w:rsidR="00A61D74" w:rsidRPr="00573631" w:rsidRDefault="00A61D74" w:rsidP="00573631">
      <w:pPr>
        <w:shd w:val="clear" w:color="auto" w:fill="FFFFFF"/>
        <w:spacing w:after="0"/>
        <w:rPr>
          <w:rFonts w:eastAsia="Times New Roman" w:cs="Times New Roman"/>
          <w:color w:val="4A4A4A"/>
          <w:sz w:val="21"/>
          <w:szCs w:val="21"/>
          <w:lang w:eastAsia="en-GB"/>
        </w:rPr>
      </w:pPr>
    </w:p>
    <w:p w14:paraId="28C5EFB4"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References</w:t>
      </w:r>
    </w:p>
    <w:p w14:paraId="5342EA94" w14:textId="77777777" w:rsidR="00803CF1" w:rsidRDefault="00803CF1" w:rsidP="00573631">
      <w:pPr>
        <w:shd w:val="clear" w:color="auto" w:fill="FFFFFF"/>
        <w:spacing w:after="0"/>
        <w:rPr>
          <w:rFonts w:eastAsia="Times New Roman" w:cs="Times New Roman"/>
          <w:b/>
          <w:bCs/>
          <w:color w:val="4A4A4A"/>
          <w:sz w:val="21"/>
          <w:szCs w:val="21"/>
          <w:lang w:eastAsia="en-GB"/>
        </w:rPr>
      </w:pPr>
    </w:p>
    <w:p w14:paraId="492DFFB7" w14:textId="1E10ACE0" w:rsidR="0058556D" w:rsidRPr="00573631"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URL</w:t>
      </w:r>
      <w:r w:rsidR="00DD47E8">
        <w:rPr>
          <w:rFonts w:eastAsia="Times New Roman" w:cs="Times New Roman"/>
          <w:b/>
          <w:bCs/>
          <w:color w:val="4A4A4A"/>
          <w:sz w:val="21"/>
          <w:szCs w:val="21"/>
          <w:lang w:eastAsia="en-GB"/>
        </w:rPr>
        <w:t xml:space="preserve">: </w:t>
      </w:r>
      <w:hyperlink r:id="rId22" w:history="1">
        <w:r w:rsidR="00DD47E8" w:rsidRPr="00DD47E8">
          <w:rPr>
            <w:rStyle w:val="Hyperlink"/>
            <w:rFonts w:eastAsia="Times New Roman" w:cs="Times New Roman"/>
            <w:b/>
            <w:bCs/>
            <w:sz w:val="21"/>
            <w:szCs w:val="21"/>
            <w:lang w:eastAsia="en-GB"/>
          </w:rPr>
          <w:t>missingmigrants.iom.int</w:t>
        </w:r>
      </w:hyperlink>
    </w:p>
    <w:p w14:paraId="04B7E20E"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7E467140" w14:textId="3B49B7D6" w:rsidR="00DD47E8" w:rsidRDefault="0058556D" w:rsidP="00573631">
      <w:pPr>
        <w:shd w:val="clear" w:color="auto" w:fill="FFFFFF"/>
        <w:spacing w:after="0"/>
        <w:rPr>
          <w:rFonts w:eastAsia="Times New Roman" w:cs="Times New Roman"/>
          <w:color w:val="4A4A4A"/>
          <w:sz w:val="21"/>
          <w:szCs w:val="21"/>
          <w:lang w:eastAsia="en-GB"/>
        </w:rPr>
      </w:pPr>
      <w:r w:rsidRPr="00573631">
        <w:rPr>
          <w:rFonts w:eastAsia="Times New Roman" w:cs="Times New Roman"/>
          <w:b/>
          <w:bCs/>
          <w:color w:val="4A4A4A"/>
          <w:sz w:val="21"/>
          <w:szCs w:val="21"/>
          <w:lang w:eastAsia="en-GB"/>
        </w:rPr>
        <w:t>References:</w:t>
      </w:r>
      <w:r w:rsidR="00DD47E8">
        <w:rPr>
          <w:rFonts w:eastAsia="Times New Roman" w:cs="Times New Roman"/>
          <w:b/>
          <w:bCs/>
          <w:color w:val="4A4A4A"/>
          <w:sz w:val="21"/>
          <w:szCs w:val="21"/>
          <w:lang w:eastAsia="en-GB"/>
        </w:rPr>
        <w:t xml:space="preserve"> </w:t>
      </w:r>
    </w:p>
    <w:p w14:paraId="1D67ED02" w14:textId="161E6E01" w:rsidR="0058556D" w:rsidRPr="00233DFF" w:rsidRDefault="00DD47E8" w:rsidP="00233DFF">
      <w:pPr>
        <w:pStyle w:val="ListParagraph"/>
        <w:numPr>
          <w:ilvl w:val="0"/>
          <w:numId w:val="4"/>
        </w:numPr>
        <w:shd w:val="clear" w:color="auto" w:fill="FFFFFF"/>
        <w:spacing w:after="0"/>
        <w:rPr>
          <w:rFonts w:eastAsia="Times New Roman" w:cs="Times New Roman"/>
          <w:color w:val="4A4A4A"/>
          <w:sz w:val="21"/>
          <w:szCs w:val="21"/>
          <w:lang w:eastAsia="en-GB"/>
        </w:rPr>
      </w:pPr>
      <w:r w:rsidRPr="00233DFF">
        <w:rPr>
          <w:rFonts w:eastAsia="Times New Roman" w:cs="Times New Roman"/>
          <w:color w:val="4A4A4A"/>
          <w:sz w:val="21"/>
          <w:szCs w:val="21"/>
          <w:lang w:eastAsia="en-GB"/>
        </w:rPr>
        <w:t xml:space="preserve">Singleton, A., F. </w:t>
      </w:r>
      <w:proofErr w:type="spellStart"/>
      <w:r w:rsidRPr="00233DFF">
        <w:rPr>
          <w:rFonts w:eastAsia="Times New Roman" w:cs="Times New Roman"/>
          <w:color w:val="4A4A4A"/>
          <w:sz w:val="21"/>
          <w:szCs w:val="21"/>
          <w:lang w:eastAsia="en-GB"/>
        </w:rPr>
        <w:t>Laczko</w:t>
      </w:r>
      <w:proofErr w:type="spellEnd"/>
      <w:r w:rsidRPr="00233DFF">
        <w:rPr>
          <w:rFonts w:eastAsia="Times New Roman" w:cs="Times New Roman"/>
          <w:color w:val="4A4A4A"/>
          <w:sz w:val="21"/>
          <w:szCs w:val="21"/>
          <w:lang w:eastAsia="en-GB"/>
        </w:rPr>
        <w:t xml:space="preserve"> and J. Black (2017) </w:t>
      </w:r>
      <w:hyperlink r:id="rId23" w:history="1">
        <w:r w:rsidRPr="00233DFF">
          <w:rPr>
            <w:rStyle w:val="Hyperlink"/>
            <w:rFonts w:eastAsia="Times New Roman" w:cs="Times New Roman"/>
            <w:sz w:val="21"/>
            <w:szCs w:val="21"/>
            <w:lang w:eastAsia="en-GB"/>
          </w:rPr>
          <w:t>Measuring unsafe migration: the challenge of collecting accurate data on migrant fatalities</w:t>
        </w:r>
      </w:hyperlink>
      <w:r w:rsidRPr="00233DFF">
        <w:rPr>
          <w:rFonts w:eastAsia="Times New Roman" w:cs="Times New Roman"/>
          <w:color w:val="4A4A4A"/>
          <w:sz w:val="21"/>
          <w:szCs w:val="21"/>
          <w:lang w:eastAsia="en-GB"/>
        </w:rPr>
        <w:t xml:space="preserve">. In </w:t>
      </w:r>
      <w:r w:rsidRPr="00233DFF">
        <w:rPr>
          <w:rFonts w:eastAsia="Times New Roman" w:cs="Times New Roman"/>
          <w:i/>
          <w:iCs/>
          <w:color w:val="4A4A4A"/>
          <w:sz w:val="21"/>
          <w:szCs w:val="21"/>
          <w:lang w:eastAsia="en-GB"/>
        </w:rPr>
        <w:t>Migration Policy Practice</w:t>
      </w:r>
      <w:r w:rsidRPr="00233DFF">
        <w:rPr>
          <w:rFonts w:eastAsia="Times New Roman" w:cs="Times New Roman"/>
          <w:color w:val="4A4A4A"/>
          <w:sz w:val="21"/>
          <w:szCs w:val="21"/>
          <w:lang w:eastAsia="en-GB"/>
        </w:rPr>
        <w:t xml:space="preserve"> VII:4-9.</w:t>
      </w:r>
    </w:p>
    <w:p w14:paraId="286EC700" w14:textId="3F9F8860" w:rsidR="00DD47E8" w:rsidRPr="00233DFF" w:rsidRDefault="00DD47E8" w:rsidP="00233DFF">
      <w:pPr>
        <w:pStyle w:val="ListParagraph"/>
        <w:numPr>
          <w:ilvl w:val="0"/>
          <w:numId w:val="4"/>
        </w:numPr>
        <w:shd w:val="clear" w:color="auto" w:fill="FFFFFF"/>
        <w:spacing w:after="0"/>
        <w:rPr>
          <w:rFonts w:eastAsia="Times New Roman" w:cs="Times New Roman"/>
          <w:color w:val="4A4A4A"/>
          <w:sz w:val="21"/>
          <w:szCs w:val="21"/>
          <w:lang w:eastAsia="en-GB"/>
        </w:rPr>
      </w:pPr>
      <w:r w:rsidRPr="00233DFF">
        <w:rPr>
          <w:rFonts w:eastAsia="Times New Roman" w:cs="Times New Roman"/>
          <w:color w:val="4A4A4A"/>
          <w:sz w:val="21"/>
          <w:szCs w:val="21"/>
          <w:lang w:eastAsia="en-GB"/>
        </w:rPr>
        <w:t xml:space="preserve">See full list of publications at </w:t>
      </w:r>
      <w:hyperlink r:id="rId24" w:history="1">
        <w:r w:rsidRPr="00233DFF">
          <w:rPr>
            <w:rStyle w:val="Hyperlink"/>
            <w:rFonts w:eastAsia="Times New Roman" w:cs="Times New Roman"/>
            <w:sz w:val="21"/>
            <w:szCs w:val="21"/>
            <w:lang w:eastAsia="en-GB"/>
          </w:rPr>
          <w:t>mmp.iom.int/publications</w:t>
        </w:r>
      </w:hyperlink>
      <w:r w:rsidRPr="00233DFF">
        <w:rPr>
          <w:rFonts w:eastAsia="Times New Roman" w:cs="Times New Roman"/>
          <w:color w:val="4A4A4A"/>
          <w:sz w:val="21"/>
          <w:szCs w:val="21"/>
          <w:lang w:eastAsia="en-GB"/>
        </w:rPr>
        <w:t>.</w:t>
      </w:r>
    </w:p>
    <w:p w14:paraId="36FC28DD"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p w14:paraId="02B8768A" w14:textId="77777777" w:rsidR="0058556D" w:rsidRPr="00573631" w:rsidRDefault="0058556D" w:rsidP="00573631">
      <w:pPr>
        <w:pBdr>
          <w:bottom w:val="single" w:sz="12" w:space="4" w:color="DDDDDD"/>
        </w:pBdr>
        <w:shd w:val="clear" w:color="auto" w:fill="FFFFFF"/>
        <w:spacing w:after="0"/>
        <w:outlineLvl w:val="2"/>
        <w:rPr>
          <w:rFonts w:eastAsia="Times New Roman" w:cs="Times New Roman"/>
          <w:color w:val="1C75BC"/>
          <w:sz w:val="36"/>
          <w:szCs w:val="36"/>
          <w:lang w:eastAsia="en-GB"/>
        </w:rPr>
      </w:pPr>
      <w:r w:rsidRPr="00573631">
        <w:rPr>
          <w:rFonts w:eastAsia="Times New Roman" w:cs="Times New Roman"/>
          <w:color w:val="1C75BC"/>
          <w:sz w:val="36"/>
          <w:szCs w:val="36"/>
          <w:lang w:eastAsia="en-GB"/>
        </w:rPr>
        <w:t>Related indicators</w:t>
      </w:r>
    </w:p>
    <w:p w14:paraId="7EBAC768" w14:textId="77777777" w:rsidR="00DD47E8" w:rsidRPr="003F25B1" w:rsidRDefault="00DD47E8" w:rsidP="00233DFF">
      <w:pPr>
        <w:shd w:val="clear" w:color="auto" w:fill="FFFFFF"/>
        <w:spacing w:after="0"/>
        <w:jc w:val="both"/>
        <w:rPr>
          <w:rFonts w:eastAsia="Times New Roman" w:cs="Times New Roman"/>
          <w:color w:val="4A4A4A"/>
          <w:sz w:val="21"/>
          <w:szCs w:val="21"/>
          <w:lang w:eastAsia="en-GB"/>
        </w:rPr>
      </w:pPr>
      <w:r w:rsidRPr="003F25B1">
        <w:rPr>
          <w:rFonts w:eastAsia="Times New Roman" w:cs="Times New Roman"/>
          <w:color w:val="4A4A4A"/>
          <w:sz w:val="21"/>
          <w:szCs w:val="21"/>
          <w:lang w:eastAsia="en-GB"/>
        </w:rPr>
        <w:t xml:space="preserve">Indicator 10.7.2 is complementary to several related SDGs indicators. These include, but are not limited to: </w:t>
      </w:r>
    </w:p>
    <w:p w14:paraId="2EA1E2C3" w14:textId="77777777" w:rsidR="00DD47E8" w:rsidRPr="00DD47E8" w:rsidRDefault="00DD47E8" w:rsidP="00766C31">
      <w:pPr>
        <w:pStyle w:val="ListParagraph"/>
        <w:numPr>
          <w:ilvl w:val="1"/>
          <w:numId w:val="3"/>
        </w:numPr>
        <w:shd w:val="clear" w:color="auto" w:fill="FFFFFF"/>
        <w:spacing w:after="0"/>
        <w:rPr>
          <w:rFonts w:eastAsia="Times New Roman" w:cs="Times New Roman"/>
          <w:color w:val="4A4A4A"/>
          <w:sz w:val="21"/>
          <w:szCs w:val="21"/>
          <w:lang w:eastAsia="en-GB"/>
        </w:rPr>
      </w:pPr>
      <w:r w:rsidRPr="00766C31">
        <w:rPr>
          <w:color w:val="4A4A4A"/>
          <w:sz w:val="21"/>
        </w:rPr>
        <w:t xml:space="preserve">Indicator 8.8.1 “Frequency rates of fatal and non-fatal occupational injuries, by sex and migrant status”; </w:t>
      </w:r>
    </w:p>
    <w:p w14:paraId="5721CA6F" w14:textId="77777777" w:rsidR="00DD47E8" w:rsidRPr="00DD47E8" w:rsidRDefault="00DD47E8" w:rsidP="00766C31">
      <w:pPr>
        <w:pStyle w:val="ListParagraph"/>
        <w:numPr>
          <w:ilvl w:val="1"/>
          <w:numId w:val="3"/>
        </w:numPr>
        <w:shd w:val="clear" w:color="auto" w:fill="FFFFFF"/>
        <w:spacing w:after="0"/>
        <w:rPr>
          <w:rFonts w:eastAsia="Times New Roman" w:cs="Times New Roman"/>
          <w:color w:val="4A4A4A"/>
          <w:sz w:val="21"/>
          <w:szCs w:val="21"/>
          <w:lang w:eastAsia="en-GB"/>
        </w:rPr>
      </w:pPr>
      <w:r w:rsidRPr="00766C31">
        <w:rPr>
          <w:color w:val="4A4A4A"/>
          <w:sz w:val="21"/>
        </w:rPr>
        <w:t xml:space="preserve">Indicator 8.8.2. “Level of national compliance of labour rights (freedom of association and collective bargaining) based on International Labour Organization (ILO) textual sources and national legislation, by sex and migrant status”; </w:t>
      </w:r>
    </w:p>
    <w:p w14:paraId="3BE803A7" w14:textId="77777777" w:rsidR="00DD47E8" w:rsidRPr="00DD47E8" w:rsidRDefault="00DD47E8" w:rsidP="00766C31">
      <w:pPr>
        <w:pStyle w:val="ListParagraph"/>
        <w:numPr>
          <w:ilvl w:val="1"/>
          <w:numId w:val="3"/>
        </w:numPr>
        <w:shd w:val="clear" w:color="auto" w:fill="FFFFFF"/>
        <w:spacing w:after="0"/>
        <w:rPr>
          <w:rFonts w:eastAsia="Times New Roman" w:cs="Times New Roman"/>
          <w:color w:val="4A4A4A"/>
          <w:sz w:val="21"/>
          <w:szCs w:val="21"/>
          <w:lang w:eastAsia="en-GB"/>
        </w:rPr>
      </w:pPr>
      <w:r w:rsidRPr="00766C31">
        <w:rPr>
          <w:color w:val="4A4A4A"/>
          <w:sz w:val="21"/>
        </w:rPr>
        <w:t>Indicator 10.7.1. “Recruitment cost borne by employee as a proportion of yearly income earned in country of destination”;</w:t>
      </w:r>
    </w:p>
    <w:p w14:paraId="5E84C48E" w14:textId="2741699F" w:rsidR="00DD47E8" w:rsidRPr="00DD47E8" w:rsidRDefault="00DD47E8" w:rsidP="00766C31">
      <w:pPr>
        <w:pStyle w:val="ListParagraph"/>
        <w:numPr>
          <w:ilvl w:val="1"/>
          <w:numId w:val="3"/>
        </w:numPr>
        <w:shd w:val="clear" w:color="auto" w:fill="FFFFFF"/>
        <w:spacing w:after="0"/>
        <w:rPr>
          <w:rFonts w:eastAsia="Times New Roman" w:cs="Times New Roman"/>
          <w:color w:val="4A4A4A"/>
          <w:sz w:val="21"/>
          <w:szCs w:val="21"/>
          <w:lang w:eastAsia="en-GB"/>
        </w:rPr>
      </w:pPr>
      <w:r w:rsidRPr="00766C31">
        <w:rPr>
          <w:color w:val="4A4A4A"/>
          <w:sz w:val="21"/>
        </w:rPr>
        <w:t>Indicator 10.c.1 “Remittance costs as a proportion of the amount remitted”</w:t>
      </w:r>
    </w:p>
    <w:p w14:paraId="43F3D3FF" w14:textId="663FA9CF" w:rsidR="00803CF1" w:rsidRPr="00DD47E8" w:rsidRDefault="00DD47E8" w:rsidP="00233DFF">
      <w:pPr>
        <w:shd w:val="clear" w:color="auto" w:fill="FFFFFF"/>
        <w:spacing w:after="0"/>
        <w:jc w:val="both"/>
        <w:rPr>
          <w:rFonts w:eastAsia="Times New Roman" w:cs="Times New Roman"/>
          <w:color w:val="4A4A4A"/>
          <w:sz w:val="21"/>
          <w:szCs w:val="21"/>
          <w:lang w:eastAsia="en-GB"/>
        </w:rPr>
      </w:pPr>
      <w:r w:rsidRPr="00766C31">
        <w:rPr>
          <w:color w:val="4A4A4A"/>
          <w:sz w:val="21"/>
        </w:rPr>
        <w:t>Indicator 10.7.</w:t>
      </w:r>
      <w:r w:rsidRPr="003F25B1">
        <w:rPr>
          <w:rFonts w:eastAsia="Times New Roman" w:cs="Times New Roman"/>
          <w:color w:val="4A4A4A"/>
          <w:sz w:val="21"/>
          <w:szCs w:val="21"/>
          <w:lang w:eastAsia="en-GB"/>
        </w:rPr>
        <w:t>2</w:t>
      </w:r>
      <w:r w:rsidRPr="00766C31">
        <w:rPr>
          <w:color w:val="4A4A4A"/>
          <w:sz w:val="21"/>
        </w:rPr>
        <w:t xml:space="preserve"> is also complementary to other national migration monitoring frameworks, including IOM’s</w:t>
      </w:r>
      <w:r>
        <w:t xml:space="preserve"> </w:t>
      </w:r>
      <w:hyperlink r:id="rId25" w:history="1">
        <w:r w:rsidRPr="00233DFF">
          <w:rPr>
            <w:rStyle w:val="Hyperlink"/>
          </w:rPr>
          <w:t>Migration Governance Indicators</w:t>
        </w:r>
      </w:hyperlink>
      <w:r w:rsidR="00233DFF">
        <w:t xml:space="preserve"> </w:t>
      </w:r>
      <w:r w:rsidR="00233DFF" w:rsidRPr="00766C31">
        <w:rPr>
          <w:color w:val="4A4A4A"/>
          <w:sz w:val="21"/>
        </w:rPr>
        <w:t>(MGI)</w:t>
      </w:r>
      <w:r w:rsidRPr="00766C31">
        <w:rPr>
          <w:color w:val="4A4A4A"/>
          <w:sz w:val="21"/>
        </w:rPr>
        <w:t xml:space="preserve">. The MGI operates as a policy benchmarking </w:t>
      </w:r>
      <w:r w:rsidR="00233DFF" w:rsidRPr="00766C31">
        <w:rPr>
          <w:color w:val="4A4A4A"/>
          <w:sz w:val="21"/>
        </w:rPr>
        <w:t xml:space="preserve">framework </w:t>
      </w:r>
      <w:r w:rsidRPr="00766C31">
        <w:rPr>
          <w:color w:val="4A4A4A"/>
          <w:sz w:val="21"/>
        </w:rPr>
        <w:t>and offers insights into policy levers that countries could use to further develop their migration governance. It contains nearly 90 questions with regards to countries’ national migration policies, which fall under the same six domains as indicator 10.7.2.</w:t>
      </w:r>
    </w:p>
    <w:p w14:paraId="7C18B945" w14:textId="77777777" w:rsidR="0058556D" w:rsidRPr="00573631" w:rsidRDefault="0058556D" w:rsidP="00573631">
      <w:pPr>
        <w:shd w:val="clear" w:color="auto" w:fill="FFFFFF"/>
        <w:spacing w:after="0"/>
        <w:rPr>
          <w:rFonts w:eastAsia="Times New Roman" w:cs="Times New Roman"/>
          <w:color w:val="4A4A4A"/>
          <w:sz w:val="21"/>
          <w:szCs w:val="21"/>
          <w:lang w:eastAsia="en-GB"/>
        </w:rPr>
      </w:pPr>
    </w:p>
    <w:sectPr w:rsidR="0058556D" w:rsidRPr="00573631">
      <w:headerReference w:type="default" r:id="rId26"/>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B8785F" w14:textId="77777777" w:rsidR="00645AB3" w:rsidRDefault="00645AB3" w:rsidP="00573C0B">
      <w:pPr>
        <w:spacing w:after="0" w:line="240" w:lineRule="auto"/>
      </w:pPr>
      <w:r>
        <w:separator/>
      </w:r>
    </w:p>
  </w:endnote>
  <w:endnote w:type="continuationSeparator" w:id="0">
    <w:p w14:paraId="04A60D39" w14:textId="77777777" w:rsidR="00645AB3" w:rsidRDefault="00645AB3" w:rsidP="00573C0B">
      <w:pPr>
        <w:spacing w:after="0" w:line="240" w:lineRule="auto"/>
      </w:pPr>
      <w:r>
        <w:continuationSeparator/>
      </w:r>
    </w:p>
  </w:endnote>
  <w:endnote w:type="continuationNotice" w:id="1">
    <w:p w14:paraId="0899E787" w14:textId="77777777" w:rsidR="00645AB3" w:rsidRDefault="00645AB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B6D599" w14:textId="77777777" w:rsidR="00645AB3" w:rsidRDefault="00645AB3" w:rsidP="00573C0B">
      <w:pPr>
        <w:spacing w:after="0" w:line="240" w:lineRule="auto"/>
      </w:pPr>
      <w:r>
        <w:separator/>
      </w:r>
    </w:p>
  </w:footnote>
  <w:footnote w:type="continuationSeparator" w:id="0">
    <w:p w14:paraId="5629A0C2" w14:textId="77777777" w:rsidR="00645AB3" w:rsidRDefault="00645AB3" w:rsidP="00573C0B">
      <w:pPr>
        <w:spacing w:after="0" w:line="240" w:lineRule="auto"/>
      </w:pPr>
      <w:r>
        <w:continuationSeparator/>
      </w:r>
    </w:p>
  </w:footnote>
  <w:footnote w:type="continuationNotice" w:id="1">
    <w:p w14:paraId="7572025A" w14:textId="77777777" w:rsidR="00645AB3" w:rsidRDefault="00645AB3">
      <w:pPr>
        <w:spacing w:after="0" w:line="240" w:lineRule="auto"/>
      </w:pPr>
    </w:p>
  </w:footnote>
  <w:footnote w:id="2">
    <w:p w14:paraId="31F6FA78" w14:textId="1B813449" w:rsidR="00033A51" w:rsidRPr="00703B15" w:rsidRDefault="00033A51" w:rsidP="00703B15">
      <w:pPr>
        <w:rPr>
          <w:rFonts w:eastAsia="Times New Roman" w:cs="Times New Roman"/>
          <w:color w:val="4A4A4A"/>
          <w:sz w:val="21"/>
          <w:szCs w:val="21"/>
          <w:lang w:eastAsia="en-GB"/>
        </w:rPr>
      </w:pPr>
      <w:r>
        <w:rPr>
          <w:rStyle w:val="FootnoteReference"/>
        </w:rPr>
        <w:footnoteRef/>
      </w:r>
      <w:r>
        <w:t xml:space="preserve"> </w:t>
      </w:r>
      <w:r w:rsidRPr="00703B15">
        <w:rPr>
          <w:rFonts w:eastAsia="Times New Roman" w:cs="Times New Roman"/>
          <w:color w:val="4A4A4A"/>
          <w:sz w:val="21"/>
          <w:szCs w:val="21"/>
          <w:lang w:eastAsia="en-GB"/>
        </w:rPr>
        <w:t>In some cases, official statistics are not disaggregated b</w:t>
      </w:r>
      <w:r>
        <w:rPr>
          <w:rFonts w:eastAsia="Times New Roman" w:cs="Times New Roman"/>
          <w:color w:val="4A4A4A"/>
          <w:sz w:val="21"/>
          <w:szCs w:val="21"/>
          <w:lang w:eastAsia="en-GB"/>
        </w:rPr>
        <w:t xml:space="preserve">y </w:t>
      </w:r>
      <w:r w:rsidRPr="00703B15">
        <w:rPr>
          <w:rFonts w:eastAsia="Times New Roman" w:cs="Times New Roman"/>
          <w:color w:val="4A4A4A"/>
          <w:sz w:val="21"/>
          <w:szCs w:val="21"/>
          <w:lang w:eastAsia="en-GB"/>
        </w:rPr>
        <w:t>incident, in which case the entry will be marked as a “cumulative total.”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okmarkStart w:id="3" w:name="_Hlk506197003"/>
  <w:bookmarkStart w:id="4" w:name="_Hlk506197004"/>
  <w:bookmarkStart w:id="5" w:name="_Hlk506197005"/>
  <w:bookmarkStart w:id="6" w:name="_Hlk516233502"/>
  <w:bookmarkStart w:id="7" w:name="_Hlk516233503"/>
  <w:bookmarkStart w:id="8" w:name="_Hlk516233504"/>
  <w:p w14:paraId="3FDD5D76" w14:textId="1F330A80" w:rsidR="00033A51" w:rsidRPr="00757E8A" w:rsidRDefault="00CC6C2F" w:rsidP="00077F46">
    <w:pPr>
      <w:pStyle w:val="Header"/>
      <w:jc w:val="right"/>
      <w:rPr>
        <w:color w:val="404040" w:themeColor="text1" w:themeTint="BF"/>
        <w:sz w:val="18"/>
        <w:szCs w:val="18"/>
      </w:rPr>
    </w:pPr>
    <w:r>
      <w:rPr>
        <w:noProof/>
        <w:color w:val="404040" w:themeColor="text1" w:themeTint="BF"/>
        <w:sz w:val="18"/>
        <w:szCs w:val="18"/>
      </w:rPr>
      <mc:AlternateContent>
        <mc:Choice Requires="wps">
          <w:drawing>
            <wp:anchor distT="0" distB="0" distL="114300" distR="114300" simplePos="0" relativeHeight="251659264" behindDoc="0" locked="0" layoutInCell="0" allowOverlap="1" wp14:anchorId="679967CB" wp14:editId="018F0B03">
              <wp:simplePos x="0" y="0"/>
              <wp:positionH relativeFrom="page">
                <wp:posOffset>0</wp:posOffset>
              </wp:positionH>
              <wp:positionV relativeFrom="page">
                <wp:posOffset>190500</wp:posOffset>
              </wp:positionV>
              <wp:extent cx="7560310" cy="273050"/>
              <wp:effectExtent l="0" t="0" r="0" b="12700"/>
              <wp:wrapNone/>
              <wp:docPr id="2" name="MSIPCM53844937b57c3e95d9c8aace" descr="{&quot;HashCode&quot;:-2061535456,&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3A1C1464" w14:textId="5E2540BF" w:rsidR="00CC6C2F" w:rsidRPr="00CC6C2F" w:rsidRDefault="00CC6C2F" w:rsidP="00CC6C2F">
                          <w:pPr>
                            <w:spacing w:after="0"/>
                            <w:rPr>
                              <w:rFonts w:ascii="Calibri" w:hAnsi="Calibri" w:cs="Calibri"/>
                              <w:color w:val="A80000"/>
                              <w:sz w:val="20"/>
                            </w:rPr>
                          </w:pP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679967CB" id="_x0000_t202" coordsize="21600,21600" o:spt="202" path="m,l,21600r21600,l21600,xe">
              <v:stroke joinstyle="miter"/>
              <v:path gradientshapeok="t" o:connecttype="rect"/>
            </v:shapetype>
            <v:shape id="MSIPCM53844937b57c3e95d9c8aace" o:spid="_x0000_s1026" type="#_x0000_t202" alt="{&quot;HashCode&quot;:-2061535456,&quot;Height&quot;:841.0,&quot;Width&quot;:595.0,&quot;Placement&quot;:&quot;Header&quot;,&quot;Index&quot;:&quot;Primary&quot;,&quot;Section&quot;:1,&quot;Top&quot;:0.0,&quot;Left&quot;:0.0}" style="position:absolute;left:0;text-align:left;margin-left:0;margin-top:15pt;width:595.3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" o:allowincell="f" filled="f" stroked="f" strokeweight=".5pt">
              <v:textbox inset="20pt,0,,0">
                <w:txbxContent>
                  <w:p w14:paraId="3A1C1464" w14:textId="5E2540BF" w:rsidR="00CC6C2F" w:rsidRPr="00CC6C2F" w:rsidRDefault="00CC6C2F" w:rsidP="00CC6C2F">
                    <w:pPr>
                      <w:spacing w:after="0"/>
                      <w:rPr>
                        <w:rFonts w:ascii="Calibri" w:hAnsi="Calibri" w:cs="Calibri"/>
                        <w:color w:val="A80000"/>
                        <w:sz w:val="20"/>
                      </w:rPr>
                    </w:pPr>
                  </w:p>
                </w:txbxContent>
              </v:textbox>
              <w10:wrap anchorx="page" anchory="page"/>
            </v:shape>
          </w:pict>
        </mc:Fallback>
      </mc:AlternateContent>
    </w:r>
    <w:r w:rsidR="00033A51" w:rsidRPr="00757E8A">
      <w:rPr>
        <w:color w:val="404040" w:themeColor="text1" w:themeTint="BF"/>
        <w:sz w:val="18"/>
        <w:szCs w:val="18"/>
      </w:rPr>
      <w:t xml:space="preserve">Last updated: </w:t>
    </w:r>
    <w:bookmarkEnd w:id="3"/>
    <w:bookmarkEnd w:id="4"/>
    <w:bookmarkEnd w:id="5"/>
    <w:bookmarkEnd w:id="6"/>
    <w:bookmarkEnd w:id="7"/>
    <w:bookmarkEnd w:id="8"/>
    <w:r w:rsidR="00EE14BB">
      <w:rPr>
        <w:color w:val="404040" w:themeColor="text1" w:themeTint="BF"/>
        <w:sz w:val="18"/>
        <w:szCs w:val="18"/>
      </w:rPr>
      <w:t>March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E7C7C"/>
    <w:multiLevelType w:val="hybridMultilevel"/>
    <w:tmpl w:val="E26873B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 w15:restartNumberingAfterBreak="0">
    <w:nsid w:val="09F80F73"/>
    <w:multiLevelType w:val="hybridMultilevel"/>
    <w:tmpl w:val="B2A6049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 w15:restartNumberingAfterBreak="0">
    <w:nsid w:val="1788661A"/>
    <w:multiLevelType w:val="hybridMultilevel"/>
    <w:tmpl w:val="7624A74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3" w15:restartNumberingAfterBreak="0">
    <w:nsid w:val="2328690C"/>
    <w:multiLevelType w:val="hybridMultilevel"/>
    <w:tmpl w:val="87DA5C06"/>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4" w15:restartNumberingAfterBreak="0">
    <w:nsid w:val="23715904"/>
    <w:multiLevelType w:val="hybridMultilevel"/>
    <w:tmpl w:val="910262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50454D4"/>
    <w:multiLevelType w:val="hybridMultilevel"/>
    <w:tmpl w:val="FC18EB7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6" w15:restartNumberingAfterBreak="0">
    <w:nsid w:val="2D293CEE"/>
    <w:multiLevelType w:val="hybridMultilevel"/>
    <w:tmpl w:val="0F06B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48D4DFF"/>
    <w:multiLevelType w:val="hybridMultilevel"/>
    <w:tmpl w:val="F37429C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8" w15:restartNumberingAfterBreak="0">
    <w:nsid w:val="35677FC8"/>
    <w:multiLevelType w:val="hybridMultilevel"/>
    <w:tmpl w:val="ACC0B66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9" w15:restartNumberingAfterBreak="0">
    <w:nsid w:val="3A2606F7"/>
    <w:multiLevelType w:val="hybridMultilevel"/>
    <w:tmpl w:val="EA009A8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0" w15:restartNumberingAfterBreak="0">
    <w:nsid w:val="3CA70803"/>
    <w:multiLevelType w:val="hybridMultilevel"/>
    <w:tmpl w:val="05ACE02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1" w15:restartNumberingAfterBreak="0">
    <w:nsid w:val="3F5139C2"/>
    <w:multiLevelType w:val="hybridMultilevel"/>
    <w:tmpl w:val="FEFEF2C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2" w15:restartNumberingAfterBreak="0">
    <w:nsid w:val="4359651B"/>
    <w:multiLevelType w:val="hybridMultilevel"/>
    <w:tmpl w:val="EB8E2B2E"/>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3" w15:restartNumberingAfterBreak="0">
    <w:nsid w:val="545344F4"/>
    <w:multiLevelType w:val="multilevel"/>
    <w:tmpl w:val="2AF8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AB4A58"/>
    <w:multiLevelType w:val="hybridMultilevel"/>
    <w:tmpl w:val="ADC4A522"/>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5" w15:restartNumberingAfterBreak="0">
    <w:nsid w:val="70096672"/>
    <w:multiLevelType w:val="hybridMultilevel"/>
    <w:tmpl w:val="84A4F9BA"/>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6" w15:restartNumberingAfterBreak="0">
    <w:nsid w:val="70646DB4"/>
    <w:multiLevelType w:val="hybridMultilevel"/>
    <w:tmpl w:val="DA0A489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7" w15:restartNumberingAfterBreak="0">
    <w:nsid w:val="72C8358A"/>
    <w:multiLevelType w:val="hybridMultilevel"/>
    <w:tmpl w:val="70BEC94C"/>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18" w15:restartNumberingAfterBreak="0">
    <w:nsid w:val="79532FB5"/>
    <w:multiLevelType w:val="hybridMultilevel"/>
    <w:tmpl w:val="E6804712"/>
    <w:lvl w:ilvl="0" w:tplc="08090001">
      <w:start w:val="1"/>
      <w:numFmt w:val="bullet"/>
      <w:lvlText w:val=""/>
      <w:lvlJc w:val="left"/>
      <w:pPr>
        <w:ind w:left="720" w:hanging="360"/>
      </w:pPr>
      <w:rPr>
        <w:rFonts w:ascii="Symbol" w:hAnsi="Symbol" w:hint="default"/>
      </w:rPr>
    </w:lvl>
    <w:lvl w:ilvl="1" w:tplc="DF205524">
      <w:numFmt w:val="bullet"/>
      <w:lvlText w:val="•"/>
      <w:lvlJc w:val="left"/>
      <w:pPr>
        <w:ind w:left="1440" w:hanging="360"/>
      </w:pPr>
      <w:rPr>
        <w:rFonts w:ascii="Calibri" w:eastAsiaTheme="minorEastAsia" w:hAnsi="Calibri" w:cs="Calibri" w:hint="default"/>
        <w:color w:val="auto"/>
        <w:sz w:val="22"/>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BD91139"/>
    <w:multiLevelType w:val="hybridMultilevel"/>
    <w:tmpl w:val="C23ACBB4"/>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abstractNum w:abstractNumId="20" w15:restartNumberingAfterBreak="0">
    <w:nsid w:val="7E973B10"/>
    <w:multiLevelType w:val="hybridMultilevel"/>
    <w:tmpl w:val="BE0C7258"/>
    <w:lvl w:ilvl="0" w:tplc="34090001">
      <w:start w:val="1"/>
      <w:numFmt w:val="bullet"/>
      <w:lvlText w:val=""/>
      <w:lvlJc w:val="left"/>
      <w:pPr>
        <w:ind w:left="360" w:hanging="360"/>
      </w:pPr>
      <w:rPr>
        <w:rFonts w:ascii="Symbol" w:hAnsi="Symbol" w:hint="default"/>
      </w:rPr>
    </w:lvl>
    <w:lvl w:ilvl="1" w:tplc="34090003" w:tentative="1">
      <w:start w:val="1"/>
      <w:numFmt w:val="bullet"/>
      <w:lvlText w:val="o"/>
      <w:lvlJc w:val="left"/>
      <w:pPr>
        <w:ind w:left="1080" w:hanging="360"/>
      </w:pPr>
      <w:rPr>
        <w:rFonts w:ascii="Courier New" w:hAnsi="Courier New" w:cs="Courier New" w:hint="default"/>
      </w:rPr>
    </w:lvl>
    <w:lvl w:ilvl="2" w:tplc="34090005" w:tentative="1">
      <w:start w:val="1"/>
      <w:numFmt w:val="bullet"/>
      <w:lvlText w:val=""/>
      <w:lvlJc w:val="left"/>
      <w:pPr>
        <w:ind w:left="1800" w:hanging="360"/>
      </w:pPr>
      <w:rPr>
        <w:rFonts w:ascii="Wingdings" w:hAnsi="Wingdings" w:hint="default"/>
      </w:rPr>
    </w:lvl>
    <w:lvl w:ilvl="3" w:tplc="34090001" w:tentative="1">
      <w:start w:val="1"/>
      <w:numFmt w:val="bullet"/>
      <w:lvlText w:val=""/>
      <w:lvlJc w:val="left"/>
      <w:pPr>
        <w:ind w:left="2520" w:hanging="360"/>
      </w:pPr>
      <w:rPr>
        <w:rFonts w:ascii="Symbol" w:hAnsi="Symbol" w:hint="default"/>
      </w:rPr>
    </w:lvl>
    <w:lvl w:ilvl="4" w:tplc="34090003" w:tentative="1">
      <w:start w:val="1"/>
      <w:numFmt w:val="bullet"/>
      <w:lvlText w:val="o"/>
      <w:lvlJc w:val="left"/>
      <w:pPr>
        <w:ind w:left="3240" w:hanging="360"/>
      </w:pPr>
      <w:rPr>
        <w:rFonts w:ascii="Courier New" w:hAnsi="Courier New" w:cs="Courier New" w:hint="default"/>
      </w:rPr>
    </w:lvl>
    <w:lvl w:ilvl="5" w:tplc="34090005" w:tentative="1">
      <w:start w:val="1"/>
      <w:numFmt w:val="bullet"/>
      <w:lvlText w:val=""/>
      <w:lvlJc w:val="left"/>
      <w:pPr>
        <w:ind w:left="3960" w:hanging="360"/>
      </w:pPr>
      <w:rPr>
        <w:rFonts w:ascii="Wingdings" w:hAnsi="Wingdings" w:hint="default"/>
      </w:rPr>
    </w:lvl>
    <w:lvl w:ilvl="6" w:tplc="34090001" w:tentative="1">
      <w:start w:val="1"/>
      <w:numFmt w:val="bullet"/>
      <w:lvlText w:val=""/>
      <w:lvlJc w:val="left"/>
      <w:pPr>
        <w:ind w:left="4680" w:hanging="360"/>
      </w:pPr>
      <w:rPr>
        <w:rFonts w:ascii="Symbol" w:hAnsi="Symbol" w:hint="default"/>
      </w:rPr>
    </w:lvl>
    <w:lvl w:ilvl="7" w:tplc="34090003" w:tentative="1">
      <w:start w:val="1"/>
      <w:numFmt w:val="bullet"/>
      <w:lvlText w:val="o"/>
      <w:lvlJc w:val="left"/>
      <w:pPr>
        <w:ind w:left="5400" w:hanging="360"/>
      </w:pPr>
      <w:rPr>
        <w:rFonts w:ascii="Courier New" w:hAnsi="Courier New" w:cs="Courier New" w:hint="default"/>
      </w:rPr>
    </w:lvl>
    <w:lvl w:ilvl="8" w:tplc="34090005" w:tentative="1">
      <w:start w:val="1"/>
      <w:numFmt w:val="bullet"/>
      <w:lvlText w:val=""/>
      <w:lvlJc w:val="left"/>
      <w:pPr>
        <w:ind w:left="6120" w:hanging="360"/>
      </w:pPr>
      <w:rPr>
        <w:rFonts w:ascii="Wingdings" w:hAnsi="Wingdings" w:hint="default"/>
      </w:rPr>
    </w:lvl>
  </w:abstractNum>
  <w:num w:numId="1">
    <w:abstractNumId w:val="13"/>
  </w:num>
  <w:num w:numId="2">
    <w:abstractNumId w:val="4"/>
  </w:num>
  <w:num w:numId="3">
    <w:abstractNumId w:val="18"/>
  </w:num>
  <w:num w:numId="4">
    <w:abstractNumId w:val="6"/>
  </w:num>
  <w:num w:numId="5">
    <w:abstractNumId w:val="20"/>
  </w:num>
  <w:num w:numId="6">
    <w:abstractNumId w:val="17"/>
  </w:num>
  <w:num w:numId="7">
    <w:abstractNumId w:val="10"/>
  </w:num>
  <w:num w:numId="8">
    <w:abstractNumId w:val="11"/>
  </w:num>
  <w:num w:numId="9">
    <w:abstractNumId w:val="7"/>
  </w:num>
  <w:num w:numId="10">
    <w:abstractNumId w:val="0"/>
  </w:num>
  <w:num w:numId="11">
    <w:abstractNumId w:val="2"/>
  </w:num>
  <w:num w:numId="12">
    <w:abstractNumId w:val="3"/>
  </w:num>
  <w:num w:numId="13">
    <w:abstractNumId w:val="8"/>
  </w:num>
  <w:num w:numId="14">
    <w:abstractNumId w:val="12"/>
  </w:num>
  <w:num w:numId="15">
    <w:abstractNumId w:val="16"/>
  </w:num>
  <w:num w:numId="16">
    <w:abstractNumId w:val="14"/>
  </w:num>
  <w:num w:numId="17">
    <w:abstractNumId w:val="9"/>
  </w:num>
  <w:num w:numId="18">
    <w:abstractNumId w:val="1"/>
  </w:num>
  <w:num w:numId="19">
    <w:abstractNumId w:val="19"/>
  </w:num>
  <w:num w:numId="20">
    <w:abstractNumId w:val="15"/>
  </w:num>
  <w:num w:numId="2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56D"/>
    <w:rsid w:val="000070BA"/>
    <w:rsid w:val="000173F9"/>
    <w:rsid w:val="00033A51"/>
    <w:rsid w:val="00047DDA"/>
    <w:rsid w:val="00071F07"/>
    <w:rsid w:val="00073B7D"/>
    <w:rsid w:val="0007759D"/>
    <w:rsid w:val="000777AB"/>
    <w:rsid w:val="00077F46"/>
    <w:rsid w:val="00090FB1"/>
    <w:rsid w:val="00096186"/>
    <w:rsid w:val="000A72E4"/>
    <w:rsid w:val="000B0E2F"/>
    <w:rsid w:val="000B2430"/>
    <w:rsid w:val="000B67C7"/>
    <w:rsid w:val="000D0B30"/>
    <w:rsid w:val="000F703E"/>
    <w:rsid w:val="00120E86"/>
    <w:rsid w:val="00125DE9"/>
    <w:rsid w:val="001332E0"/>
    <w:rsid w:val="00134DE7"/>
    <w:rsid w:val="00143C5D"/>
    <w:rsid w:val="00185354"/>
    <w:rsid w:val="001854DC"/>
    <w:rsid w:val="001945B1"/>
    <w:rsid w:val="001949E9"/>
    <w:rsid w:val="00194D09"/>
    <w:rsid w:val="001B60AA"/>
    <w:rsid w:val="001C421F"/>
    <w:rsid w:val="001D360D"/>
    <w:rsid w:val="00233DFF"/>
    <w:rsid w:val="00245487"/>
    <w:rsid w:val="00261A8D"/>
    <w:rsid w:val="002623D8"/>
    <w:rsid w:val="0026575B"/>
    <w:rsid w:val="00265B64"/>
    <w:rsid w:val="00281082"/>
    <w:rsid w:val="00283C1C"/>
    <w:rsid w:val="00291A00"/>
    <w:rsid w:val="00291A11"/>
    <w:rsid w:val="002A315C"/>
    <w:rsid w:val="002A31E3"/>
    <w:rsid w:val="002A3342"/>
    <w:rsid w:val="002A64BA"/>
    <w:rsid w:val="002B4989"/>
    <w:rsid w:val="002D714E"/>
    <w:rsid w:val="002E45D2"/>
    <w:rsid w:val="002E53C3"/>
    <w:rsid w:val="0034329E"/>
    <w:rsid w:val="00343FAA"/>
    <w:rsid w:val="00353C98"/>
    <w:rsid w:val="00371A20"/>
    <w:rsid w:val="00396463"/>
    <w:rsid w:val="003A7CEA"/>
    <w:rsid w:val="003B1246"/>
    <w:rsid w:val="003D318D"/>
    <w:rsid w:val="003E329D"/>
    <w:rsid w:val="003F0BD3"/>
    <w:rsid w:val="003F25B1"/>
    <w:rsid w:val="003F278A"/>
    <w:rsid w:val="0040031E"/>
    <w:rsid w:val="00412FB7"/>
    <w:rsid w:val="004215BD"/>
    <w:rsid w:val="00422EA5"/>
    <w:rsid w:val="00422EFA"/>
    <w:rsid w:val="00426DA5"/>
    <w:rsid w:val="004353BF"/>
    <w:rsid w:val="004456ED"/>
    <w:rsid w:val="004567BD"/>
    <w:rsid w:val="004841B8"/>
    <w:rsid w:val="004930F2"/>
    <w:rsid w:val="004B0F1C"/>
    <w:rsid w:val="004D4F16"/>
    <w:rsid w:val="004E443C"/>
    <w:rsid w:val="00502DBA"/>
    <w:rsid w:val="005040C4"/>
    <w:rsid w:val="00507637"/>
    <w:rsid w:val="00507852"/>
    <w:rsid w:val="00514DBF"/>
    <w:rsid w:val="00523D30"/>
    <w:rsid w:val="00550921"/>
    <w:rsid w:val="00563712"/>
    <w:rsid w:val="00573631"/>
    <w:rsid w:val="00573C0B"/>
    <w:rsid w:val="005752DA"/>
    <w:rsid w:val="00576F31"/>
    <w:rsid w:val="005806F2"/>
    <w:rsid w:val="0058556D"/>
    <w:rsid w:val="00597748"/>
    <w:rsid w:val="005979E8"/>
    <w:rsid w:val="005D0AF4"/>
    <w:rsid w:val="005E011E"/>
    <w:rsid w:val="005E54BD"/>
    <w:rsid w:val="005F6CCA"/>
    <w:rsid w:val="006050AE"/>
    <w:rsid w:val="006104AF"/>
    <w:rsid w:val="00615490"/>
    <w:rsid w:val="00621893"/>
    <w:rsid w:val="006351E1"/>
    <w:rsid w:val="00645AB3"/>
    <w:rsid w:val="00662775"/>
    <w:rsid w:val="006852FC"/>
    <w:rsid w:val="00692A8F"/>
    <w:rsid w:val="006B40AB"/>
    <w:rsid w:val="006B5DC5"/>
    <w:rsid w:val="006C7D30"/>
    <w:rsid w:val="006E3C08"/>
    <w:rsid w:val="00700ACF"/>
    <w:rsid w:val="00703B15"/>
    <w:rsid w:val="00712487"/>
    <w:rsid w:val="007530CA"/>
    <w:rsid w:val="007578D9"/>
    <w:rsid w:val="00757E8A"/>
    <w:rsid w:val="00763E43"/>
    <w:rsid w:val="00764EB5"/>
    <w:rsid w:val="00766C31"/>
    <w:rsid w:val="00777A95"/>
    <w:rsid w:val="007D0981"/>
    <w:rsid w:val="007D1929"/>
    <w:rsid w:val="00801016"/>
    <w:rsid w:val="00803CF1"/>
    <w:rsid w:val="008249C5"/>
    <w:rsid w:val="008328F6"/>
    <w:rsid w:val="0083436C"/>
    <w:rsid w:val="008526F9"/>
    <w:rsid w:val="008534D4"/>
    <w:rsid w:val="00857DF9"/>
    <w:rsid w:val="008651EB"/>
    <w:rsid w:val="00881E28"/>
    <w:rsid w:val="00894C4B"/>
    <w:rsid w:val="00896FF7"/>
    <w:rsid w:val="008A12E3"/>
    <w:rsid w:val="008A42FA"/>
    <w:rsid w:val="008C2335"/>
    <w:rsid w:val="008C67C1"/>
    <w:rsid w:val="008F07D2"/>
    <w:rsid w:val="008F72D0"/>
    <w:rsid w:val="00900DAA"/>
    <w:rsid w:val="00917F65"/>
    <w:rsid w:val="009311E7"/>
    <w:rsid w:val="00951C64"/>
    <w:rsid w:val="00962AFB"/>
    <w:rsid w:val="009A7E3A"/>
    <w:rsid w:val="009B1265"/>
    <w:rsid w:val="009B5693"/>
    <w:rsid w:val="009C78E4"/>
    <w:rsid w:val="009D687E"/>
    <w:rsid w:val="009F6DE7"/>
    <w:rsid w:val="00A106AE"/>
    <w:rsid w:val="00A37FCB"/>
    <w:rsid w:val="00A54863"/>
    <w:rsid w:val="00A61D74"/>
    <w:rsid w:val="00A80E38"/>
    <w:rsid w:val="00A849E4"/>
    <w:rsid w:val="00A8688B"/>
    <w:rsid w:val="00A9286F"/>
    <w:rsid w:val="00AA1107"/>
    <w:rsid w:val="00AA536A"/>
    <w:rsid w:val="00AD2247"/>
    <w:rsid w:val="00AD3875"/>
    <w:rsid w:val="00AF08DA"/>
    <w:rsid w:val="00AF5CB4"/>
    <w:rsid w:val="00AF71D6"/>
    <w:rsid w:val="00B16763"/>
    <w:rsid w:val="00B3175F"/>
    <w:rsid w:val="00B319D9"/>
    <w:rsid w:val="00B402D8"/>
    <w:rsid w:val="00B4237C"/>
    <w:rsid w:val="00B42FE8"/>
    <w:rsid w:val="00B436CB"/>
    <w:rsid w:val="00B4548B"/>
    <w:rsid w:val="00B52AFD"/>
    <w:rsid w:val="00B54077"/>
    <w:rsid w:val="00B74BCB"/>
    <w:rsid w:val="00B8087E"/>
    <w:rsid w:val="00BB646E"/>
    <w:rsid w:val="00BC4BFA"/>
    <w:rsid w:val="00BD1BA1"/>
    <w:rsid w:val="00C35BC4"/>
    <w:rsid w:val="00C43F5B"/>
    <w:rsid w:val="00C678D9"/>
    <w:rsid w:val="00CB4371"/>
    <w:rsid w:val="00CC6C2F"/>
    <w:rsid w:val="00CD0754"/>
    <w:rsid w:val="00CD596C"/>
    <w:rsid w:val="00D40056"/>
    <w:rsid w:val="00D41152"/>
    <w:rsid w:val="00D54F29"/>
    <w:rsid w:val="00D70AD9"/>
    <w:rsid w:val="00D70E75"/>
    <w:rsid w:val="00D72152"/>
    <w:rsid w:val="00D82B9E"/>
    <w:rsid w:val="00D94BA5"/>
    <w:rsid w:val="00D9510F"/>
    <w:rsid w:val="00DD1BC6"/>
    <w:rsid w:val="00DD47E8"/>
    <w:rsid w:val="00DE5DC3"/>
    <w:rsid w:val="00DF734F"/>
    <w:rsid w:val="00E00D8A"/>
    <w:rsid w:val="00E11604"/>
    <w:rsid w:val="00E11D92"/>
    <w:rsid w:val="00E130A0"/>
    <w:rsid w:val="00E210C4"/>
    <w:rsid w:val="00E44223"/>
    <w:rsid w:val="00E66409"/>
    <w:rsid w:val="00E81D5B"/>
    <w:rsid w:val="00E976B9"/>
    <w:rsid w:val="00EB19AD"/>
    <w:rsid w:val="00EB6493"/>
    <w:rsid w:val="00EC4D38"/>
    <w:rsid w:val="00ED05A9"/>
    <w:rsid w:val="00EE14BB"/>
    <w:rsid w:val="00F17257"/>
    <w:rsid w:val="00F34D24"/>
    <w:rsid w:val="00F556A2"/>
    <w:rsid w:val="00F878B9"/>
    <w:rsid w:val="00FA45C1"/>
    <w:rsid w:val="00FB16C3"/>
    <w:rsid w:val="00FB24E8"/>
    <w:rsid w:val="00FB3B2B"/>
    <w:rsid w:val="00FC18DA"/>
    <w:rsid w:val="00FC3917"/>
    <w:rsid w:val="00FD60DA"/>
    <w:rsid w:val="00FF07B4"/>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8EC02"/>
  <w15:docId w15:val="{593BD8B0-601C-4958-A85C-0B7C9A0F4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3C0B"/>
  </w:style>
  <w:style w:type="paragraph" w:styleId="Heading1">
    <w:name w:val="heading 1"/>
    <w:basedOn w:val="Normal"/>
    <w:next w:val="Normal"/>
    <w:link w:val="Heading1Char"/>
    <w:uiPriority w:val="9"/>
    <w:qFormat/>
    <w:rsid w:val="0058556D"/>
    <w:pPr>
      <w:keepNext/>
      <w:keepLines/>
      <w:spacing w:before="480" w:after="0" w:line="240" w:lineRule="auto"/>
      <w:jc w:val="both"/>
      <w:outlineLvl w:val="0"/>
    </w:pPr>
    <w:rPr>
      <w:rFonts w:asciiTheme="majorHAnsi" w:eastAsiaTheme="majorEastAsia" w:hAnsiTheme="majorHAnsi" w:cstheme="majorBidi"/>
      <w:b/>
      <w:bCs/>
      <w:color w:val="365F91" w:themeColor="accent1" w:themeShade="BF"/>
      <w:sz w:val="28"/>
      <w:szCs w:val="28"/>
      <w:lang w:eastAsia="en-US"/>
    </w:rPr>
  </w:style>
  <w:style w:type="paragraph" w:styleId="Heading2">
    <w:name w:val="heading 2"/>
    <w:basedOn w:val="Normal"/>
    <w:next w:val="Normal"/>
    <w:link w:val="Heading2Char"/>
    <w:uiPriority w:val="9"/>
    <w:unhideWhenUsed/>
    <w:qFormat/>
    <w:rsid w:val="00033A51"/>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033A5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033A51"/>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033A51"/>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556D"/>
    <w:rPr>
      <w:rFonts w:asciiTheme="majorHAnsi" w:eastAsiaTheme="majorEastAsia" w:hAnsiTheme="majorHAnsi" w:cstheme="majorBidi"/>
      <w:b/>
      <w:bCs/>
      <w:color w:val="365F91" w:themeColor="accent1" w:themeShade="BF"/>
      <w:sz w:val="28"/>
      <w:szCs w:val="28"/>
      <w:lang w:eastAsia="en-US"/>
    </w:rPr>
  </w:style>
  <w:style w:type="paragraph" w:styleId="BalloonText">
    <w:name w:val="Balloon Text"/>
    <w:basedOn w:val="Normal"/>
    <w:link w:val="BalloonTextChar"/>
    <w:uiPriority w:val="99"/>
    <w:semiHidden/>
    <w:unhideWhenUsed/>
    <w:rsid w:val="00D70AD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0AD9"/>
    <w:rPr>
      <w:rFonts w:ascii="Tahoma" w:hAnsi="Tahoma" w:cs="Tahoma"/>
      <w:sz w:val="16"/>
      <w:szCs w:val="16"/>
    </w:rPr>
  </w:style>
  <w:style w:type="character" w:styleId="CommentReference">
    <w:name w:val="annotation reference"/>
    <w:basedOn w:val="DefaultParagraphFont"/>
    <w:uiPriority w:val="99"/>
    <w:semiHidden/>
    <w:unhideWhenUsed/>
    <w:rsid w:val="00A61D74"/>
    <w:rPr>
      <w:sz w:val="16"/>
      <w:szCs w:val="16"/>
    </w:rPr>
  </w:style>
  <w:style w:type="paragraph" w:styleId="CommentText">
    <w:name w:val="annotation text"/>
    <w:basedOn w:val="Normal"/>
    <w:link w:val="CommentTextChar"/>
    <w:uiPriority w:val="99"/>
    <w:semiHidden/>
    <w:unhideWhenUsed/>
    <w:rsid w:val="00A61D74"/>
    <w:pPr>
      <w:spacing w:line="240" w:lineRule="auto"/>
    </w:pPr>
    <w:rPr>
      <w:sz w:val="20"/>
      <w:szCs w:val="20"/>
    </w:rPr>
  </w:style>
  <w:style w:type="character" w:customStyle="1" w:styleId="CommentTextChar">
    <w:name w:val="Comment Text Char"/>
    <w:basedOn w:val="DefaultParagraphFont"/>
    <w:link w:val="CommentText"/>
    <w:uiPriority w:val="99"/>
    <w:semiHidden/>
    <w:rsid w:val="00A61D74"/>
    <w:rPr>
      <w:sz w:val="20"/>
      <w:szCs w:val="20"/>
    </w:rPr>
  </w:style>
  <w:style w:type="paragraph" w:styleId="CommentSubject">
    <w:name w:val="annotation subject"/>
    <w:basedOn w:val="CommentText"/>
    <w:next w:val="CommentText"/>
    <w:link w:val="CommentSubjectChar"/>
    <w:uiPriority w:val="99"/>
    <w:semiHidden/>
    <w:unhideWhenUsed/>
    <w:rsid w:val="00A61D74"/>
    <w:rPr>
      <w:b/>
      <w:bCs/>
    </w:rPr>
  </w:style>
  <w:style w:type="character" w:customStyle="1" w:styleId="CommentSubjectChar">
    <w:name w:val="Comment Subject Char"/>
    <w:basedOn w:val="CommentTextChar"/>
    <w:link w:val="CommentSubject"/>
    <w:uiPriority w:val="99"/>
    <w:semiHidden/>
    <w:rsid w:val="00A61D74"/>
    <w:rPr>
      <w:b/>
      <w:bCs/>
      <w:sz w:val="20"/>
      <w:szCs w:val="20"/>
    </w:rPr>
  </w:style>
  <w:style w:type="paragraph" w:styleId="ListParagraph">
    <w:name w:val="List Paragraph"/>
    <w:basedOn w:val="Normal"/>
    <w:uiPriority w:val="34"/>
    <w:qFormat/>
    <w:rsid w:val="00A61D74"/>
    <w:pPr>
      <w:ind w:left="720"/>
      <w:contextualSpacing/>
    </w:pPr>
  </w:style>
  <w:style w:type="character" w:styleId="Hyperlink">
    <w:name w:val="Hyperlink"/>
    <w:basedOn w:val="DefaultParagraphFont"/>
    <w:uiPriority w:val="99"/>
    <w:unhideWhenUsed/>
    <w:rsid w:val="00621893"/>
    <w:rPr>
      <w:color w:val="0000FF" w:themeColor="hyperlink"/>
      <w:u w:val="single"/>
    </w:rPr>
  </w:style>
  <w:style w:type="paragraph" w:styleId="Header">
    <w:name w:val="header"/>
    <w:basedOn w:val="Normal"/>
    <w:link w:val="HeaderChar"/>
    <w:uiPriority w:val="99"/>
    <w:unhideWhenUsed/>
    <w:rsid w:val="00573C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573C0B"/>
  </w:style>
  <w:style w:type="paragraph" w:styleId="Footer">
    <w:name w:val="footer"/>
    <w:basedOn w:val="Normal"/>
    <w:link w:val="FooterChar"/>
    <w:uiPriority w:val="99"/>
    <w:unhideWhenUsed/>
    <w:rsid w:val="00573C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573C0B"/>
  </w:style>
  <w:style w:type="paragraph" w:customStyle="1" w:styleId="MHeader">
    <w:name w:val="M.Header"/>
    <w:basedOn w:val="Normal"/>
    <w:link w:val="MHeaderChar"/>
    <w:qFormat/>
    <w:rsid w:val="00573C0B"/>
    <w:pPr>
      <w:pBdr>
        <w:bottom w:val="single" w:sz="12" w:space="4" w:color="DDDDDD"/>
      </w:pBdr>
      <w:shd w:val="clear" w:color="auto" w:fill="FFFFFF"/>
      <w:spacing w:after="0"/>
      <w:outlineLvl w:val="2"/>
    </w:pPr>
    <w:rPr>
      <w:rFonts w:eastAsia="Times New Roman" w:cs="Times New Roman"/>
      <w:color w:val="1C75BC"/>
      <w:sz w:val="36"/>
      <w:szCs w:val="36"/>
      <w:lang w:eastAsia="en-GB"/>
    </w:rPr>
  </w:style>
  <w:style w:type="paragraph" w:customStyle="1" w:styleId="MText">
    <w:name w:val="M.Text"/>
    <w:basedOn w:val="Normal"/>
    <w:link w:val="MTextChar"/>
    <w:qFormat/>
    <w:rsid w:val="00573C0B"/>
    <w:pPr>
      <w:shd w:val="clear" w:color="auto" w:fill="FFFFFF"/>
      <w:spacing w:after="0"/>
    </w:pPr>
    <w:rPr>
      <w:rFonts w:eastAsia="Times New Roman" w:cs="Times New Roman"/>
      <w:color w:val="4A4A4A"/>
      <w:sz w:val="21"/>
      <w:szCs w:val="21"/>
      <w:lang w:eastAsia="en-GB"/>
    </w:rPr>
  </w:style>
  <w:style w:type="character" w:customStyle="1" w:styleId="MHeaderChar">
    <w:name w:val="M.Header Char"/>
    <w:basedOn w:val="DefaultParagraphFont"/>
    <w:link w:val="MHeader"/>
    <w:rsid w:val="00573C0B"/>
    <w:rPr>
      <w:rFonts w:eastAsia="Times New Roman" w:cs="Times New Roman"/>
      <w:color w:val="1C75BC"/>
      <w:sz w:val="36"/>
      <w:szCs w:val="36"/>
      <w:shd w:val="clear" w:color="auto" w:fill="FFFFFF"/>
      <w:lang w:eastAsia="en-GB"/>
    </w:rPr>
  </w:style>
  <w:style w:type="paragraph" w:customStyle="1" w:styleId="MSubHeader">
    <w:name w:val="M.Sub.Header"/>
    <w:basedOn w:val="Normal"/>
    <w:link w:val="MSubHeaderChar"/>
    <w:qFormat/>
    <w:rsid w:val="00573C0B"/>
    <w:pPr>
      <w:shd w:val="clear" w:color="auto" w:fill="FFFFFF"/>
      <w:spacing w:after="0"/>
    </w:pPr>
    <w:rPr>
      <w:rFonts w:eastAsia="Times New Roman" w:cs="Times New Roman"/>
      <w:b/>
      <w:bCs/>
      <w:color w:val="4A4A4A"/>
      <w:sz w:val="21"/>
      <w:szCs w:val="21"/>
      <w:lang w:eastAsia="en-GB"/>
    </w:rPr>
  </w:style>
  <w:style w:type="character" w:customStyle="1" w:styleId="MTextChar">
    <w:name w:val="M.Text Char"/>
    <w:basedOn w:val="DefaultParagraphFont"/>
    <w:link w:val="MText"/>
    <w:rsid w:val="00573C0B"/>
    <w:rPr>
      <w:rFonts w:eastAsia="Times New Roman" w:cs="Times New Roman"/>
      <w:color w:val="4A4A4A"/>
      <w:sz w:val="21"/>
      <w:szCs w:val="21"/>
      <w:shd w:val="clear" w:color="auto" w:fill="FFFFFF"/>
      <w:lang w:eastAsia="en-GB"/>
    </w:rPr>
  </w:style>
  <w:style w:type="paragraph" w:customStyle="1" w:styleId="MGTHeader">
    <w:name w:val="M.G+T.Header"/>
    <w:basedOn w:val="Normal"/>
    <w:link w:val="MGTHeaderChar"/>
    <w:qFormat/>
    <w:rsid w:val="00573C0B"/>
    <w:pPr>
      <w:shd w:val="clear" w:color="auto" w:fill="F5F5F5"/>
      <w:spacing w:after="0"/>
      <w:outlineLvl w:val="4"/>
    </w:pPr>
    <w:rPr>
      <w:rFonts w:eastAsia="Times New Roman" w:cs="Times New Roman"/>
      <w:color w:val="333333"/>
      <w:sz w:val="21"/>
      <w:szCs w:val="21"/>
      <w:lang w:eastAsia="en-GB"/>
    </w:rPr>
  </w:style>
  <w:style w:type="character" w:customStyle="1" w:styleId="MSubHeaderChar">
    <w:name w:val="M.Sub.Header Char"/>
    <w:basedOn w:val="DefaultParagraphFont"/>
    <w:link w:val="MSubHeader"/>
    <w:rsid w:val="00573C0B"/>
    <w:rPr>
      <w:rFonts w:eastAsia="Times New Roman" w:cs="Times New Roman"/>
      <w:b/>
      <w:bCs/>
      <w:color w:val="4A4A4A"/>
      <w:sz w:val="21"/>
      <w:szCs w:val="21"/>
      <w:shd w:val="clear" w:color="auto" w:fill="FFFFFF"/>
      <w:lang w:eastAsia="en-GB"/>
    </w:rPr>
  </w:style>
  <w:style w:type="paragraph" w:customStyle="1" w:styleId="MIndHeader">
    <w:name w:val="M.Ind.Header"/>
    <w:basedOn w:val="Normal"/>
    <w:link w:val="MIndHeaderChar"/>
    <w:qFormat/>
    <w:rsid w:val="00573C0B"/>
    <w:pPr>
      <w:shd w:val="clear" w:color="auto" w:fill="F5F5F5"/>
      <w:spacing w:after="0"/>
      <w:outlineLvl w:val="1"/>
    </w:pPr>
    <w:rPr>
      <w:rFonts w:eastAsia="Times New Roman" w:cs="Times New Roman"/>
      <w:color w:val="1C75BC"/>
      <w:lang w:eastAsia="en-GB"/>
    </w:rPr>
  </w:style>
  <w:style w:type="character" w:customStyle="1" w:styleId="MGTHeaderChar">
    <w:name w:val="M.G+T.Header Char"/>
    <w:basedOn w:val="DefaultParagraphFont"/>
    <w:link w:val="MGTHeader"/>
    <w:rsid w:val="00573C0B"/>
    <w:rPr>
      <w:rFonts w:eastAsia="Times New Roman" w:cs="Times New Roman"/>
      <w:color w:val="333333"/>
      <w:sz w:val="21"/>
      <w:szCs w:val="21"/>
      <w:shd w:val="clear" w:color="auto" w:fill="F5F5F5"/>
      <w:lang w:eastAsia="en-GB"/>
    </w:rPr>
  </w:style>
  <w:style w:type="character" w:customStyle="1" w:styleId="MIndHeaderChar">
    <w:name w:val="M.Ind.Header Char"/>
    <w:basedOn w:val="DefaultParagraphFont"/>
    <w:link w:val="MIndHeader"/>
    <w:rsid w:val="00573C0B"/>
    <w:rPr>
      <w:rFonts w:eastAsia="Times New Roman" w:cs="Times New Roman"/>
      <w:color w:val="1C75BC"/>
      <w:shd w:val="clear" w:color="auto" w:fill="F5F5F5"/>
      <w:lang w:eastAsia="en-GB"/>
    </w:rPr>
  </w:style>
  <w:style w:type="character" w:styleId="UnresolvedMention">
    <w:name w:val="Unresolved Mention"/>
    <w:basedOn w:val="DefaultParagraphFont"/>
    <w:uiPriority w:val="99"/>
    <w:semiHidden/>
    <w:unhideWhenUsed/>
    <w:rsid w:val="00FB16C3"/>
    <w:rPr>
      <w:color w:val="605E5C"/>
      <w:shd w:val="clear" w:color="auto" w:fill="E1DFDD"/>
    </w:rPr>
  </w:style>
  <w:style w:type="table" w:styleId="TableGrid">
    <w:name w:val="Table Grid"/>
    <w:basedOn w:val="TableNormal"/>
    <w:uiPriority w:val="39"/>
    <w:rsid w:val="00703B15"/>
    <w:pPr>
      <w:spacing w:after="0" w:line="240" w:lineRule="auto"/>
    </w:pPr>
    <w:rPr>
      <w:rFonts w:eastAsiaTheme="minorHAnsi"/>
      <w:lang w:val="de-DE"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703B1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3B15"/>
    <w:rPr>
      <w:sz w:val="20"/>
      <w:szCs w:val="20"/>
    </w:rPr>
  </w:style>
  <w:style w:type="character" w:styleId="FootnoteReference">
    <w:name w:val="footnote reference"/>
    <w:basedOn w:val="DefaultParagraphFont"/>
    <w:uiPriority w:val="99"/>
    <w:semiHidden/>
    <w:unhideWhenUsed/>
    <w:rsid w:val="00703B15"/>
    <w:rPr>
      <w:vertAlign w:val="superscript"/>
    </w:rPr>
  </w:style>
  <w:style w:type="paragraph" w:styleId="NormalWeb">
    <w:name w:val="Normal (Web)"/>
    <w:basedOn w:val="Normal"/>
    <w:uiPriority w:val="99"/>
    <w:semiHidden/>
    <w:unhideWhenUsed/>
    <w:rsid w:val="005806F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5806F2"/>
    <w:rPr>
      <w:b/>
      <w:bCs/>
    </w:rPr>
  </w:style>
  <w:style w:type="character" w:customStyle="1" w:styleId="Heading2Char">
    <w:name w:val="Heading 2 Char"/>
    <w:basedOn w:val="DefaultParagraphFont"/>
    <w:link w:val="Heading2"/>
    <w:uiPriority w:val="9"/>
    <w:rsid w:val="00033A51"/>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033A51"/>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33A51"/>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033A51"/>
    <w:rPr>
      <w:rFonts w:asciiTheme="majorHAnsi" w:eastAsiaTheme="majorEastAsia" w:hAnsiTheme="majorHAnsi" w:cstheme="majorBidi"/>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4151">
      <w:bodyDiv w:val="1"/>
      <w:marLeft w:val="0"/>
      <w:marRight w:val="0"/>
      <w:marTop w:val="0"/>
      <w:marBottom w:val="0"/>
      <w:divBdr>
        <w:top w:val="none" w:sz="0" w:space="0" w:color="auto"/>
        <w:left w:val="none" w:sz="0" w:space="0" w:color="auto"/>
        <w:bottom w:val="none" w:sz="0" w:space="0" w:color="auto"/>
        <w:right w:val="none" w:sz="0" w:space="0" w:color="auto"/>
      </w:divBdr>
    </w:div>
    <w:div w:id="56250159">
      <w:bodyDiv w:val="1"/>
      <w:marLeft w:val="0"/>
      <w:marRight w:val="0"/>
      <w:marTop w:val="0"/>
      <w:marBottom w:val="0"/>
      <w:divBdr>
        <w:top w:val="none" w:sz="0" w:space="0" w:color="auto"/>
        <w:left w:val="none" w:sz="0" w:space="0" w:color="auto"/>
        <w:bottom w:val="none" w:sz="0" w:space="0" w:color="auto"/>
        <w:right w:val="none" w:sz="0" w:space="0" w:color="auto"/>
      </w:divBdr>
    </w:div>
    <w:div w:id="345445030">
      <w:bodyDiv w:val="1"/>
      <w:marLeft w:val="0"/>
      <w:marRight w:val="0"/>
      <w:marTop w:val="0"/>
      <w:marBottom w:val="0"/>
      <w:divBdr>
        <w:top w:val="none" w:sz="0" w:space="0" w:color="auto"/>
        <w:left w:val="none" w:sz="0" w:space="0" w:color="auto"/>
        <w:bottom w:val="none" w:sz="0" w:space="0" w:color="auto"/>
        <w:right w:val="none" w:sz="0" w:space="0" w:color="auto"/>
      </w:divBdr>
    </w:div>
    <w:div w:id="443114654">
      <w:bodyDiv w:val="1"/>
      <w:marLeft w:val="0"/>
      <w:marRight w:val="0"/>
      <w:marTop w:val="0"/>
      <w:marBottom w:val="0"/>
      <w:divBdr>
        <w:top w:val="none" w:sz="0" w:space="0" w:color="auto"/>
        <w:left w:val="none" w:sz="0" w:space="0" w:color="auto"/>
        <w:bottom w:val="none" w:sz="0" w:space="0" w:color="auto"/>
        <w:right w:val="none" w:sz="0" w:space="0" w:color="auto"/>
      </w:divBdr>
    </w:div>
    <w:div w:id="617102962">
      <w:bodyDiv w:val="1"/>
      <w:marLeft w:val="0"/>
      <w:marRight w:val="0"/>
      <w:marTop w:val="0"/>
      <w:marBottom w:val="0"/>
      <w:divBdr>
        <w:top w:val="none" w:sz="0" w:space="0" w:color="auto"/>
        <w:left w:val="none" w:sz="0" w:space="0" w:color="auto"/>
        <w:bottom w:val="none" w:sz="0" w:space="0" w:color="auto"/>
        <w:right w:val="none" w:sz="0" w:space="0" w:color="auto"/>
      </w:divBdr>
    </w:div>
    <w:div w:id="630675214">
      <w:bodyDiv w:val="1"/>
      <w:marLeft w:val="0"/>
      <w:marRight w:val="0"/>
      <w:marTop w:val="0"/>
      <w:marBottom w:val="0"/>
      <w:divBdr>
        <w:top w:val="none" w:sz="0" w:space="0" w:color="auto"/>
        <w:left w:val="none" w:sz="0" w:space="0" w:color="auto"/>
        <w:bottom w:val="none" w:sz="0" w:space="0" w:color="auto"/>
        <w:right w:val="none" w:sz="0" w:space="0" w:color="auto"/>
      </w:divBdr>
      <w:divsChild>
        <w:div w:id="1708290121">
          <w:marLeft w:val="0"/>
          <w:marRight w:val="0"/>
          <w:marTop w:val="0"/>
          <w:marBottom w:val="0"/>
          <w:divBdr>
            <w:top w:val="none" w:sz="0" w:space="0" w:color="auto"/>
            <w:left w:val="none" w:sz="0" w:space="0" w:color="auto"/>
            <w:bottom w:val="none" w:sz="0" w:space="0" w:color="auto"/>
            <w:right w:val="none" w:sz="0" w:space="0" w:color="auto"/>
          </w:divBdr>
        </w:div>
      </w:divsChild>
    </w:div>
    <w:div w:id="787897856">
      <w:bodyDiv w:val="1"/>
      <w:marLeft w:val="0"/>
      <w:marRight w:val="0"/>
      <w:marTop w:val="0"/>
      <w:marBottom w:val="0"/>
      <w:divBdr>
        <w:top w:val="none" w:sz="0" w:space="0" w:color="auto"/>
        <w:left w:val="none" w:sz="0" w:space="0" w:color="auto"/>
        <w:bottom w:val="none" w:sz="0" w:space="0" w:color="auto"/>
        <w:right w:val="none" w:sz="0" w:space="0" w:color="auto"/>
      </w:divBdr>
    </w:div>
    <w:div w:id="1157838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hyperlink" Target="https://missingmigrants.iom.int/downloads" TargetMode="External"/><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hyperlink" Target="https://missingmigrants.iom.int/downloads" TargetMode="Externa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yperlink" Target="https://missingmigrants.iom.int/downloads" TargetMode="External"/><Relationship Id="rId25" Type="http://schemas.openxmlformats.org/officeDocument/2006/relationships/hyperlink" Target="https://migrationdataportal.org/overviews/mgi" TargetMode="External"/><Relationship Id="rId2" Type="http://schemas.openxmlformats.org/officeDocument/2006/relationships/customXml" Target="../customXml/item2.xml"/><Relationship Id="rId16" Type="http://schemas.openxmlformats.org/officeDocument/2006/relationships/hyperlink" Target="https://missingmigrants.iom.int/regional-classifications" TargetMode="External"/><Relationship Id="rId20" Type="http://schemas.openxmlformats.org/officeDocument/2006/relationships/hyperlink" Target="https://missingmigrants.iom.int/downloads" TargetMode="Externa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hyperlink" Target="https://missingmigrants.iom.int/publications" TargetMode="External"/><Relationship Id="rId5" Type="http://schemas.openxmlformats.org/officeDocument/2006/relationships/customXml" Target="../customXml/item5.xml"/><Relationship Id="rId15" Type="http://schemas.openxmlformats.org/officeDocument/2006/relationships/hyperlink" Target="https://missingmigrants.iom.int/regional-classifications" TargetMode="External"/><Relationship Id="rId23" Type="http://schemas.openxmlformats.org/officeDocument/2006/relationships/hyperlink" Target="https://publications.iom.int/system/files/pdf/migration_policy_practice_journal_30.pdf" TargetMode="External"/><Relationship Id="rId28" Type="http://schemas.openxmlformats.org/officeDocument/2006/relationships/theme" Target="theme/theme1.xml"/><Relationship Id="rId10" Type="http://schemas.openxmlformats.org/officeDocument/2006/relationships/settings" Target="settings.xml"/><Relationship Id="rId19" Type="http://schemas.openxmlformats.org/officeDocument/2006/relationships/image" Target="media/image1.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s://missingmigrants.iom.int/downloads" TargetMode="External"/><Relationship Id="rId22" Type="http://schemas.openxmlformats.org/officeDocument/2006/relationships/hyperlink" Target="https://missingmigrants.iom.int/"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6B30247532B5824F931AE99BEC4DCCAF" ma:contentTypeVersion="12" ma:contentTypeDescription="Create a new document." ma:contentTypeScope="" ma:versionID="fc6c50abd7445db9c67194258a3ae4a3">
  <xsd:schema xmlns:xsd="http://www.w3.org/2001/XMLSchema" xmlns:xs="http://www.w3.org/2001/XMLSchema" xmlns:p="http://schemas.microsoft.com/office/2006/metadata/properties" xmlns:ns2="643743e9-0e0a-47d5-aed0-7025617f966f" xmlns:ns3="9b3958c7-5c45-4b50-b03d-84bc2f76e7d5" targetNamespace="http://schemas.microsoft.com/office/2006/metadata/properties" ma:root="true" ma:fieldsID="447177c8119b5c33369e0475e279c0fc" ns2:_="" ns3:_="">
    <xsd:import namespace="643743e9-0e0a-47d5-aed0-7025617f966f"/>
    <xsd:import namespace="9b3958c7-5c45-4b50-b03d-84bc2f76e7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743e9-0e0a-47d5-aed0-7025617f9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958c7-5c45-4b50-b03d-84bc2f76e7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FormTemplates xmlns="http://schemas.microsoft.com/sharepoint/v3/contenttype/forms">
  <Display>DocumentLibraryForm</Display>
  <Edit>DocumentLibraryForm</Edit>
  <New>DocumentLibraryForm</New>
</FormTemplates>
</file>

<file path=customXml/item6.xml><?xml version="1.0" encoding="utf-8"?>
<ct:contentTypeSchema xmlns:ct="http://schemas.microsoft.com/office/2006/metadata/contentType" xmlns:ma="http://schemas.microsoft.com/office/2006/metadata/properties/metaAttributes" ct:_="" ma:_="" ma:contentTypeName="Document" ma:contentTypeID="0x0101006B30247532B5824F931AE99BEC4DCCAF" ma:contentTypeVersion="12" ma:contentTypeDescription="Create a new document." ma:contentTypeScope="" ma:versionID="fc6c50abd7445db9c67194258a3ae4a3">
  <xsd:schema xmlns:xsd="http://www.w3.org/2001/XMLSchema" xmlns:xs="http://www.w3.org/2001/XMLSchema" xmlns:p="http://schemas.microsoft.com/office/2006/metadata/properties" xmlns:ns2="643743e9-0e0a-47d5-aed0-7025617f966f" xmlns:ns3="9b3958c7-5c45-4b50-b03d-84bc2f76e7d5" targetNamespace="http://schemas.microsoft.com/office/2006/metadata/properties" ma:root="true" ma:fieldsID="447177c8119b5c33369e0475e279c0fc" ns2:_="" ns3:_="">
    <xsd:import namespace="643743e9-0e0a-47d5-aed0-7025617f966f"/>
    <xsd:import namespace="9b3958c7-5c45-4b50-b03d-84bc2f76e7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element ref="ns2:MediaServiceDateTaken" minOccurs="0"/>
                <xsd:element ref="ns2:MediaServiceLocation"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743e9-0e0a-47d5-aed0-7025617f96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b3958c7-5c45-4b50-b03d-84bc2f76e7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623197-F9F0-44D4-B621-EEDE9CCD866C}">
  <ds:schemaRefs>
    <ds:schemaRef ds:uri="http://schemas.microsoft.com/sharepoint/v3/contenttype/forms"/>
  </ds:schemaRefs>
</ds:datastoreItem>
</file>

<file path=customXml/itemProps2.xml><?xml version="1.0" encoding="utf-8"?>
<ds:datastoreItem xmlns:ds="http://schemas.openxmlformats.org/officeDocument/2006/customXml" ds:itemID="{F091365B-C370-4923-A528-004FBE1DE4C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D3269FA-EFB8-4ADC-854D-CEA41CB4B3A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FFE8A6E-A742-49E6-BEAA-3167963DFC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743e9-0e0a-47d5-aed0-7025617f966f"/>
    <ds:schemaRef ds:uri="9b3958c7-5c45-4b50-b03d-84bc2f76e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4871747F-82BB-4AF5-89EE-571868701EAC}">
  <ds:schemaRefs>
    <ds:schemaRef ds:uri="http://schemas.microsoft.com/sharepoint/v3/contenttype/forms"/>
  </ds:schemaRefs>
</ds:datastoreItem>
</file>

<file path=customXml/itemProps6.xml><?xml version="1.0" encoding="utf-8"?>
<ds:datastoreItem xmlns:ds="http://schemas.openxmlformats.org/officeDocument/2006/customXml" ds:itemID="{1F40C55C-85F6-4CE3-9E67-47CE484B6BE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743e9-0e0a-47d5-aed0-7025617f966f"/>
    <ds:schemaRef ds:uri="9b3958c7-5c45-4b50-b03d-84bc2f76e7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7.xml><?xml version="1.0" encoding="utf-8"?>
<ds:datastoreItem xmlns:ds="http://schemas.openxmlformats.org/officeDocument/2006/customXml" ds:itemID="{BDD6E692-E176-45A8-BA66-1F17D63198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3845</Words>
  <Characters>21920</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United Nations</Company>
  <LinksUpToDate>false</LinksUpToDate>
  <CharactersWithSpaces>25714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Zin Lin</dc:creator>
  <cp:lastModifiedBy>Harumi Shibata Salazar</cp:lastModifiedBy>
  <cp:revision>2</cp:revision>
  <cp:lastPrinted>2016-07-16T14:25:00Z</cp:lastPrinted>
  <dcterms:created xsi:type="dcterms:W3CDTF">2021-03-31T07:26:00Z</dcterms:created>
  <dcterms:modified xsi:type="dcterms:W3CDTF">2021-03-31T07:26:00Z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0x0101006B30247532B5824F931AE99BEC4DCCAF</vt:lpwstr>
  </property>
  <property fmtid="{D5CDD505-2E9C-101B-9397-08002B2CF9AE}" pid="3" name="MSIP_Label_2059aa38-f392-4105-be92-628035578272_Enabled">
    <vt:lpwstr>true</vt:lpwstr>
  </property>
  <property fmtid="{D5CDD505-2E9C-101B-9397-08002B2CF9AE}" pid="4" name="MSIP_Label_2059aa38-f392-4105-be92-628035578272_SetDate">
    <vt:lpwstr>2020-05-26T09:56:37Z</vt:lpwstr>
  </property>
  <property fmtid="{D5CDD505-2E9C-101B-9397-08002B2CF9AE}" pid="5" name="MSIP_Label_2059aa38-f392-4105-be92-628035578272_Method">
    <vt:lpwstr>Standard</vt:lpwstr>
  </property>
  <property fmtid="{D5CDD505-2E9C-101B-9397-08002B2CF9AE}" pid="6" name="MSIP_Label_2059aa38-f392-4105-be92-628035578272_Name">
    <vt:lpwstr>IOMLb0020IN123173</vt:lpwstr>
  </property>
  <property fmtid="{D5CDD505-2E9C-101B-9397-08002B2CF9AE}" pid="7" name="MSIP_Label_2059aa38-f392-4105-be92-628035578272_SiteId">
    <vt:lpwstr>1588262d-23fb-43b4-bd6e-bce49c8e6186</vt:lpwstr>
  </property>
  <property fmtid="{D5CDD505-2E9C-101B-9397-08002B2CF9AE}" pid="8" name="MSIP_Label_2059aa38-f392-4105-be92-628035578272_ActionId">
    <vt:lpwstr>74802837-c07f-430d-9049-0000b84155dd</vt:lpwstr>
  </property>
  <property fmtid="{D5CDD505-2E9C-101B-9397-08002B2CF9AE}" pid="9" name="MSIP_Label_2059aa38-f392-4105-be92-628035578272_ContentBits">
    <vt:lpwstr>1</vt:lpwstr>
  </property>
</Properties>
</file>