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24A67613" w:rsidR="0058556D" w:rsidRPr="00573631" w:rsidRDefault="0058556D" w:rsidP="00573C0B">
      <w:pPr>
        <w:pStyle w:val="MGTHeader"/>
      </w:pPr>
      <w:r w:rsidRPr="00573631">
        <w:t>Goal</w:t>
      </w:r>
      <w:r w:rsidR="007139C5">
        <w:t xml:space="preserve"> 11</w:t>
      </w:r>
      <w:r w:rsidR="00D70AD9">
        <w:t>:</w:t>
      </w:r>
      <w:r w:rsidR="00A26D06">
        <w:t xml:space="preserve"> </w:t>
      </w:r>
      <w:r w:rsidR="00A26D06" w:rsidRPr="00A26D06">
        <w:t>Make cities and human settlements inclusive, safe, resilient and sustainable</w:t>
      </w:r>
    </w:p>
    <w:p w14:paraId="190357AD" w14:textId="77733937" w:rsidR="0058556D" w:rsidRPr="00573631" w:rsidRDefault="0058556D" w:rsidP="007139C5">
      <w:pPr>
        <w:pStyle w:val="MGTHeader"/>
      </w:pPr>
      <w:r w:rsidRPr="00573631">
        <w:t xml:space="preserve">Target </w:t>
      </w:r>
      <w:r w:rsidR="007139C5">
        <w:t>11.7: By 2030, provide universal access to safe, inclusive and accessible, green and public spaces, in particular for women and children, older persons and persons with disabilities</w:t>
      </w:r>
    </w:p>
    <w:p w14:paraId="3925E088" w14:textId="50CA18BC" w:rsidR="0058556D" w:rsidRPr="00573631" w:rsidRDefault="0058556D" w:rsidP="007139C5">
      <w:pPr>
        <w:pStyle w:val="MIndHeader"/>
      </w:pPr>
      <w:r w:rsidRPr="00573631">
        <w:t>Indicator</w:t>
      </w:r>
      <w:r w:rsidR="007139C5" w:rsidRPr="007139C5">
        <w:t xml:space="preserve"> </w:t>
      </w:r>
      <w:r w:rsidR="007139C5">
        <w:t>11.7.2: Proportion of persons victim of physical or sexual harassment, by sex, age, disability status and place of occurrence, in the previous 12 months</w:t>
      </w:r>
    </w:p>
    <w:p w14:paraId="7D238643" w14:textId="77777777"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34D9CCB" w14:textId="477BDEC7" w:rsidR="007139C5" w:rsidRDefault="007139C5" w:rsidP="007139C5">
      <w:pPr>
        <w:shd w:val="clear" w:color="auto" w:fill="FFFFFF"/>
        <w:spacing w:after="0"/>
        <w:rPr>
          <w:rFonts w:eastAsia="Times New Roman" w:cs="Times New Roman"/>
          <w:color w:val="4A4A4A"/>
          <w:sz w:val="21"/>
          <w:szCs w:val="21"/>
          <w:lang w:eastAsia="en-GB"/>
        </w:rPr>
      </w:pPr>
      <w:r w:rsidRPr="007139C5">
        <w:rPr>
          <w:rFonts w:eastAsia="Times New Roman" w:cs="Times New Roman"/>
          <w:color w:val="4A4A4A"/>
          <w:sz w:val="21"/>
          <w:szCs w:val="21"/>
          <w:lang w:eastAsia="en-GB"/>
        </w:rPr>
        <w:t>Custodian Agenc</w:t>
      </w:r>
      <w:r>
        <w:rPr>
          <w:rFonts w:eastAsia="Times New Roman" w:cs="Times New Roman"/>
          <w:color w:val="4A4A4A"/>
          <w:sz w:val="21"/>
          <w:szCs w:val="21"/>
          <w:lang w:eastAsia="en-GB"/>
        </w:rPr>
        <w:t>y</w:t>
      </w:r>
      <w:r w:rsidRPr="007139C5">
        <w:rPr>
          <w:rFonts w:eastAsia="Times New Roman" w:cs="Times New Roman"/>
          <w:color w:val="4A4A4A"/>
          <w:sz w:val="21"/>
          <w:szCs w:val="21"/>
          <w:lang w:eastAsia="en-GB"/>
        </w:rPr>
        <w:t>: United Nations on Drugs and Crime (UNODC)</w:t>
      </w:r>
    </w:p>
    <w:p w14:paraId="0393368E" w14:textId="77777777" w:rsidR="00621893" w:rsidRPr="00573631" w:rsidRDefault="00621893" w:rsidP="00573631">
      <w:pPr>
        <w:shd w:val="clear" w:color="auto" w:fill="FFFFFF"/>
        <w:spacing w:after="0"/>
        <w:rPr>
          <w:rFonts w:eastAsia="Times New Roman" w:cs="Times New Roman"/>
          <w:color w:val="4A4A4A"/>
          <w:sz w:val="21"/>
          <w:szCs w:val="21"/>
          <w:lang w:eastAsia="en-GB"/>
        </w:rPr>
      </w:pPr>
      <w:bookmarkStart w:id="0" w:name="_GoBack"/>
      <w:bookmarkEnd w:id="0"/>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0267695E" w14:textId="3434265A" w:rsidR="007139C5" w:rsidRPr="004F2FE0" w:rsidRDefault="007139C5" w:rsidP="00573631">
      <w:pPr>
        <w:shd w:val="clear" w:color="auto" w:fill="FFFFFF"/>
        <w:spacing w:after="0"/>
        <w:rPr>
          <w:rFonts w:eastAsia="Times New Roman" w:cs="Times New Roman"/>
          <w:color w:val="4A4A4A"/>
          <w:sz w:val="21"/>
          <w:szCs w:val="21"/>
          <w:lang w:eastAsia="en-GB"/>
        </w:rPr>
      </w:pPr>
      <w:r w:rsidRPr="004F2FE0">
        <w:rPr>
          <w:rFonts w:eastAsia="Times New Roman" w:cs="Times New Roman"/>
          <w:color w:val="4A4A4A"/>
          <w:sz w:val="21"/>
          <w:szCs w:val="21"/>
          <w:lang w:eastAsia="en-GB"/>
        </w:rPr>
        <w:t xml:space="preserve">Number of persons who have been victims of physical harassment </w:t>
      </w:r>
      <w:r w:rsidR="0058517B">
        <w:rPr>
          <w:rFonts w:eastAsia="Times New Roman" w:cs="Times New Roman"/>
          <w:color w:val="4A4A4A"/>
          <w:sz w:val="21"/>
          <w:szCs w:val="21"/>
          <w:lang w:eastAsia="en-GB"/>
        </w:rPr>
        <w:t>and/</w:t>
      </w:r>
      <w:r w:rsidRPr="004F2FE0">
        <w:rPr>
          <w:rFonts w:eastAsia="Times New Roman" w:cs="Times New Roman"/>
          <w:color w:val="4A4A4A"/>
          <w:sz w:val="21"/>
          <w:szCs w:val="21"/>
          <w:lang w:eastAsia="en-GB"/>
        </w:rPr>
        <w:t xml:space="preserve">or sexual harassment, as a percentage of the total population of the relevant area. </w:t>
      </w:r>
    </w:p>
    <w:p w14:paraId="5EB5B183" w14:textId="77777777" w:rsidR="0058556D" w:rsidRPr="004F2FE0" w:rsidRDefault="0058556D" w:rsidP="00573631">
      <w:pPr>
        <w:shd w:val="clear" w:color="auto" w:fill="FFFFFF"/>
        <w:spacing w:after="0"/>
        <w:rPr>
          <w:rFonts w:eastAsia="Times New Roman" w:cs="Times New Roman"/>
          <w:color w:val="4A4A4A"/>
          <w:sz w:val="21"/>
          <w:szCs w:val="21"/>
          <w:lang w:eastAsia="en-GB"/>
        </w:rPr>
      </w:pPr>
    </w:p>
    <w:p w14:paraId="7B67C55A" w14:textId="77777777" w:rsidR="0058556D" w:rsidRPr="004F2FE0" w:rsidRDefault="0058556D" w:rsidP="00573631">
      <w:pPr>
        <w:shd w:val="clear" w:color="auto" w:fill="FFFFFF"/>
        <w:spacing w:after="0"/>
        <w:rPr>
          <w:rFonts w:eastAsia="Times New Roman" w:cs="Times New Roman"/>
          <w:color w:val="4A4A4A"/>
          <w:sz w:val="21"/>
          <w:szCs w:val="21"/>
          <w:lang w:eastAsia="en-GB"/>
        </w:rPr>
      </w:pPr>
      <w:r w:rsidRPr="004F2FE0">
        <w:rPr>
          <w:rFonts w:eastAsia="Times New Roman" w:cs="Times New Roman"/>
          <w:b/>
          <w:bCs/>
          <w:color w:val="4A4A4A"/>
          <w:sz w:val="21"/>
          <w:szCs w:val="21"/>
          <w:lang w:eastAsia="en-GB"/>
        </w:rPr>
        <w:t>Rationale:</w:t>
      </w:r>
    </w:p>
    <w:p w14:paraId="53D3E45F" w14:textId="283CA884" w:rsidR="00BD7A06" w:rsidRPr="004F2FE0" w:rsidRDefault="00BD7A06" w:rsidP="00A3053F">
      <w:pPr>
        <w:shd w:val="clear" w:color="auto" w:fill="FFFFFF"/>
        <w:spacing w:after="0"/>
        <w:jc w:val="both"/>
        <w:rPr>
          <w:rFonts w:eastAsia="Times New Roman" w:cs="Times New Roman"/>
          <w:color w:val="4A4A4A"/>
          <w:sz w:val="21"/>
          <w:szCs w:val="21"/>
          <w:lang w:eastAsia="en-GB"/>
        </w:rPr>
      </w:pPr>
      <w:r w:rsidRPr="004F2FE0">
        <w:rPr>
          <w:rFonts w:eastAsia="Times New Roman" w:cs="Times New Roman"/>
          <w:color w:val="4A4A4A"/>
          <w:sz w:val="21"/>
          <w:szCs w:val="21"/>
          <w:lang w:eastAsia="en-GB"/>
        </w:rPr>
        <w:t>The experience of physical and sexual harassment can have far-reaching negative impacts on the victims. Besides the emotional and psychological harm suffered, harassment can have negative consequences on the ability of its victims to fully participate in public life and to share in and contribute to the development of their communities. For example, the widespread occurrence of sexual harassment in the workplace can lead to a lower participation of women in the workforce, especially in male-dominated occupations, and lower their income-generating capacity.</w:t>
      </w:r>
    </w:p>
    <w:p w14:paraId="60152BC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A3053F">
      <w:pPr>
        <w:shd w:val="clear" w:color="auto" w:fill="FFFFFF"/>
        <w:spacing w:after="0"/>
        <w:jc w:val="both"/>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11A94E85" w14:textId="3483D849" w:rsidR="00A048A4" w:rsidRDefault="00A048A4" w:rsidP="00A44990">
      <w:pPr>
        <w:shd w:val="clear" w:color="auto" w:fill="FFFFFF"/>
        <w:spacing w:after="0"/>
        <w:jc w:val="both"/>
        <w:rPr>
          <w:rFonts w:eastAsia="Times New Roman" w:cs="Times New Roman"/>
          <w:color w:val="4A4A4A"/>
          <w:sz w:val="21"/>
          <w:szCs w:val="21"/>
          <w:lang w:eastAsia="en-GB"/>
        </w:rPr>
      </w:pPr>
      <w:r w:rsidRPr="00A048A4">
        <w:rPr>
          <w:rFonts w:eastAsia="Times New Roman" w:cs="Times New Roman"/>
          <w:color w:val="4A4A4A"/>
          <w:sz w:val="21"/>
          <w:szCs w:val="21"/>
          <w:lang w:eastAsia="en-GB"/>
        </w:rPr>
        <w:t xml:space="preserve">On the basis of the International Classification of Crime for Statistical Purposes (ICCS), </w:t>
      </w:r>
      <w:r>
        <w:rPr>
          <w:rFonts w:eastAsia="Times New Roman" w:cs="Times New Roman"/>
          <w:color w:val="4A4A4A"/>
          <w:sz w:val="21"/>
          <w:szCs w:val="21"/>
          <w:lang w:eastAsia="en-GB"/>
        </w:rPr>
        <w:t>an</w:t>
      </w:r>
      <w:r w:rsidRPr="00A048A4">
        <w:rPr>
          <w:rFonts w:eastAsia="Times New Roman" w:cs="Times New Roman"/>
          <w:color w:val="4A4A4A"/>
          <w:sz w:val="21"/>
          <w:szCs w:val="21"/>
          <w:lang w:eastAsia="en-GB"/>
        </w:rPr>
        <w:t xml:space="preserve"> operational definition of physical and sexual harassment was developed.  While </w:t>
      </w:r>
      <w:r w:rsidR="00A44990" w:rsidRPr="00A44990">
        <w:rPr>
          <w:rFonts w:eastAsia="Times New Roman" w:cs="Times New Roman"/>
          <w:color w:val="4A4A4A"/>
          <w:sz w:val="21"/>
          <w:szCs w:val="21"/>
          <w:lang w:eastAsia="en-GB"/>
        </w:rPr>
        <w:t xml:space="preserve">sexual harassment refers to behaviour </w:t>
      </w:r>
      <w:r w:rsidR="00A44990">
        <w:rPr>
          <w:rFonts w:eastAsia="Times New Roman" w:cs="Times New Roman"/>
          <w:color w:val="4A4A4A"/>
          <w:sz w:val="21"/>
          <w:szCs w:val="21"/>
          <w:lang w:eastAsia="en-GB"/>
        </w:rPr>
        <w:t>with</w:t>
      </w:r>
      <w:r w:rsidR="00A44990" w:rsidRPr="00A44990">
        <w:rPr>
          <w:rFonts w:eastAsia="Times New Roman" w:cs="Times New Roman"/>
          <w:color w:val="4A4A4A"/>
          <w:sz w:val="21"/>
          <w:szCs w:val="21"/>
          <w:lang w:eastAsia="en-GB"/>
        </w:rPr>
        <w:t xml:space="preserve"> a sexual connotation that </w:t>
      </w:r>
      <w:r w:rsidR="00A44990">
        <w:rPr>
          <w:rFonts w:eastAsia="Times New Roman" w:cs="Times New Roman"/>
          <w:color w:val="4A4A4A"/>
          <w:sz w:val="21"/>
          <w:szCs w:val="21"/>
          <w:lang w:eastAsia="en-GB"/>
        </w:rPr>
        <w:t>is</w:t>
      </w:r>
      <w:r w:rsidR="00A44990" w:rsidRPr="00A44990">
        <w:rPr>
          <w:rFonts w:eastAsia="Times New Roman" w:cs="Times New Roman"/>
          <w:color w:val="4A4A4A"/>
          <w:sz w:val="21"/>
          <w:szCs w:val="21"/>
          <w:lang w:eastAsia="en-GB"/>
        </w:rPr>
        <w:t xml:space="preserve"> suitable to intimidate their victims</w:t>
      </w:r>
      <w:r w:rsidR="00A44990">
        <w:rPr>
          <w:rFonts w:eastAsia="Times New Roman" w:cs="Times New Roman"/>
          <w:color w:val="4A4A4A"/>
          <w:sz w:val="21"/>
          <w:szCs w:val="21"/>
          <w:lang w:eastAsia="en-GB"/>
        </w:rPr>
        <w:t xml:space="preserve">, </w:t>
      </w:r>
      <w:r w:rsidR="00A44990" w:rsidRPr="00A44990">
        <w:rPr>
          <w:rFonts w:eastAsia="Times New Roman" w:cs="Times New Roman"/>
          <w:color w:val="4A4A4A"/>
          <w:sz w:val="21"/>
          <w:szCs w:val="21"/>
          <w:lang w:eastAsia="en-GB"/>
        </w:rPr>
        <w:t>physical harassment refer</w:t>
      </w:r>
      <w:r w:rsidR="00A44990">
        <w:rPr>
          <w:rFonts w:eastAsia="Times New Roman" w:cs="Times New Roman"/>
          <w:color w:val="4A4A4A"/>
          <w:sz w:val="21"/>
          <w:szCs w:val="21"/>
          <w:lang w:eastAsia="en-GB"/>
        </w:rPr>
        <w:t>s</w:t>
      </w:r>
      <w:r w:rsidR="00A44990" w:rsidRPr="00A44990">
        <w:rPr>
          <w:rFonts w:eastAsia="Times New Roman" w:cs="Times New Roman"/>
          <w:color w:val="4A4A4A"/>
          <w:sz w:val="21"/>
          <w:szCs w:val="21"/>
          <w:lang w:eastAsia="en-GB"/>
        </w:rPr>
        <w:t xml:space="preserve"> to all other harassing behaviours that can cause fear for physical integrity and/or emotional distres</w:t>
      </w:r>
      <w:r w:rsidR="00A44990">
        <w:rPr>
          <w:rFonts w:eastAsia="Times New Roman" w:cs="Times New Roman"/>
          <w:color w:val="4A4A4A"/>
          <w:sz w:val="21"/>
          <w:szCs w:val="21"/>
          <w:lang w:eastAsia="en-GB"/>
        </w:rPr>
        <w:t>s. For use in a survey</w:t>
      </w:r>
      <w:r w:rsidRPr="00A048A4">
        <w:rPr>
          <w:rFonts w:eastAsia="Times New Roman" w:cs="Times New Roman"/>
          <w:color w:val="4A4A4A"/>
          <w:sz w:val="21"/>
          <w:szCs w:val="21"/>
          <w:lang w:eastAsia="en-GB"/>
        </w:rPr>
        <w:t xml:space="preserve">, it is necessary to </w:t>
      </w:r>
      <w:r w:rsidR="00A44990">
        <w:rPr>
          <w:rFonts w:eastAsia="Times New Roman" w:cs="Times New Roman"/>
          <w:color w:val="4A4A4A"/>
          <w:sz w:val="21"/>
          <w:szCs w:val="21"/>
          <w:lang w:eastAsia="en-GB"/>
        </w:rPr>
        <w:t xml:space="preserve">further </w:t>
      </w:r>
      <w:r>
        <w:rPr>
          <w:rFonts w:eastAsia="Times New Roman" w:cs="Times New Roman"/>
          <w:color w:val="4A4A4A"/>
          <w:sz w:val="21"/>
          <w:szCs w:val="21"/>
          <w:lang w:eastAsia="en-GB"/>
        </w:rPr>
        <w:t xml:space="preserve">operationalize the concept and to </w:t>
      </w:r>
      <w:r w:rsidRPr="00A048A4">
        <w:rPr>
          <w:rFonts w:eastAsia="Times New Roman" w:cs="Times New Roman"/>
          <w:color w:val="4A4A4A"/>
          <w:sz w:val="21"/>
          <w:szCs w:val="21"/>
          <w:lang w:eastAsia="en-GB"/>
        </w:rPr>
        <w:t xml:space="preserve">identify more precisely the set of behaviours and their circumstances to be considered as harassment. </w:t>
      </w:r>
      <w:r>
        <w:rPr>
          <w:rFonts w:eastAsia="Times New Roman" w:cs="Times New Roman"/>
          <w:color w:val="4A4A4A"/>
          <w:sz w:val="21"/>
          <w:szCs w:val="21"/>
          <w:lang w:eastAsia="en-GB"/>
        </w:rPr>
        <w:t xml:space="preserve">On the basis of </w:t>
      </w:r>
      <w:r w:rsidR="00A3053F">
        <w:rPr>
          <w:rFonts w:eastAsia="Times New Roman" w:cs="Times New Roman"/>
          <w:color w:val="4A4A4A"/>
          <w:sz w:val="21"/>
          <w:szCs w:val="21"/>
          <w:lang w:eastAsia="en-GB"/>
        </w:rPr>
        <w:t xml:space="preserve">past surveys, </w:t>
      </w:r>
      <w:r>
        <w:rPr>
          <w:rFonts w:eastAsia="Times New Roman" w:cs="Times New Roman"/>
          <w:color w:val="4A4A4A"/>
          <w:sz w:val="21"/>
          <w:szCs w:val="21"/>
          <w:lang w:eastAsia="en-GB"/>
        </w:rPr>
        <w:t xml:space="preserve">expert discussions and with the inputs from the </w:t>
      </w:r>
      <w:r w:rsidRPr="00A048A4">
        <w:rPr>
          <w:rFonts w:eastAsia="Times New Roman" w:cs="Times New Roman"/>
          <w:color w:val="4A4A4A"/>
          <w:sz w:val="21"/>
          <w:szCs w:val="21"/>
          <w:lang w:eastAsia="en-GB"/>
        </w:rPr>
        <w:t>network of UN-CTS National Focal Points</w:t>
      </w:r>
      <w:r>
        <w:rPr>
          <w:rStyle w:val="FootnoteReference"/>
          <w:rFonts w:eastAsia="Times New Roman" w:cs="Times New Roman"/>
          <w:color w:val="4A4A4A"/>
          <w:sz w:val="21"/>
          <w:szCs w:val="21"/>
          <w:lang w:eastAsia="en-GB"/>
        </w:rPr>
        <w:footnoteReference w:id="1"/>
      </w:r>
      <w:r>
        <w:rPr>
          <w:rFonts w:eastAsia="Times New Roman" w:cs="Times New Roman"/>
          <w:color w:val="4A4A4A"/>
          <w:sz w:val="21"/>
          <w:szCs w:val="21"/>
          <w:lang w:eastAsia="en-GB"/>
        </w:rPr>
        <w:t xml:space="preserve">, a set of pertinent behaviours was identified and formulated for testing in a pilot survey module. The first tests of the survey module were carried out in </w:t>
      </w:r>
      <w:r w:rsidR="004F2FE0">
        <w:rPr>
          <w:rFonts w:eastAsia="Times New Roman" w:cs="Times New Roman"/>
          <w:color w:val="4A4A4A"/>
          <w:sz w:val="21"/>
          <w:szCs w:val="21"/>
          <w:lang w:eastAsia="en-GB"/>
        </w:rPr>
        <w:t xml:space="preserve">2019 in </w:t>
      </w:r>
      <w:r>
        <w:rPr>
          <w:rFonts w:eastAsia="Times New Roman" w:cs="Times New Roman"/>
          <w:color w:val="4A4A4A"/>
          <w:sz w:val="21"/>
          <w:szCs w:val="21"/>
          <w:lang w:eastAsia="en-GB"/>
        </w:rPr>
        <w:t xml:space="preserve">Nigeria and Saint Lucia and the revised survey module was included in a </w:t>
      </w:r>
      <w:r w:rsidRPr="00A048A4">
        <w:rPr>
          <w:rFonts w:eastAsia="Times New Roman" w:cs="Times New Roman"/>
          <w:color w:val="4A4A4A"/>
          <w:sz w:val="21"/>
          <w:szCs w:val="21"/>
          <w:lang w:eastAsia="en-GB"/>
        </w:rPr>
        <w:t xml:space="preserve">large representative household survey in Nigeria (sample 33,000 interviews) in June 2019, conducted by the National Bureau of Statistics of Nigeria. </w:t>
      </w:r>
      <w:r w:rsidR="00403431" w:rsidRPr="00403431">
        <w:rPr>
          <w:rFonts w:eastAsia="Times New Roman" w:cs="Times New Roman"/>
          <w:color w:val="4A4A4A"/>
          <w:sz w:val="21"/>
          <w:szCs w:val="21"/>
          <w:lang w:eastAsia="en-GB"/>
        </w:rPr>
        <w:t>The module will also be included in a 2019 pilot survey conducted by the National Statistical Office of Mexico (INEGI)</w:t>
      </w:r>
      <w:r w:rsidR="0020650B">
        <w:rPr>
          <w:rFonts w:eastAsia="Times New Roman" w:cs="Times New Roman"/>
          <w:color w:val="4A4A4A"/>
          <w:sz w:val="21"/>
          <w:szCs w:val="21"/>
          <w:lang w:eastAsia="en-GB"/>
        </w:rPr>
        <w:t xml:space="preserve"> and in a full household survey in Saint Lucia in 2019</w:t>
      </w:r>
      <w:r w:rsidR="00403431" w:rsidRPr="00403431">
        <w:rPr>
          <w:rFonts w:eastAsia="Times New Roman" w:cs="Times New Roman"/>
          <w:color w:val="4A4A4A"/>
          <w:sz w:val="21"/>
          <w:szCs w:val="21"/>
          <w:lang w:eastAsia="en-GB"/>
        </w:rPr>
        <w:t>.</w:t>
      </w:r>
    </w:p>
    <w:p w14:paraId="27A054D1" w14:textId="77777777" w:rsidR="00C13B2C" w:rsidRDefault="00C13B2C" w:rsidP="00C13B2C">
      <w:pPr>
        <w:shd w:val="clear" w:color="auto" w:fill="FFFFFF"/>
        <w:spacing w:after="0"/>
        <w:jc w:val="both"/>
        <w:rPr>
          <w:rFonts w:eastAsia="Times New Roman" w:cs="Times New Roman"/>
          <w:color w:val="4A4A4A"/>
          <w:sz w:val="21"/>
          <w:szCs w:val="21"/>
          <w:lang w:eastAsia="en-GB"/>
        </w:rPr>
      </w:pPr>
    </w:p>
    <w:p w14:paraId="06568942" w14:textId="6C471411" w:rsidR="004F2FE0" w:rsidRDefault="004F2FE0" w:rsidP="00C13B2C">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While the precise formulation and wording of the pertinent survey questions may need </w:t>
      </w:r>
      <w:r w:rsidR="00914C8F">
        <w:rPr>
          <w:rFonts w:eastAsia="Times New Roman" w:cs="Times New Roman"/>
          <w:color w:val="4A4A4A"/>
          <w:sz w:val="21"/>
          <w:szCs w:val="21"/>
          <w:lang w:eastAsia="en-GB"/>
        </w:rPr>
        <w:t>national customization</w:t>
      </w:r>
      <w:r w:rsidR="00C86A29">
        <w:rPr>
          <w:rFonts w:eastAsia="Times New Roman" w:cs="Times New Roman"/>
          <w:color w:val="4A4A4A"/>
          <w:sz w:val="21"/>
          <w:szCs w:val="21"/>
          <w:lang w:eastAsia="en-GB"/>
        </w:rPr>
        <w:t>, a core set of behaviours have been identified as forms of harassment exercised towards a person (see Annex</w:t>
      </w:r>
      <w:r w:rsidR="00C13B2C">
        <w:rPr>
          <w:rFonts w:eastAsia="Times New Roman" w:cs="Times New Roman"/>
          <w:color w:val="4A4A4A"/>
          <w:sz w:val="21"/>
          <w:szCs w:val="21"/>
          <w:lang w:eastAsia="en-GB"/>
        </w:rPr>
        <w:t xml:space="preserve"> A of the Methodology Development Narrative</w:t>
      </w:r>
      <w:r w:rsidR="00C86A29">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6750E3E1" w14:textId="77777777" w:rsidR="00803CF1" w:rsidRDefault="00803CF1" w:rsidP="00573631">
      <w:pPr>
        <w:shd w:val="clear" w:color="auto" w:fill="FFFFFF"/>
        <w:spacing w:after="0"/>
        <w:rPr>
          <w:rFonts w:eastAsia="Times New Roman" w:cs="Times New Roman"/>
          <w:color w:val="4A4A4A"/>
          <w:sz w:val="21"/>
          <w:szCs w:val="21"/>
          <w:lang w:eastAsia="en-GB"/>
        </w:rPr>
      </w:pP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570926E1" w14:textId="536559F5" w:rsidR="004F2FE0" w:rsidRPr="004F1F61" w:rsidRDefault="004F2FE0" w:rsidP="006B20B0">
      <w:pPr>
        <w:shd w:val="clear" w:color="auto" w:fill="FFFFFF"/>
        <w:spacing w:after="0"/>
        <w:jc w:val="both"/>
        <w:rPr>
          <w:rFonts w:eastAsia="Times New Roman" w:cs="Times New Roman"/>
          <w:color w:val="4A4A4A"/>
          <w:sz w:val="21"/>
          <w:szCs w:val="21"/>
          <w:lang w:eastAsia="en-GB"/>
        </w:rPr>
      </w:pPr>
      <w:r w:rsidRPr="004F1F61">
        <w:rPr>
          <w:rFonts w:eastAsia="Times New Roman" w:cs="Times New Roman"/>
          <w:color w:val="4A4A4A"/>
          <w:sz w:val="21"/>
          <w:szCs w:val="21"/>
          <w:lang w:eastAsia="en-GB"/>
        </w:rPr>
        <w:t xml:space="preserve">Like other experience-based indicators on victimization, the indicator reflects the experience from the perspective of the victim. </w:t>
      </w:r>
      <w:r w:rsidR="00971A95" w:rsidRPr="004F1F61">
        <w:rPr>
          <w:rFonts w:eastAsia="Times New Roman" w:cs="Times New Roman"/>
          <w:color w:val="4A4A4A"/>
          <w:sz w:val="21"/>
          <w:szCs w:val="21"/>
          <w:lang w:eastAsia="en-GB"/>
        </w:rPr>
        <w:t>As such, the response provided by the victim</w:t>
      </w:r>
      <w:r w:rsidR="00F50DFD">
        <w:rPr>
          <w:rFonts w:eastAsia="Times New Roman" w:cs="Times New Roman"/>
          <w:color w:val="4A4A4A"/>
          <w:sz w:val="21"/>
          <w:szCs w:val="21"/>
          <w:lang w:eastAsia="en-GB"/>
        </w:rPr>
        <w:t>s</w:t>
      </w:r>
      <w:r w:rsidR="00971A95" w:rsidRPr="004F1F61">
        <w:rPr>
          <w:rFonts w:eastAsia="Times New Roman" w:cs="Times New Roman"/>
          <w:color w:val="4A4A4A"/>
          <w:sz w:val="21"/>
          <w:szCs w:val="21"/>
          <w:lang w:eastAsia="en-GB"/>
        </w:rPr>
        <w:t xml:space="preserve"> reflects their </w:t>
      </w:r>
      <w:r w:rsidR="00C86A29">
        <w:rPr>
          <w:rFonts w:eastAsia="Times New Roman" w:cs="Times New Roman"/>
          <w:color w:val="4A4A4A"/>
          <w:sz w:val="21"/>
          <w:szCs w:val="21"/>
          <w:lang w:eastAsia="en-GB"/>
        </w:rPr>
        <w:t xml:space="preserve">experience as well as their </w:t>
      </w:r>
      <w:r w:rsidR="00971A95" w:rsidRPr="004F1F61">
        <w:rPr>
          <w:rFonts w:eastAsia="Times New Roman" w:cs="Times New Roman"/>
          <w:color w:val="4A4A4A"/>
          <w:sz w:val="21"/>
          <w:szCs w:val="21"/>
          <w:lang w:eastAsia="en-GB"/>
        </w:rPr>
        <w:t xml:space="preserve">subjective feeling of victimization, irrespective of whether actual harm was intended or not. </w:t>
      </w:r>
      <w:r w:rsidR="00C86A29">
        <w:rPr>
          <w:rFonts w:eastAsia="Times New Roman" w:cs="Times New Roman"/>
          <w:color w:val="4A4A4A"/>
          <w:sz w:val="21"/>
          <w:szCs w:val="21"/>
          <w:lang w:eastAsia="en-GB"/>
        </w:rPr>
        <w:t>T</w:t>
      </w:r>
      <w:r w:rsidR="00971A95" w:rsidRPr="004F1F61">
        <w:rPr>
          <w:rFonts w:eastAsia="Times New Roman" w:cs="Times New Roman"/>
          <w:color w:val="4A4A4A"/>
          <w:sz w:val="21"/>
          <w:szCs w:val="21"/>
          <w:lang w:eastAsia="en-GB"/>
        </w:rPr>
        <w:t xml:space="preserve">he subjective feeling of victimization is an important component of safety and security across space and time (for example, in cities or in the domestic sphere) and a higher prevalence of experienced physical or sexual harassment indicates a negative environment that warrants appropriate responses and interventions. </w:t>
      </w:r>
    </w:p>
    <w:p w14:paraId="63918F10" w14:textId="28B4440F" w:rsidR="00971A95" w:rsidRPr="004F1F61" w:rsidRDefault="00971A95" w:rsidP="006B20B0">
      <w:pPr>
        <w:shd w:val="clear" w:color="auto" w:fill="FFFFFF"/>
        <w:spacing w:after="0"/>
        <w:jc w:val="both"/>
        <w:rPr>
          <w:rFonts w:eastAsia="Times New Roman" w:cs="Times New Roman"/>
          <w:color w:val="4A4A4A"/>
          <w:sz w:val="21"/>
          <w:szCs w:val="21"/>
          <w:lang w:eastAsia="en-GB"/>
        </w:rPr>
      </w:pPr>
      <w:r w:rsidRPr="004F1F61">
        <w:rPr>
          <w:rFonts w:eastAsia="Times New Roman" w:cs="Times New Roman"/>
          <w:color w:val="4A4A4A"/>
          <w:sz w:val="21"/>
          <w:szCs w:val="21"/>
          <w:lang w:eastAsia="en-GB"/>
        </w:rPr>
        <w:t xml:space="preserve">Like other survey-based indicators, the scope of the indicator also relies on the design and sampling strategy of the survey. </w:t>
      </w:r>
      <w:r w:rsidR="004F1F61" w:rsidRPr="004F1F61">
        <w:rPr>
          <w:rFonts w:eastAsia="Times New Roman" w:cs="Times New Roman"/>
          <w:color w:val="4A4A4A"/>
          <w:sz w:val="21"/>
          <w:szCs w:val="21"/>
          <w:lang w:eastAsia="en-GB"/>
        </w:rPr>
        <w:t>For example, m</w:t>
      </w:r>
      <w:r w:rsidRPr="004F1F61">
        <w:rPr>
          <w:rFonts w:eastAsia="Times New Roman" w:cs="Times New Roman"/>
          <w:color w:val="4A4A4A"/>
          <w:sz w:val="21"/>
          <w:szCs w:val="21"/>
          <w:lang w:eastAsia="en-GB"/>
        </w:rPr>
        <w:t xml:space="preserve">ost surveys set a low age-limit for practical and ethical reasons (e.g. 18 years and older), which means that data </w:t>
      </w:r>
      <w:r w:rsidR="00BA4260">
        <w:rPr>
          <w:rFonts w:eastAsia="Times New Roman" w:cs="Times New Roman"/>
          <w:color w:val="4A4A4A"/>
          <w:sz w:val="21"/>
          <w:szCs w:val="21"/>
          <w:lang w:eastAsia="en-GB"/>
        </w:rPr>
        <w:t>are</w:t>
      </w:r>
      <w:r w:rsidRPr="004F1F61">
        <w:rPr>
          <w:rFonts w:eastAsia="Times New Roman" w:cs="Times New Roman"/>
          <w:color w:val="4A4A4A"/>
          <w:sz w:val="21"/>
          <w:szCs w:val="21"/>
          <w:lang w:eastAsia="en-GB"/>
        </w:rPr>
        <w:t xml:space="preserve"> representative for youth under 18 years.</w:t>
      </w:r>
      <w:r w:rsidR="00A44990">
        <w:rPr>
          <w:rStyle w:val="FootnoteReference"/>
          <w:rFonts w:eastAsia="Times New Roman" w:cs="Times New Roman"/>
          <w:color w:val="4A4A4A"/>
          <w:sz w:val="21"/>
          <w:szCs w:val="21"/>
          <w:lang w:eastAsia="en-GB"/>
        </w:rPr>
        <w:footnoteReference w:id="2"/>
      </w:r>
      <w:r w:rsidRPr="004F1F61">
        <w:rPr>
          <w:rFonts w:eastAsia="Times New Roman" w:cs="Times New Roman"/>
          <w:color w:val="4A4A4A"/>
          <w:sz w:val="21"/>
          <w:szCs w:val="21"/>
          <w:lang w:eastAsia="en-GB"/>
        </w:rPr>
        <w:t xml:space="preserve"> Harassment specifically linked to disability requires relatively large sample sizes in order to obtain a sufficiently large number of </w:t>
      </w:r>
      <w:r w:rsidR="004F1F61" w:rsidRPr="004F1F61">
        <w:rPr>
          <w:rFonts w:eastAsia="Times New Roman" w:cs="Times New Roman"/>
          <w:color w:val="4A4A4A"/>
          <w:sz w:val="21"/>
          <w:szCs w:val="21"/>
          <w:lang w:eastAsia="en-GB"/>
        </w:rPr>
        <w:t>disabled persons in the sample.</w:t>
      </w:r>
    </w:p>
    <w:p w14:paraId="2FDE940C" w14:textId="2A1B4F17" w:rsidR="00A61D74" w:rsidRDefault="00A61D74" w:rsidP="00573631">
      <w:pPr>
        <w:shd w:val="clear" w:color="auto" w:fill="FFFFFF"/>
        <w:spacing w:after="0"/>
        <w:rPr>
          <w:rFonts w:eastAsia="Times New Roman" w:cs="Times New Roman"/>
          <w:color w:val="4A4A4A"/>
          <w:sz w:val="21"/>
          <w:szCs w:val="21"/>
          <w:lang w:eastAsia="en-GB"/>
        </w:rPr>
      </w:pPr>
    </w:p>
    <w:p w14:paraId="6278FAFD" w14:textId="209D29C9" w:rsidR="00C13B2C" w:rsidRDefault="00C86A2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same behaviour can have different meanings and therefore have a different impact across cultural contexts and population groups. </w:t>
      </w:r>
      <w:r w:rsidR="00C13B2C">
        <w:rPr>
          <w:rFonts w:eastAsia="Times New Roman" w:cs="Times New Roman"/>
          <w:color w:val="4A4A4A"/>
          <w:sz w:val="21"/>
          <w:szCs w:val="21"/>
          <w:lang w:eastAsia="en-GB"/>
        </w:rPr>
        <w:t>F</w:t>
      </w:r>
      <w:r>
        <w:rPr>
          <w:rFonts w:eastAsia="Times New Roman" w:cs="Times New Roman"/>
          <w:color w:val="4A4A4A"/>
          <w:sz w:val="21"/>
          <w:szCs w:val="21"/>
          <w:lang w:eastAsia="en-GB"/>
        </w:rPr>
        <w:t xml:space="preserve">or this reason, the selection of </w:t>
      </w:r>
      <w:r w:rsidR="00B42EF8">
        <w:rPr>
          <w:rFonts w:eastAsia="Times New Roman" w:cs="Times New Roman"/>
          <w:color w:val="4A4A4A"/>
          <w:sz w:val="21"/>
          <w:szCs w:val="21"/>
          <w:lang w:eastAsia="en-GB"/>
        </w:rPr>
        <w:t xml:space="preserve">‘harassment’ </w:t>
      </w:r>
      <w:r>
        <w:rPr>
          <w:rFonts w:eastAsia="Times New Roman" w:cs="Times New Roman"/>
          <w:color w:val="4A4A4A"/>
          <w:sz w:val="21"/>
          <w:szCs w:val="21"/>
          <w:lang w:eastAsia="en-GB"/>
        </w:rPr>
        <w:t xml:space="preserve">behaviours has been made also with the view of identifying </w:t>
      </w:r>
      <w:r w:rsidR="00B42EF8">
        <w:rPr>
          <w:rFonts w:eastAsia="Times New Roman" w:cs="Times New Roman"/>
          <w:color w:val="4A4A4A"/>
          <w:sz w:val="21"/>
          <w:szCs w:val="21"/>
          <w:lang w:eastAsia="en-GB"/>
        </w:rPr>
        <w:t xml:space="preserve">situations of </w:t>
      </w:r>
      <w:r>
        <w:rPr>
          <w:rFonts w:eastAsia="Times New Roman" w:cs="Times New Roman"/>
          <w:color w:val="4A4A4A"/>
          <w:sz w:val="21"/>
          <w:szCs w:val="21"/>
          <w:lang w:eastAsia="en-GB"/>
        </w:rPr>
        <w:t xml:space="preserve">harassment that can be perceived as such across different social and cultural contexts. </w:t>
      </w:r>
    </w:p>
    <w:p w14:paraId="1B66E8A0" w14:textId="77777777" w:rsidR="004F1F61" w:rsidRPr="00573631" w:rsidRDefault="004F1F61" w:rsidP="00C86A29">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64F6F947" w14:textId="67F982BB" w:rsidR="002549E6" w:rsidRPr="004B7134" w:rsidRDefault="004B7134" w:rsidP="006B20B0">
      <w:pPr>
        <w:shd w:val="clear" w:color="auto" w:fill="FFFFFF"/>
        <w:spacing w:after="0"/>
        <w:jc w:val="both"/>
        <w:rPr>
          <w:rFonts w:eastAsia="Times New Roman" w:cs="Times New Roman"/>
          <w:color w:val="4A4A4A"/>
          <w:sz w:val="21"/>
          <w:szCs w:val="21"/>
          <w:lang w:eastAsia="en-GB"/>
        </w:rPr>
      </w:pPr>
      <w:r w:rsidRPr="004F2FE0">
        <w:rPr>
          <w:rFonts w:eastAsia="Times New Roman" w:cs="Times New Roman"/>
          <w:color w:val="4A4A4A"/>
          <w:sz w:val="21"/>
          <w:szCs w:val="21"/>
          <w:lang w:eastAsia="en-GB"/>
        </w:rPr>
        <w:t xml:space="preserve">Number of persons who </w:t>
      </w:r>
      <w:r>
        <w:rPr>
          <w:rFonts w:eastAsia="Times New Roman" w:cs="Times New Roman"/>
          <w:color w:val="4A4A4A"/>
          <w:sz w:val="21"/>
          <w:szCs w:val="21"/>
          <w:lang w:eastAsia="en-GB"/>
        </w:rPr>
        <w:t>experienced a form</w:t>
      </w:r>
      <w:r w:rsidRPr="004F2FE0">
        <w:rPr>
          <w:rFonts w:eastAsia="Times New Roman" w:cs="Times New Roman"/>
          <w:color w:val="4A4A4A"/>
          <w:sz w:val="21"/>
          <w:szCs w:val="21"/>
          <w:lang w:eastAsia="en-GB"/>
        </w:rPr>
        <w:t xml:space="preserve"> of physical harassment </w:t>
      </w:r>
      <w:r w:rsidR="00B42EF8">
        <w:rPr>
          <w:rFonts w:eastAsia="Times New Roman" w:cs="Times New Roman"/>
          <w:color w:val="4A4A4A"/>
          <w:sz w:val="21"/>
          <w:szCs w:val="21"/>
          <w:lang w:eastAsia="en-GB"/>
        </w:rPr>
        <w:t>and/</w:t>
      </w:r>
      <w:r w:rsidRPr="004F2FE0">
        <w:rPr>
          <w:rFonts w:eastAsia="Times New Roman" w:cs="Times New Roman"/>
          <w:color w:val="4A4A4A"/>
          <w:sz w:val="21"/>
          <w:szCs w:val="21"/>
          <w:lang w:eastAsia="en-GB"/>
        </w:rPr>
        <w:t xml:space="preserve">or sexual harassment, </w:t>
      </w:r>
      <w:r>
        <w:rPr>
          <w:rFonts w:eastAsia="Times New Roman" w:cs="Times New Roman"/>
          <w:color w:val="4A4A4A"/>
          <w:sz w:val="21"/>
          <w:szCs w:val="21"/>
          <w:lang w:eastAsia="en-GB"/>
        </w:rPr>
        <w:t xml:space="preserve">divided by the total </w:t>
      </w:r>
      <w:r w:rsidR="00403431">
        <w:rPr>
          <w:rFonts w:eastAsia="Times New Roman" w:cs="Times New Roman"/>
          <w:color w:val="4A4A4A"/>
          <w:sz w:val="21"/>
          <w:szCs w:val="21"/>
          <w:lang w:eastAsia="en-GB"/>
        </w:rPr>
        <w:t>population</w:t>
      </w:r>
      <w:r>
        <w:rPr>
          <w:rFonts w:eastAsia="Times New Roman" w:cs="Times New Roman"/>
          <w:color w:val="4A4A4A"/>
          <w:sz w:val="21"/>
          <w:szCs w:val="21"/>
          <w:lang w:eastAsia="en-GB"/>
        </w:rPr>
        <w:t xml:space="preserve">. </w:t>
      </w:r>
      <w:r w:rsidR="002549E6" w:rsidRPr="006B20B0">
        <w:rPr>
          <w:rFonts w:eastAsia="Times New Roman" w:cs="Times New Roman"/>
          <w:color w:val="4A4A4A"/>
          <w:sz w:val="21"/>
          <w:szCs w:val="21"/>
          <w:lang w:eastAsia="en-GB"/>
        </w:rPr>
        <w:t>The result would be multiplied by 100.</w:t>
      </w:r>
    </w:p>
    <w:p w14:paraId="71C61552" w14:textId="77777777" w:rsidR="002549E6" w:rsidRPr="006B20B0" w:rsidRDefault="002549E6" w:rsidP="006B20B0">
      <w:pPr>
        <w:shd w:val="clear" w:color="auto" w:fill="FFFFFF"/>
        <w:spacing w:after="0"/>
        <w:jc w:val="both"/>
        <w:rPr>
          <w:rFonts w:eastAsia="Times New Roman" w:cs="Times New Roman"/>
          <w:color w:val="4A4A4A"/>
          <w:sz w:val="21"/>
          <w:szCs w:val="21"/>
          <w:lang w:eastAsia="en-GB"/>
        </w:rPr>
      </w:pPr>
    </w:p>
    <w:p w14:paraId="572CE6A5" w14:textId="62BABAC5" w:rsidR="002549E6" w:rsidRPr="006B20B0" w:rsidRDefault="002549E6" w:rsidP="006B20B0">
      <w:pPr>
        <w:shd w:val="clear" w:color="auto" w:fill="FFFFFF"/>
        <w:spacing w:after="0"/>
        <w:jc w:val="both"/>
        <w:rPr>
          <w:rFonts w:eastAsia="Times New Roman" w:cs="Times New Roman"/>
          <w:color w:val="4A4A4A"/>
          <w:sz w:val="21"/>
          <w:szCs w:val="21"/>
          <w:lang w:eastAsia="en-GB"/>
        </w:rPr>
      </w:pPr>
      <w:r w:rsidRPr="006B20B0">
        <w:rPr>
          <w:rFonts w:eastAsia="Times New Roman" w:cs="Times New Roman"/>
          <w:color w:val="4A4A4A"/>
          <w:sz w:val="21"/>
          <w:szCs w:val="21"/>
          <w:lang w:eastAsia="en-GB"/>
        </w:rPr>
        <w:t xml:space="preserve">This is a survey-based indicator that </w:t>
      </w:r>
      <w:r w:rsidR="004B7134" w:rsidRPr="006B20B0">
        <w:rPr>
          <w:rFonts w:eastAsia="Times New Roman" w:cs="Times New Roman"/>
          <w:color w:val="4A4A4A"/>
          <w:sz w:val="21"/>
          <w:szCs w:val="21"/>
          <w:lang w:eastAsia="en-GB"/>
        </w:rPr>
        <w:t>measures the experience of any of a set of behaviours that are collectively referred to as physical harassment and sexual harassment.</w:t>
      </w:r>
      <w:r w:rsidRPr="006B20B0">
        <w:rPr>
          <w:rFonts w:eastAsia="Times New Roman" w:cs="Times New Roman"/>
          <w:color w:val="4A4A4A"/>
          <w:sz w:val="21"/>
          <w:szCs w:val="21"/>
          <w:lang w:eastAsia="en-GB"/>
        </w:rPr>
        <w:t xml:space="preserve"> </w:t>
      </w:r>
      <w:r w:rsidR="004B7134" w:rsidRPr="006B20B0">
        <w:rPr>
          <w:rFonts w:eastAsia="Times New Roman" w:cs="Times New Roman"/>
          <w:color w:val="4A4A4A"/>
          <w:sz w:val="21"/>
          <w:szCs w:val="21"/>
          <w:lang w:eastAsia="en-GB"/>
        </w:rPr>
        <w:t xml:space="preserve">Questions on physical and sexual harassment are to be measured separately. The results can then be combined. </w:t>
      </w:r>
      <w:r w:rsidRPr="006B20B0">
        <w:rPr>
          <w:rFonts w:eastAsia="Times New Roman" w:cs="Times New Roman"/>
          <w:color w:val="4A4A4A"/>
          <w:sz w:val="21"/>
          <w:szCs w:val="21"/>
          <w:lang w:eastAsia="en-GB"/>
        </w:rPr>
        <w:t>Both numerator and denominator are measured through sample surveys of the general population.</w:t>
      </w:r>
    </w:p>
    <w:p w14:paraId="70992B85" w14:textId="08341553" w:rsidR="002549E6" w:rsidRDefault="002549E6" w:rsidP="006B20B0">
      <w:pPr>
        <w:shd w:val="clear" w:color="auto" w:fill="FFFFFF"/>
        <w:spacing w:after="0"/>
        <w:jc w:val="both"/>
        <w:rPr>
          <w:rFonts w:eastAsia="Times New Roman" w:cs="Times New Roman"/>
          <w:color w:val="4A4A4A"/>
          <w:sz w:val="21"/>
          <w:szCs w:val="21"/>
          <w:lang w:eastAsia="en-GB"/>
        </w:rPr>
      </w:pPr>
      <w:r w:rsidRPr="006B20B0">
        <w:rPr>
          <w:rFonts w:eastAsia="Times New Roman" w:cs="Times New Roman"/>
          <w:color w:val="4A4A4A"/>
          <w:sz w:val="21"/>
          <w:szCs w:val="21"/>
          <w:lang w:eastAsia="en-GB"/>
        </w:rPr>
        <w:t xml:space="preserve">The computation of this indicator requires the inclusion of a short module of </w:t>
      </w:r>
      <w:r w:rsidR="006B20B0" w:rsidRPr="006B20B0">
        <w:rPr>
          <w:rFonts w:eastAsia="Times New Roman" w:cs="Times New Roman"/>
          <w:color w:val="4A4A4A"/>
          <w:sz w:val="21"/>
          <w:szCs w:val="21"/>
          <w:lang w:eastAsia="en-GB"/>
        </w:rPr>
        <w:t>eight</w:t>
      </w:r>
      <w:r w:rsidRPr="006B20B0">
        <w:rPr>
          <w:rFonts w:eastAsia="Times New Roman" w:cs="Times New Roman"/>
          <w:color w:val="4A4A4A"/>
          <w:sz w:val="21"/>
          <w:szCs w:val="21"/>
          <w:lang w:eastAsia="en-GB"/>
        </w:rPr>
        <w:t xml:space="preserve"> questions in a representative population survey. The following table illustrates the content of the questions needed to compute the indicator.</w:t>
      </w:r>
    </w:p>
    <w:p w14:paraId="708E31F4" w14:textId="77777777" w:rsidR="006B20B0" w:rsidRPr="006B20B0" w:rsidRDefault="006B20B0" w:rsidP="006B20B0">
      <w:pPr>
        <w:shd w:val="clear" w:color="auto" w:fill="FFFFFF"/>
        <w:spacing w:after="0"/>
        <w:jc w:val="both"/>
        <w:rPr>
          <w:rFonts w:eastAsia="Times New Roman" w:cs="Times New Roman"/>
          <w:color w:val="4A4A4A"/>
          <w:sz w:val="21"/>
          <w:szCs w:val="21"/>
          <w:lang w:eastAsia="en-GB"/>
        </w:rPr>
      </w:pPr>
    </w:p>
    <w:tbl>
      <w:tblPr>
        <w:tblStyle w:val="TableGrid"/>
        <w:tblW w:w="9209" w:type="dxa"/>
        <w:tblInd w:w="0" w:type="dxa"/>
        <w:tblLook w:val="04A0" w:firstRow="1" w:lastRow="0" w:firstColumn="1" w:lastColumn="0" w:noHBand="0" w:noVBand="1"/>
      </w:tblPr>
      <w:tblGrid>
        <w:gridCol w:w="5353"/>
        <w:gridCol w:w="3856"/>
      </w:tblGrid>
      <w:tr w:rsidR="002549E6" w14:paraId="1027DEDF" w14:textId="77777777" w:rsidTr="00A3053F">
        <w:tc>
          <w:tcPr>
            <w:tcW w:w="5353" w:type="dxa"/>
            <w:tcBorders>
              <w:top w:val="single" w:sz="4" w:space="0" w:color="000000"/>
              <w:left w:val="single" w:sz="4" w:space="0" w:color="000000"/>
              <w:bottom w:val="single" w:sz="4" w:space="0" w:color="000000"/>
              <w:right w:val="single" w:sz="4" w:space="0" w:color="000000"/>
            </w:tcBorders>
            <w:shd w:val="pct25" w:color="auto" w:fill="auto"/>
            <w:hideMark/>
          </w:tcPr>
          <w:p w14:paraId="3F277684" w14:textId="77777777" w:rsidR="002549E6" w:rsidRDefault="002549E6">
            <w:pPr>
              <w:jc w:val="center"/>
              <w:rPr>
                <w:b/>
                <w:bCs/>
              </w:rPr>
            </w:pPr>
            <w:r>
              <w:rPr>
                <w:b/>
                <w:bCs/>
              </w:rPr>
              <w:t>Content of question</w:t>
            </w:r>
          </w:p>
        </w:tc>
        <w:tc>
          <w:tcPr>
            <w:tcW w:w="3856" w:type="dxa"/>
            <w:tcBorders>
              <w:top w:val="single" w:sz="4" w:space="0" w:color="000000"/>
              <w:left w:val="single" w:sz="4" w:space="0" w:color="000000"/>
              <w:bottom w:val="single" w:sz="4" w:space="0" w:color="000000"/>
              <w:right w:val="single" w:sz="4" w:space="0" w:color="000000"/>
            </w:tcBorders>
            <w:shd w:val="pct25" w:color="auto" w:fill="auto"/>
            <w:hideMark/>
          </w:tcPr>
          <w:p w14:paraId="67FA80B0" w14:textId="77777777" w:rsidR="002549E6" w:rsidRDefault="002549E6">
            <w:pPr>
              <w:jc w:val="center"/>
              <w:rPr>
                <w:b/>
                <w:bCs/>
              </w:rPr>
            </w:pPr>
            <w:r>
              <w:rPr>
                <w:b/>
                <w:bCs/>
              </w:rPr>
              <w:t>Instruction</w:t>
            </w:r>
          </w:p>
        </w:tc>
      </w:tr>
      <w:tr w:rsidR="002549E6" w14:paraId="03AB68DC"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649DB8F2" w14:textId="0237C0E1" w:rsidR="002549E6" w:rsidRDefault="002549E6" w:rsidP="002549E6">
            <w:pPr>
              <w:pStyle w:val="ListParagraph"/>
              <w:numPr>
                <w:ilvl w:val="0"/>
                <w:numId w:val="7"/>
              </w:numPr>
              <w:jc w:val="both"/>
            </w:pPr>
            <w:r>
              <w:t xml:space="preserve">Experience of </w:t>
            </w:r>
            <w:r w:rsidR="004B7134">
              <w:t>sexual harassment in the past three years</w:t>
            </w:r>
            <w:r>
              <w:t xml:space="preserve">, by type of </w:t>
            </w:r>
            <w:r w:rsidR="004B7134">
              <w:t>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11CD1500" w14:textId="588D670E" w:rsidR="002549E6" w:rsidRDefault="002549E6">
            <w:pPr>
              <w:jc w:val="both"/>
            </w:pPr>
            <w:r>
              <w:t xml:space="preserve">If no </w:t>
            </w:r>
            <w:r w:rsidR="004B7134">
              <w:t>sexual harassment</w:t>
            </w:r>
            <w:r>
              <w:t xml:space="preserve"> was experienced, skip to </w:t>
            </w:r>
            <w:r w:rsidR="004B7134">
              <w:t>5</w:t>
            </w:r>
            <w:r>
              <w:t>, otherwise go to 2.</w:t>
            </w:r>
          </w:p>
        </w:tc>
      </w:tr>
      <w:tr w:rsidR="002549E6" w14:paraId="1C286923"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61E27AD0" w14:textId="1F81534B" w:rsidR="002549E6" w:rsidRDefault="002549E6" w:rsidP="002549E6">
            <w:pPr>
              <w:pStyle w:val="ListParagraph"/>
              <w:numPr>
                <w:ilvl w:val="0"/>
                <w:numId w:val="7"/>
              </w:numPr>
              <w:jc w:val="both"/>
            </w:pPr>
            <w:r>
              <w:t xml:space="preserve">Most recent </w:t>
            </w:r>
            <w:r w:rsidR="004B7134">
              <w:t>type of harassment</w:t>
            </w:r>
            <w:r>
              <w:t xml:space="preserve"> experienced</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488E74EC" w14:textId="77777777" w:rsidR="002549E6" w:rsidRDefault="002549E6">
            <w:pPr>
              <w:jc w:val="both"/>
            </w:pPr>
            <w:r>
              <w:t>Continue with 3.</w:t>
            </w:r>
          </w:p>
        </w:tc>
      </w:tr>
      <w:tr w:rsidR="002549E6" w14:paraId="1D9F922D"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555630AA" w14:textId="4F9DB201" w:rsidR="002549E6" w:rsidRDefault="004B7134" w:rsidP="002549E6">
            <w:pPr>
              <w:pStyle w:val="ListParagraph"/>
              <w:numPr>
                <w:ilvl w:val="0"/>
                <w:numId w:val="7"/>
              </w:numPr>
              <w:jc w:val="both"/>
            </w:pPr>
            <w:r>
              <w:t>Time period of last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6695D880" w14:textId="1BC749C6" w:rsidR="002549E6" w:rsidRDefault="004B7134">
            <w:pPr>
              <w:jc w:val="both"/>
            </w:pPr>
            <w:r>
              <w:t>Continue with 4.</w:t>
            </w:r>
          </w:p>
        </w:tc>
      </w:tr>
      <w:tr w:rsidR="002549E6" w14:paraId="7336458E"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0DB77C80" w14:textId="303BEA76" w:rsidR="002549E6" w:rsidRDefault="004B7134" w:rsidP="002549E6">
            <w:pPr>
              <w:pStyle w:val="ListParagraph"/>
              <w:numPr>
                <w:ilvl w:val="0"/>
                <w:numId w:val="7"/>
              </w:numPr>
              <w:jc w:val="both"/>
            </w:pPr>
            <w:r>
              <w:t>Place of last harassment, by type of location</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532FFE29" w14:textId="2EB4CDFF" w:rsidR="002549E6" w:rsidRDefault="002549E6">
            <w:pPr>
              <w:jc w:val="both"/>
            </w:pPr>
            <w:r>
              <w:t xml:space="preserve">Go to </w:t>
            </w:r>
            <w:r w:rsidR="004B7134">
              <w:t>5</w:t>
            </w:r>
            <w:r>
              <w:t>.</w:t>
            </w:r>
          </w:p>
        </w:tc>
      </w:tr>
      <w:tr w:rsidR="004B7134" w14:paraId="06722A6A"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4015B4F7" w14:textId="358F453E" w:rsidR="004B7134" w:rsidRDefault="004B7134" w:rsidP="004B7134">
            <w:pPr>
              <w:pStyle w:val="ListParagraph"/>
              <w:numPr>
                <w:ilvl w:val="0"/>
                <w:numId w:val="7"/>
              </w:numPr>
              <w:jc w:val="both"/>
            </w:pPr>
            <w:r>
              <w:lastRenderedPageBreak/>
              <w:t xml:space="preserve">Experience of </w:t>
            </w:r>
            <w:r w:rsidR="006B20B0">
              <w:t>physical</w:t>
            </w:r>
            <w:r>
              <w:t xml:space="preserve"> harassment in the past three years, by type of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1BCC44A5" w14:textId="1F94C1F5" w:rsidR="004B7134" w:rsidRDefault="004B7134" w:rsidP="004B7134">
            <w:pPr>
              <w:jc w:val="both"/>
            </w:pPr>
            <w:r>
              <w:t xml:space="preserve">If no </w:t>
            </w:r>
            <w:r w:rsidR="006B20B0">
              <w:t xml:space="preserve">physical </w:t>
            </w:r>
            <w:r>
              <w:t xml:space="preserve">harassment was experienced, skip to </w:t>
            </w:r>
            <w:r w:rsidR="006B20B0">
              <w:t>END</w:t>
            </w:r>
            <w:r>
              <w:t xml:space="preserve">, otherwise go to </w:t>
            </w:r>
            <w:r w:rsidR="006B20B0">
              <w:t>6</w:t>
            </w:r>
            <w:r>
              <w:t>.</w:t>
            </w:r>
          </w:p>
        </w:tc>
      </w:tr>
      <w:tr w:rsidR="004B7134" w14:paraId="7738D5D5"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3B7A1306" w14:textId="2E36DB68" w:rsidR="004B7134" w:rsidRDefault="004B7134" w:rsidP="004B7134">
            <w:pPr>
              <w:pStyle w:val="ListParagraph"/>
              <w:numPr>
                <w:ilvl w:val="0"/>
                <w:numId w:val="7"/>
              </w:numPr>
              <w:jc w:val="both"/>
            </w:pPr>
            <w:r>
              <w:t>Most recent type of harassment experienced</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55389855" w14:textId="6F42696A" w:rsidR="004B7134" w:rsidRDefault="004B7134" w:rsidP="004B7134">
            <w:pPr>
              <w:jc w:val="both"/>
            </w:pPr>
            <w:r>
              <w:t xml:space="preserve">Continue with </w:t>
            </w:r>
            <w:r w:rsidR="006B20B0">
              <w:t>7</w:t>
            </w:r>
            <w:r>
              <w:t>.</w:t>
            </w:r>
          </w:p>
        </w:tc>
      </w:tr>
      <w:tr w:rsidR="004B7134" w14:paraId="0F1199AB"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46C5A854" w14:textId="55C04477" w:rsidR="004B7134" w:rsidRDefault="004B7134" w:rsidP="004B7134">
            <w:pPr>
              <w:pStyle w:val="ListParagraph"/>
              <w:numPr>
                <w:ilvl w:val="0"/>
                <w:numId w:val="7"/>
              </w:numPr>
              <w:jc w:val="both"/>
            </w:pPr>
            <w:r>
              <w:t>Time period of last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27D770DD" w14:textId="7446AC0B" w:rsidR="004B7134" w:rsidRDefault="004B7134" w:rsidP="004B7134">
            <w:pPr>
              <w:jc w:val="both"/>
            </w:pPr>
            <w:r>
              <w:t xml:space="preserve">Continue with </w:t>
            </w:r>
            <w:r w:rsidR="006B20B0">
              <w:t>8</w:t>
            </w:r>
            <w:r>
              <w:t>.</w:t>
            </w:r>
          </w:p>
        </w:tc>
      </w:tr>
      <w:tr w:rsidR="004B7134" w14:paraId="18D3A9B1" w14:textId="77777777" w:rsidTr="00A3053F">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02B60D18" w14:textId="076C434A" w:rsidR="004B7134" w:rsidRDefault="004B7134" w:rsidP="004B7134">
            <w:pPr>
              <w:pStyle w:val="ListParagraph"/>
              <w:numPr>
                <w:ilvl w:val="0"/>
                <w:numId w:val="7"/>
              </w:numPr>
              <w:jc w:val="both"/>
            </w:pPr>
            <w:r>
              <w:t>Place of last harassment, by type of location</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1D21129C" w14:textId="00373521" w:rsidR="004B7134" w:rsidRDefault="004B7134" w:rsidP="004B7134">
            <w:pPr>
              <w:jc w:val="both"/>
            </w:pPr>
            <w:r>
              <w:t xml:space="preserve">Go to </w:t>
            </w:r>
            <w:r w:rsidR="006B20B0">
              <w:t>END</w:t>
            </w:r>
            <w:r>
              <w:t>.</w:t>
            </w:r>
          </w:p>
        </w:tc>
      </w:tr>
    </w:tbl>
    <w:p w14:paraId="3EE3F05C" w14:textId="77777777" w:rsidR="006B20B0" w:rsidRDefault="006B20B0" w:rsidP="006B20B0">
      <w:pPr>
        <w:shd w:val="clear" w:color="auto" w:fill="FFFFFF"/>
        <w:spacing w:after="0"/>
        <w:jc w:val="both"/>
        <w:rPr>
          <w:rFonts w:eastAsia="Times New Roman" w:cs="Times New Roman"/>
          <w:color w:val="4A4A4A"/>
          <w:sz w:val="21"/>
          <w:szCs w:val="21"/>
          <w:lang w:eastAsia="en-GB"/>
        </w:rPr>
      </w:pPr>
    </w:p>
    <w:p w14:paraId="12EFC804" w14:textId="39EC516E" w:rsidR="006B20B0" w:rsidRPr="006B20B0" w:rsidRDefault="006B20B0" w:rsidP="006B20B0">
      <w:pPr>
        <w:shd w:val="clear" w:color="auto" w:fill="FFFFFF"/>
        <w:spacing w:after="0"/>
        <w:jc w:val="both"/>
        <w:rPr>
          <w:rFonts w:eastAsia="Times New Roman" w:cs="Times New Roman"/>
          <w:color w:val="4A4A4A"/>
          <w:sz w:val="21"/>
          <w:szCs w:val="21"/>
          <w:lang w:eastAsia="en-GB"/>
        </w:rPr>
      </w:pPr>
      <w:r w:rsidRPr="006B20B0">
        <w:rPr>
          <w:rFonts w:eastAsia="Times New Roman" w:cs="Times New Roman"/>
          <w:color w:val="4A4A4A"/>
          <w:sz w:val="21"/>
          <w:szCs w:val="21"/>
          <w:lang w:eastAsia="en-GB"/>
        </w:rPr>
        <w:t xml:space="preserve">Based on the responses to </w:t>
      </w:r>
      <w:r w:rsidR="00A3053F">
        <w:rPr>
          <w:rFonts w:eastAsia="Times New Roman" w:cs="Times New Roman"/>
          <w:color w:val="4A4A4A"/>
          <w:sz w:val="21"/>
          <w:szCs w:val="21"/>
          <w:lang w:eastAsia="en-GB"/>
        </w:rPr>
        <w:t>questions</w:t>
      </w:r>
      <w:r w:rsidRPr="006B20B0">
        <w:rPr>
          <w:rFonts w:eastAsia="Times New Roman" w:cs="Times New Roman"/>
          <w:color w:val="4A4A4A"/>
          <w:sz w:val="21"/>
          <w:szCs w:val="21"/>
          <w:lang w:eastAsia="en-GB"/>
        </w:rPr>
        <w:t>, the following indicators can be computed:</w:t>
      </w:r>
    </w:p>
    <w:p w14:paraId="1EA7FF56" w14:textId="77777777" w:rsidR="006B20B0" w:rsidRDefault="006B20B0" w:rsidP="006B20B0">
      <w:pPr>
        <w:shd w:val="clear" w:color="auto" w:fill="FFFFFF"/>
        <w:spacing w:after="0"/>
        <w:jc w:val="both"/>
        <w:rPr>
          <w:rFonts w:eastAsia="Times New Roman" w:cs="Times New Roman"/>
          <w:color w:val="4A4A4A"/>
          <w:sz w:val="21"/>
          <w:szCs w:val="21"/>
          <w:lang w:eastAsia="en-GB"/>
        </w:rPr>
      </w:pPr>
    </w:p>
    <w:p w14:paraId="14E3FEF6" w14:textId="22B223CE" w:rsidR="006B20B0" w:rsidRPr="004B7134" w:rsidRDefault="006B20B0" w:rsidP="006B20B0">
      <w:pPr>
        <w:shd w:val="clear" w:color="auto" w:fill="FFFFFF"/>
        <w:spacing w:after="0"/>
        <w:jc w:val="both"/>
        <w:rPr>
          <w:rFonts w:eastAsia="Times New Roman" w:cs="Times New Roman"/>
          <w:color w:val="4A4A4A"/>
          <w:sz w:val="21"/>
          <w:szCs w:val="21"/>
          <w:lang w:eastAsia="en-GB"/>
        </w:rPr>
      </w:pPr>
      <w:r w:rsidRPr="006B20B0">
        <w:rPr>
          <w:rFonts w:eastAsia="Times New Roman" w:cs="Times New Roman"/>
          <w:color w:val="4A4A4A"/>
          <w:sz w:val="21"/>
          <w:szCs w:val="21"/>
          <w:u w:val="single"/>
          <w:lang w:eastAsia="en-GB"/>
        </w:rPr>
        <w:t>Prevalence rate of sexual harassment</w:t>
      </w:r>
      <w:r>
        <w:rPr>
          <w:rFonts w:eastAsia="Times New Roman" w:cs="Times New Roman"/>
          <w:color w:val="4A4A4A"/>
          <w:sz w:val="21"/>
          <w:szCs w:val="21"/>
          <w:lang w:eastAsia="en-GB"/>
        </w:rPr>
        <w:t xml:space="preserve">: </w:t>
      </w:r>
      <w:r w:rsidRPr="004F2FE0">
        <w:rPr>
          <w:rFonts w:eastAsia="Times New Roman" w:cs="Times New Roman"/>
          <w:color w:val="4A4A4A"/>
          <w:sz w:val="21"/>
          <w:szCs w:val="21"/>
          <w:lang w:eastAsia="en-GB"/>
        </w:rPr>
        <w:t xml:space="preserve">Number of persons who </w:t>
      </w:r>
      <w:r>
        <w:rPr>
          <w:rFonts w:eastAsia="Times New Roman" w:cs="Times New Roman"/>
          <w:color w:val="4A4A4A"/>
          <w:sz w:val="21"/>
          <w:szCs w:val="21"/>
          <w:lang w:eastAsia="en-GB"/>
        </w:rPr>
        <w:t>experienced a</w:t>
      </w:r>
      <w:r w:rsidR="00DA7663">
        <w:rPr>
          <w:rFonts w:eastAsia="Times New Roman" w:cs="Times New Roman"/>
          <w:color w:val="4A4A4A"/>
          <w:sz w:val="21"/>
          <w:szCs w:val="21"/>
          <w:lang w:eastAsia="en-GB"/>
        </w:rPr>
        <w:t>t least one</w:t>
      </w:r>
      <w:r>
        <w:rPr>
          <w:rFonts w:eastAsia="Times New Roman" w:cs="Times New Roman"/>
          <w:color w:val="4A4A4A"/>
          <w:sz w:val="21"/>
          <w:szCs w:val="21"/>
          <w:lang w:eastAsia="en-GB"/>
        </w:rPr>
        <w:t xml:space="preserve"> form</w:t>
      </w:r>
      <w:r w:rsidRPr="004F2FE0">
        <w:rPr>
          <w:rFonts w:eastAsia="Times New Roman" w:cs="Times New Roman"/>
          <w:color w:val="4A4A4A"/>
          <w:sz w:val="21"/>
          <w:szCs w:val="21"/>
          <w:lang w:eastAsia="en-GB"/>
        </w:rPr>
        <w:t xml:space="preserve"> of sexual harassment</w:t>
      </w:r>
      <w:r>
        <w:rPr>
          <w:rFonts w:eastAsia="Times New Roman" w:cs="Times New Roman"/>
          <w:color w:val="4A4A4A"/>
          <w:sz w:val="21"/>
          <w:szCs w:val="21"/>
          <w:lang w:eastAsia="en-GB"/>
        </w:rPr>
        <w:t>,</w:t>
      </w:r>
      <w:r w:rsidRPr="004F2FE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divided by the total </w:t>
      </w:r>
      <w:r w:rsidR="00403431">
        <w:rPr>
          <w:rFonts w:eastAsia="Times New Roman" w:cs="Times New Roman"/>
          <w:color w:val="4A4A4A"/>
          <w:sz w:val="21"/>
          <w:szCs w:val="21"/>
          <w:lang w:eastAsia="en-GB"/>
        </w:rPr>
        <w:t>population</w:t>
      </w:r>
      <w:r>
        <w:rPr>
          <w:rFonts w:eastAsia="Times New Roman" w:cs="Times New Roman"/>
          <w:color w:val="4A4A4A"/>
          <w:sz w:val="21"/>
          <w:szCs w:val="21"/>
          <w:lang w:eastAsia="en-GB"/>
        </w:rPr>
        <w:t xml:space="preserve">. </w:t>
      </w:r>
      <w:r w:rsidRPr="006B20B0">
        <w:rPr>
          <w:rFonts w:eastAsia="Times New Roman" w:cs="Times New Roman"/>
          <w:color w:val="4A4A4A"/>
          <w:sz w:val="21"/>
          <w:szCs w:val="21"/>
          <w:lang w:eastAsia="en-GB"/>
        </w:rPr>
        <w:t>The result would be multiplied by 100.</w:t>
      </w:r>
    </w:p>
    <w:p w14:paraId="4AD06C51" w14:textId="3799CA72" w:rsidR="006B20B0" w:rsidRPr="004B7134" w:rsidRDefault="006B20B0" w:rsidP="006B20B0">
      <w:pPr>
        <w:shd w:val="clear" w:color="auto" w:fill="FFFFFF"/>
        <w:spacing w:after="0"/>
        <w:jc w:val="both"/>
        <w:rPr>
          <w:rFonts w:eastAsia="Times New Roman" w:cs="Times New Roman"/>
          <w:color w:val="4A4A4A"/>
          <w:sz w:val="21"/>
          <w:szCs w:val="21"/>
          <w:lang w:eastAsia="en-GB"/>
        </w:rPr>
      </w:pPr>
      <w:r w:rsidRPr="006B20B0">
        <w:rPr>
          <w:rFonts w:eastAsia="Times New Roman" w:cs="Times New Roman"/>
          <w:color w:val="4A4A4A"/>
          <w:sz w:val="21"/>
          <w:szCs w:val="21"/>
          <w:u w:val="single"/>
          <w:lang w:eastAsia="en-GB"/>
        </w:rPr>
        <w:t>Prevalence rate of physical harassment:</w:t>
      </w:r>
      <w:r>
        <w:rPr>
          <w:rFonts w:eastAsia="Times New Roman" w:cs="Times New Roman"/>
          <w:color w:val="4A4A4A"/>
          <w:sz w:val="21"/>
          <w:szCs w:val="21"/>
          <w:lang w:eastAsia="en-GB"/>
        </w:rPr>
        <w:t xml:space="preserve"> </w:t>
      </w:r>
      <w:r w:rsidRPr="004F2FE0">
        <w:rPr>
          <w:rFonts w:eastAsia="Times New Roman" w:cs="Times New Roman"/>
          <w:color w:val="4A4A4A"/>
          <w:sz w:val="21"/>
          <w:szCs w:val="21"/>
          <w:lang w:eastAsia="en-GB"/>
        </w:rPr>
        <w:t xml:space="preserve">Number of persons who </w:t>
      </w:r>
      <w:r>
        <w:rPr>
          <w:rFonts w:eastAsia="Times New Roman" w:cs="Times New Roman"/>
          <w:color w:val="4A4A4A"/>
          <w:sz w:val="21"/>
          <w:szCs w:val="21"/>
          <w:lang w:eastAsia="en-GB"/>
        </w:rPr>
        <w:t>experienced a</w:t>
      </w:r>
      <w:r w:rsidR="007D5AB5">
        <w:rPr>
          <w:rFonts w:eastAsia="Times New Roman" w:cs="Times New Roman"/>
          <w:color w:val="4A4A4A"/>
          <w:sz w:val="21"/>
          <w:szCs w:val="21"/>
          <w:lang w:eastAsia="en-GB"/>
        </w:rPr>
        <w:t xml:space="preserve">t least one </w:t>
      </w:r>
      <w:r>
        <w:rPr>
          <w:rFonts w:eastAsia="Times New Roman" w:cs="Times New Roman"/>
          <w:color w:val="4A4A4A"/>
          <w:sz w:val="21"/>
          <w:szCs w:val="21"/>
          <w:lang w:eastAsia="en-GB"/>
        </w:rPr>
        <w:t xml:space="preserve"> form</w:t>
      </w:r>
      <w:r w:rsidRPr="004F2FE0">
        <w:rPr>
          <w:rFonts w:eastAsia="Times New Roman" w:cs="Times New Roman"/>
          <w:color w:val="4A4A4A"/>
          <w:sz w:val="21"/>
          <w:szCs w:val="21"/>
          <w:lang w:eastAsia="en-GB"/>
        </w:rPr>
        <w:t xml:space="preserve"> of </w:t>
      </w:r>
      <w:r>
        <w:rPr>
          <w:rFonts w:eastAsia="Times New Roman" w:cs="Times New Roman"/>
          <w:color w:val="4A4A4A"/>
          <w:sz w:val="21"/>
          <w:szCs w:val="21"/>
          <w:lang w:eastAsia="en-GB"/>
        </w:rPr>
        <w:t>physical</w:t>
      </w:r>
      <w:r w:rsidRPr="004F2FE0">
        <w:rPr>
          <w:rFonts w:eastAsia="Times New Roman" w:cs="Times New Roman"/>
          <w:color w:val="4A4A4A"/>
          <w:sz w:val="21"/>
          <w:szCs w:val="21"/>
          <w:lang w:eastAsia="en-GB"/>
        </w:rPr>
        <w:t xml:space="preserve"> harassment</w:t>
      </w:r>
      <w:r>
        <w:rPr>
          <w:rFonts w:eastAsia="Times New Roman" w:cs="Times New Roman"/>
          <w:color w:val="4A4A4A"/>
          <w:sz w:val="21"/>
          <w:szCs w:val="21"/>
          <w:lang w:eastAsia="en-GB"/>
        </w:rPr>
        <w:t>,</w:t>
      </w:r>
      <w:r w:rsidRPr="004F2FE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divided by the total </w:t>
      </w:r>
      <w:r w:rsidR="00403431">
        <w:rPr>
          <w:rFonts w:eastAsia="Times New Roman" w:cs="Times New Roman"/>
          <w:color w:val="4A4A4A"/>
          <w:sz w:val="21"/>
          <w:szCs w:val="21"/>
          <w:lang w:eastAsia="en-GB"/>
        </w:rPr>
        <w:t>population</w:t>
      </w:r>
      <w:r>
        <w:rPr>
          <w:rFonts w:eastAsia="Times New Roman" w:cs="Times New Roman"/>
          <w:color w:val="4A4A4A"/>
          <w:sz w:val="21"/>
          <w:szCs w:val="21"/>
          <w:lang w:eastAsia="en-GB"/>
        </w:rPr>
        <w:t xml:space="preserve">. </w:t>
      </w:r>
      <w:r w:rsidRPr="006B20B0">
        <w:rPr>
          <w:rFonts w:eastAsia="Times New Roman" w:cs="Times New Roman"/>
          <w:color w:val="4A4A4A"/>
          <w:sz w:val="21"/>
          <w:szCs w:val="21"/>
          <w:lang w:eastAsia="en-GB"/>
        </w:rPr>
        <w:t>The result would be multiplied by 100.</w:t>
      </w:r>
    </w:p>
    <w:p w14:paraId="38D832E6" w14:textId="6D72CFBE" w:rsidR="006B20B0" w:rsidRPr="004B7134" w:rsidRDefault="006B20B0" w:rsidP="006B20B0">
      <w:pPr>
        <w:shd w:val="clear" w:color="auto" w:fill="FFFFFF"/>
        <w:spacing w:after="0"/>
        <w:jc w:val="both"/>
        <w:rPr>
          <w:rFonts w:eastAsia="Times New Roman" w:cs="Times New Roman"/>
          <w:color w:val="4A4A4A"/>
          <w:sz w:val="21"/>
          <w:szCs w:val="21"/>
          <w:lang w:eastAsia="en-GB"/>
        </w:rPr>
      </w:pPr>
      <w:r w:rsidRPr="006B20B0">
        <w:rPr>
          <w:rFonts w:eastAsia="Times New Roman" w:cs="Times New Roman"/>
          <w:color w:val="4A4A4A"/>
          <w:sz w:val="21"/>
          <w:szCs w:val="21"/>
          <w:u w:val="single"/>
          <w:lang w:eastAsia="en-GB"/>
        </w:rPr>
        <w:t>Prevalence rate of physical or sexual harassment (SDG indicator 11.7.2):</w:t>
      </w:r>
      <w:r>
        <w:rPr>
          <w:rFonts w:eastAsia="Times New Roman" w:cs="Times New Roman"/>
          <w:color w:val="4A4A4A"/>
          <w:sz w:val="21"/>
          <w:szCs w:val="21"/>
          <w:lang w:eastAsia="en-GB"/>
        </w:rPr>
        <w:t xml:space="preserve"> </w:t>
      </w:r>
      <w:r w:rsidRPr="004F2FE0">
        <w:rPr>
          <w:rFonts w:eastAsia="Times New Roman" w:cs="Times New Roman"/>
          <w:color w:val="4A4A4A"/>
          <w:sz w:val="21"/>
          <w:szCs w:val="21"/>
          <w:lang w:eastAsia="en-GB"/>
        </w:rPr>
        <w:t xml:space="preserve">Number of persons who </w:t>
      </w:r>
      <w:r>
        <w:rPr>
          <w:rFonts w:eastAsia="Times New Roman" w:cs="Times New Roman"/>
          <w:color w:val="4A4A4A"/>
          <w:sz w:val="21"/>
          <w:szCs w:val="21"/>
          <w:lang w:eastAsia="en-GB"/>
        </w:rPr>
        <w:t>experienced either a form</w:t>
      </w:r>
      <w:r w:rsidRPr="004F2FE0">
        <w:rPr>
          <w:rFonts w:eastAsia="Times New Roman" w:cs="Times New Roman"/>
          <w:color w:val="4A4A4A"/>
          <w:sz w:val="21"/>
          <w:szCs w:val="21"/>
          <w:lang w:eastAsia="en-GB"/>
        </w:rPr>
        <w:t xml:space="preserve"> of sexual harassment</w:t>
      </w:r>
      <w:r>
        <w:rPr>
          <w:rFonts w:eastAsia="Times New Roman" w:cs="Times New Roman"/>
          <w:color w:val="4A4A4A"/>
          <w:sz w:val="21"/>
          <w:szCs w:val="21"/>
          <w:lang w:eastAsia="en-GB"/>
        </w:rPr>
        <w:t xml:space="preserve"> or a form of physical harassment,</w:t>
      </w:r>
      <w:r w:rsidRPr="004F2FE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divided by the total </w:t>
      </w:r>
      <w:r w:rsidR="00403431">
        <w:rPr>
          <w:rFonts w:eastAsia="Times New Roman" w:cs="Times New Roman"/>
          <w:color w:val="4A4A4A"/>
          <w:sz w:val="21"/>
          <w:szCs w:val="21"/>
          <w:lang w:eastAsia="en-GB"/>
        </w:rPr>
        <w:t>population</w:t>
      </w:r>
      <w:r>
        <w:rPr>
          <w:rFonts w:eastAsia="Times New Roman" w:cs="Times New Roman"/>
          <w:color w:val="4A4A4A"/>
          <w:sz w:val="21"/>
          <w:szCs w:val="21"/>
          <w:lang w:eastAsia="en-GB"/>
        </w:rPr>
        <w:t xml:space="preserve">. </w:t>
      </w:r>
      <w:r w:rsidRPr="006B20B0">
        <w:rPr>
          <w:rFonts w:eastAsia="Times New Roman" w:cs="Times New Roman"/>
          <w:color w:val="4A4A4A"/>
          <w:sz w:val="21"/>
          <w:szCs w:val="21"/>
          <w:lang w:eastAsia="en-GB"/>
        </w:rPr>
        <w:t>The result would be multiplied by 100.</w:t>
      </w:r>
    </w:p>
    <w:p w14:paraId="12E6A004"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4956B3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11596FA8" w14:textId="4D6145B4" w:rsidR="006B20B0" w:rsidRPr="008F7766" w:rsidRDefault="006B20B0" w:rsidP="00A3053F">
      <w:pPr>
        <w:shd w:val="clear" w:color="auto" w:fill="FFFFFF"/>
        <w:spacing w:after="0"/>
        <w:jc w:val="both"/>
        <w:rPr>
          <w:rFonts w:eastAsia="Times New Roman" w:cs="Times New Roman"/>
          <w:color w:val="4A4A4A"/>
          <w:sz w:val="21"/>
          <w:szCs w:val="21"/>
          <w:lang w:eastAsia="en-GB"/>
        </w:rPr>
      </w:pPr>
      <w:r w:rsidRPr="008F7766">
        <w:rPr>
          <w:rFonts w:eastAsia="Times New Roman" w:cs="Times New Roman"/>
          <w:color w:val="4A4A4A"/>
          <w:sz w:val="21"/>
          <w:szCs w:val="21"/>
          <w:lang w:eastAsia="en-GB"/>
        </w:rPr>
        <w:t xml:space="preserve">When the proposed module on physical and sexual harassment is part of a larger population survey, relevant </w:t>
      </w:r>
      <w:proofErr w:type="spellStart"/>
      <w:r w:rsidRPr="008F7766">
        <w:rPr>
          <w:rFonts w:eastAsia="Times New Roman" w:cs="Times New Roman"/>
          <w:color w:val="4A4A4A"/>
          <w:sz w:val="21"/>
          <w:szCs w:val="21"/>
          <w:lang w:eastAsia="en-GB"/>
        </w:rPr>
        <w:t>disaggregations</w:t>
      </w:r>
      <w:proofErr w:type="spellEnd"/>
      <w:r w:rsidRPr="008F7766">
        <w:rPr>
          <w:rFonts w:eastAsia="Times New Roman" w:cs="Times New Roman"/>
          <w:color w:val="4A4A4A"/>
          <w:sz w:val="21"/>
          <w:szCs w:val="21"/>
          <w:lang w:eastAsia="en-GB"/>
        </w:rPr>
        <w:t xml:space="preserve"> (e.g., income, sex, age group, geographic location, disability status, etc.)</w:t>
      </w:r>
      <w:r w:rsidR="00D60569">
        <w:rPr>
          <w:rFonts w:eastAsia="Times New Roman" w:cs="Times New Roman"/>
          <w:color w:val="4A4A4A"/>
          <w:sz w:val="21"/>
          <w:szCs w:val="21"/>
          <w:lang w:eastAsia="en-GB"/>
        </w:rPr>
        <w:t xml:space="preserve"> may </w:t>
      </w:r>
      <w:r w:rsidRPr="008F7766">
        <w:rPr>
          <w:rFonts w:eastAsia="Times New Roman" w:cs="Times New Roman"/>
          <w:color w:val="4A4A4A"/>
          <w:sz w:val="21"/>
          <w:szCs w:val="21"/>
          <w:lang w:eastAsia="en-GB"/>
        </w:rPr>
        <w:t xml:space="preserve"> not need to be included in the module </w:t>
      </w:r>
      <w:r w:rsidR="00D60569">
        <w:rPr>
          <w:rFonts w:eastAsia="Times New Roman" w:cs="Times New Roman"/>
          <w:color w:val="4A4A4A"/>
          <w:sz w:val="21"/>
          <w:szCs w:val="21"/>
          <w:lang w:eastAsia="en-GB"/>
        </w:rPr>
        <w:t xml:space="preserve">since they </w:t>
      </w:r>
      <w:r w:rsidRPr="008F7766">
        <w:rPr>
          <w:rFonts w:eastAsia="Times New Roman" w:cs="Times New Roman"/>
          <w:color w:val="4A4A4A"/>
          <w:sz w:val="21"/>
          <w:szCs w:val="21"/>
          <w:lang w:eastAsia="en-GB"/>
        </w:rPr>
        <w:t xml:space="preserve">are typically part of </w:t>
      </w:r>
      <w:r w:rsidR="00536C07">
        <w:rPr>
          <w:rFonts w:eastAsia="Times New Roman" w:cs="Times New Roman"/>
          <w:color w:val="4A4A4A"/>
          <w:sz w:val="21"/>
          <w:szCs w:val="21"/>
          <w:lang w:eastAsia="en-GB"/>
        </w:rPr>
        <w:t xml:space="preserve">large </w:t>
      </w:r>
      <w:r w:rsidRPr="008F7766">
        <w:rPr>
          <w:rFonts w:eastAsia="Times New Roman" w:cs="Times New Roman"/>
          <w:color w:val="4A4A4A"/>
          <w:sz w:val="21"/>
          <w:szCs w:val="21"/>
          <w:lang w:eastAsia="en-GB"/>
        </w:rPr>
        <w:t xml:space="preserve"> socio-economic </w:t>
      </w:r>
      <w:r w:rsidR="00536C07">
        <w:rPr>
          <w:rFonts w:eastAsia="Times New Roman" w:cs="Times New Roman"/>
          <w:color w:val="4A4A4A"/>
          <w:sz w:val="21"/>
          <w:szCs w:val="21"/>
          <w:lang w:eastAsia="en-GB"/>
        </w:rPr>
        <w:t xml:space="preserve">surveys. </w:t>
      </w:r>
      <w:r w:rsidRPr="008F7766">
        <w:rPr>
          <w:rFonts w:eastAsia="Times New Roman" w:cs="Times New Roman"/>
          <w:color w:val="4A4A4A"/>
          <w:sz w:val="21"/>
          <w:szCs w:val="21"/>
          <w:lang w:eastAsia="en-GB"/>
        </w:rPr>
        <w:t xml:space="preserve">. In contrast, </w:t>
      </w:r>
      <w:proofErr w:type="spellStart"/>
      <w:r w:rsidRPr="008F7766">
        <w:rPr>
          <w:rFonts w:eastAsia="Times New Roman" w:cs="Times New Roman"/>
          <w:color w:val="4A4A4A"/>
          <w:sz w:val="21"/>
          <w:szCs w:val="21"/>
          <w:lang w:eastAsia="en-GB"/>
        </w:rPr>
        <w:t>disaggregations</w:t>
      </w:r>
      <w:proofErr w:type="spellEnd"/>
      <w:r w:rsidRPr="008F7766">
        <w:rPr>
          <w:rFonts w:eastAsia="Times New Roman" w:cs="Times New Roman"/>
          <w:color w:val="4A4A4A"/>
          <w:sz w:val="21"/>
          <w:szCs w:val="21"/>
          <w:lang w:eastAsia="en-GB"/>
        </w:rPr>
        <w:t xml:space="preserve"> by </w:t>
      </w:r>
      <w:r w:rsidR="008F7766" w:rsidRPr="008F7766">
        <w:rPr>
          <w:rFonts w:eastAsia="Times New Roman" w:cs="Times New Roman"/>
          <w:color w:val="4A4A4A"/>
          <w:sz w:val="21"/>
          <w:szCs w:val="21"/>
          <w:lang w:eastAsia="en-GB"/>
        </w:rPr>
        <w:t>place of occurrence need to be included in the question module itself (e.g. at your home, on the street or in a marketplace, at our work or place of education, etc.)</w:t>
      </w: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091AA378" w14:textId="39FCB11E" w:rsidR="0058556D" w:rsidRPr="00573631" w:rsidRDefault="008F7766" w:rsidP="008F7766">
      <w:pPr>
        <w:jc w:val="both"/>
        <w:rPr>
          <w:rFonts w:eastAsia="Times New Roman" w:cs="Times New Roman"/>
          <w:color w:val="4A4A4A"/>
          <w:sz w:val="21"/>
          <w:szCs w:val="21"/>
          <w:lang w:eastAsia="en-GB"/>
        </w:rPr>
      </w:pPr>
      <w:r w:rsidRPr="008F7766">
        <w:rPr>
          <w:rFonts w:eastAsia="Times New Roman" w:cs="Times New Roman"/>
          <w:color w:val="4A4A4A"/>
          <w:sz w:val="21"/>
          <w:szCs w:val="21"/>
          <w:lang w:eastAsia="en-GB"/>
        </w:rPr>
        <w:t>National data are not estimated if data derived from surveys conducted at country level are not available</w:t>
      </w:r>
      <w:r w:rsidR="00A3053F">
        <w:rPr>
          <w:rFonts w:eastAsia="Times New Roman" w:cs="Times New Roman"/>
          <w:color w:val="4A4A4A"/>
          <w:sz w:val="21"/>
          <w:szCs w:val="21"/>
          <w:lang w:eastAsia="en-GB"/>
        </w:rPr>
        <w:t>.</w:t>
      </w: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673AFA9" w14:textId="6205B11C" w:rsidR="0058556D" w:rsidRPr="00DF3D34" w:rsidRDefault="008F7766" w:rsidP="00A3053F">
      <w:pPr>
        <w:shd w:val="clear" w:color="auto" w:fill="FFFFFF"/>
        <w:spacing w:after="0"/>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Regional aggregates are produced only when available data cover at least a certain percentage of countries of the region and the population of these countries account for a certain percentage of the regional population.</w:t>
      </w:r>
    </w:p>
    <w:p w14:paraId="0F686C45" w14:textId="77777777" w:rsidR="008F7766" w:rsidRPr="00573631" w:rsidRDefault="008F7766"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83400E4" w14:textId="4D2879D0" w:rsidR="008F7766" w:rsidRPr="00DF3D34" w:rsidRDefault="008F7766" w:rsidP="008F7766">
      <w:pPr>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Data for this indicator are based on </w:t>
      </w:r>
      <w:r w:rsidR="00A3053F" w:rsidRPr="00DF3D34">
        <w:rPr>
          <w:rFonts w:eastAsia="Times New Roman" w:cs="Times New Roman"/>
          <w:color w:val="4A4A4A"/>
          <w:sz w:val="21"/>
          <w:szCs w:val="21"/>
          <w:lang w:eastAsia="en-GB"/>
        </w:rPr>
        <w:t>eight</w:t>
      </w:r>
      <w:r w:rsidRPr="00DF3D34">
        <w:rPr>
          <w:rFonts w:eastAsia="Times New Roman" w:cs="Times New Roman"/>
          <w:color w:val="4A4A4A"/>
          <w:sz w:val="21"/>
          <w:szCs w:val="21"/>
          <w:lang w:eastAsia="en-GB"/>
        </w:rPr>
        <w:t xml:space="preserve"> 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698F0416" w14:textId="60B6F553" w:rsidR="00422EA5" w:rsidRPr="00DF3D34" w:rsidRDefault="008F7766" w:rsidP="00DF3D34">
      <w:pPr>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Methodological documentation from surveys conducted at national level is available (e.g. household survey in Nigeria conducted by the National Bureau of Statistics (NBS) and UNODC</w:t>
      </w:r>
      <w:r w:rsidR="00403431" w:rsidRPr="00DF3D34">
        <w:rPr>
          <w:rFonts w:eastAsia="Times New Roman" w:cs="Times New Roman"/>
          <w:color w:val="4A4A4A"/>
          <w:sz w:val="21"/>
          <w:szCs w:val="21"/>
          <w:lang w:eastAsia="en-GB"/>
        </w:rPr>
        <w:t>; various surveys by the NSO of Mexico, INEGI</w:t>
      </w:r>
      <w:r w:rsidR="00403431" w:rsidRPr="00DF3D34">
        <w:rPr>
          <w:rFonts w:eastAsia="Times New Roman" w:cs="Times New Roman"/>
          <w:color w:val="4A4A4A"/>
          <w:sz w:val="21"/>
          <w:szCs w:val="21"/>
          <w:lang w:eastAsia="en-GB"/>
        </w:rPr>
        <w:footnoteReference w:id="3"/>
      </w:r>
      <w:r w:rsidR="00C13B2C" w:rsidRPr="00DF3D34">
        <w:rPr>
          <w:rFonts w:eastAsia="Times New Roman" w:cs="Times New Roman"/>
          <w:color w:val="4A4A4A"/>
          <w:sz w:val="21"/>
          <w:szCs w:val="21"/>
          <w:lang w:eastAsia="en-GB"/>
        </w:rPr>
        <w:t>)</w:t>
      </w:r>
      <w:r w:rsidR="00B42EF8" w:rsidRPr="00DF3D34">
        <w:rPr>
          <w:rFonts w:eastAsia="Times New Roman" w:cs="Times New Roman"/>
          <w:color w:val="4A4A4A"/>
          <w:sz w:val="21"/>
          <w:szCs w:val="21"/>
          <w:lang w:eastAsia="en-GB"/>
        </w:rPr>
        <w:t xml:space="preserve">. Detailed guidelines on the survey module are under preparation by UNODC. </w:t>
      </w:r>
    </w:p>
    <w:p w14:paraId="5438A0EE" w14:textId="77777777" w:rsidR="008F7766" w:rsidRDefault="008F7766" w:rsidP="00573631">
      <w:pPr>
        <w:shd w:val="clear" w:color="auto" w:fill="FFFFFF"/>
        <w:spacing w:after="0"/>
        <w:rPr>
          <w:color w:val="4A86E8"/>
          <w:sz w:val="20"/>
          <w:szCs w:val="20"/>
        </w:rPr>
      </w:pPr>
    </w:p>
    <w:p w14:paraId="2E9CA11A" w14:textId="4A770613" w:rsidR="00422EA5" w:rsidRPr="00D54F29" w:rsidRDefault="00422EA5" w:rsidP="00CB4E9F">
      <w:pPr>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653B2634" w14:textId="77777777" w:rsidR="008F7766" w:rsidRPr="00DF3D34" w:rsidRDefault="008F7766" w:rsidP="008F7766">
      <w:pPr>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At UNODC, quality assurance measures are in place to collect, process, and disseminate statistical data. They build on the ‘Principles governing international statistical activities’ and regulate the collection, processing, publication and dissemination of data.</w:t>
      </w:r>
    </w:p>
    <w:p w14:paraId="293595DF" w14:textId="1A7347FA" w:rsidR="008F7766" w:rsidRPr="00DF3D34" w:rsidRDefault="008F7766" w:rsidP="008F7766">
      <w:pPr>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All data for SDG indicators as compiled by the Office </w:t>
      </w:r>
      <w:r w:rsidR="005F6335" w:rsidRPr="00DF3D34">
        <w:rPr>
          <w:rFonts w:eastAsia="Times New Roman" w:cs="Times New Roman"/>
          <w:color w:val="4A4A4A"/>
          <w:sz w:val="21"/>
          <w:szCs w:val="21"/>
          <w:lang w:eastAsia="en-GB"/>
        </w:rPr>
        <w:t xml:space="preserve">and </w:t>
      </w:r>
      <w:r w:rsidRPr="00DF3D34">
        <w:rPr>
          <w:rFonts w:eastAsia="Times New Roman" w:cs="Times New Roman"/>
          <w:color w:val="4A4A4A"/>
          <w:sz w:val="21"/>
          <w:szCs w:val="21"/>
          <w:lang w:eastAsia="en-GB"/>
        </w:rPr>
        <w:t xml:space="preserve">are </w:t>
      </w:r>
      <w:r w:rsidR="005F6335" w:rsidRPr="00DF3D34">
        <w:rPr>
          <w:rFonts w:eastAsia="Times New Roman" w:cs="Times New Roman"/>
          <w:color w:val="4A4A4A"/>
          <w:sz w:val="21"/>
          <w:szCs w:val="21"/>
          <w:lang w:eastAsia="en-GB"/>
        </w:rPr>
        <w:t xml:space="preserve">than </w:t>
      </w:r>
      <w:r w:rsidRPr="00DF3D34">
        <w:rPr>
          <w:rFonts w:eastAsia="Times New Roman" w:cs="Times New Roman"/>
          <w:color w:val="4A4A4A"/>
          <w:sz w:val="21"/>
          <w:szCs w:val="21"/>
          <w:lang w:eastAsia="en-GB"/>
        </w:rPr>
        <w:t>sent to countries (through the relevant national focal points) for their review before statistical data are officially released by UNODC. When countries provide feedback/comments on the data, a technical discussion is conducted to identify a common position.</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63871A8E" w14:textId="2883A1B5" w:rsidR="007B2136" w:rsidRPr="00DF3D34" w:rsidRDefault="007B2136" w:rsidP="007B2136">
      <w:pPr>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The Indicator is based on eight questions to be included in a household survey. These questions can be part of an add-on module on physical and sexual harassment, to be incorporated into other ongoing general population surveys (such as surveys on quality of life, public attitudes or surveys on other topics) or be part of dedicated surveys on crime victimization.</w:t>
      </w:r>
    </w:p>
    <w:p w14:paraId="51129B11" w14:textId="245891F4" w:rsidR="007B2136" w:rsidRPr="00DF3D34" w:rsidRDefault="007B2136" w:rsidP="007B2136">
      <w:pPr>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Data should be collected as part of a nationally representative probability sample of </w:t>
      </w:r>
      <w:r w:rsidR="00A3053F" w:rsidRPr="00DF3D34">
        <w:rPr>
          <w:rFonts w:eastAsia="Times New Roman" w:cs="Times New Roman"/>
          <w:color w:val="4A4A4A"/>
          <w:sz w:val="21"/>
          <w:szCs w:val="21"/>
          <w:lang w:eastAsia="en-GB"/>
        </w:rPr>
        <w:t xml:space="preserve">the </w:t>
      </w:r>
      <w:r w:rsidRPr="00DF3D34">
        <w:rPr>
          <w:rFonts w:eastAsia="Times New Roman" w:cs="Times New Roman"/>
          <w:color w:val="4A4A4A"/>
          <w:sz w:val="21"/>
          <w:szCs w:val="21"/>
          <w:lang w:eastAsia="en-GB"/>
        </w:rPr>
        <w:t xml:space="preserve">adult population residing in the country, irrespective of legal residence status. The sampling frame and sample design should ensure that results can be disaggregated at sub-national level. The sample size should be sufficiently large to capture relevant events and compute needed </w:t>
      </w:r>
      <w:proofErr w:type="spellStart"/>
      <w:r w:rsidRPr="00DF3D34">
        <w:rPr>
          <w:rFonts w:eastAsia="Times New Roman" w:cs="Times New Roman"/>
          <w:color w:val="4A4A4A"/>
          <w:sz w:val="21"/>
          <w:szCs w:val="21"/>
          <w:lang w:eastAsia="en-GB"/>
        </w:rPr>
        <w:t>disaggregations</w:t>
      </w:r>
      <w:proofErr w:type="spellEnd"/>
      <w:r w:rsidRPr="00DF3D34">
        <w:rPr>
          <w:rFonts w:eastAsia="Times New Roman" w:cs="Times New Roman"/>
          <w:color w:val="4A4A4A"/>
          <w:sz w:val="21"/>
          <w:szCs w:val="21"/>
          <w:lang w:eastAsia="en-GB"/>
        </w:rPr>
        <w:t>.</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6E4D9860" w14:textId="77777777" w:rsidR="007B2136" w:rsidRDefault="007B2136" w:rsidP="007B2136">
      <w:pPr>
        <w:jc w:val="both"/>
        <w:rPr>
          <w:b/>
          <w:bCs/>
        </w:rPr>
      </w:pPr>
      <w:r>
        <w:rPr>
          <w:b/>
          <w:bCs/>
        </w:rPr>
        <w:t>International data collection process</w:t>
      </w:r>
    </w:p>
    <w:p w14:paraId="31DB875F" w14:textId="77777777" w:rsidR="007B2136" w:rsidRPr="00DF3D34" w:rsidRDefault="007B2136" w:rsidP="007B2136">
      <w:pPr>
        <w:pStyle w:val="ListParagraph"/>
        <w:numPr>
          <w:ilvl w:val="0"/>
          <w:numId w:val="8"/>
        </w:numPr>
        <w:spacing w:after="160" w:line="256"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Data are collected through a standardised questionnaire sent to countries</w:t>
      </w:r>
      <w:r w:rsidRPr="00DF3D34">
        <w:rPr>
          <w:rFonts w:eastAsia="Times New Roman" w:cs="Times New Roman"/>
          <w:color w:val="4A4A4A"/>
          <w:sz w:val="21"/>
          <w:szCs w:val="21"/>
        </w:rPr>
        <w:footnoteReference w:id="4"/>
      </w:r>
      <w:r w:rsidRPr="00DF3D34">
        <w:rPr>
          <w:rFonts w:eastAsia="Times New Roman" w:cs="Times New Roman"/>
          <w:color w:val="4A4A4A"/>
          <w:sz w:val="21"/>
          <w:szCs w:val="21"/>
          <w:lang w:eastAsia="en-GB"/>
        </w:rPr>
        <w:t xml:space="preserve">. This questionnaire provides specific definitions of data to be collected and it collects a set of metadata to identify possible discrepancies from standard definitions and to assess overall data quality (e.g. sample size, target population, agency responsible for the data collection, etc.). </w:t>
      </w:r>
    </w:p>
    <w:p w14:paraId="4DE521F3" w14:textId="77777777" w:rsidR="007B2136" w:rsidRPr="00DF3D34" w:rsidRDefault="007B2136" w:rsidP="007B2136">
      <w:pPr>
        <w:pStyle w:val="ListParagraph"/>
        <w:numPr>
          <w:ilvl w:val="0"/>
          <w:numId w:val="8"/>
        </w:numPr>
        <w:spacing w:after="160" w:line="256"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When needed, data of interest and relevant </w:t>
      </w:r>
      <w:proofErr w:type="spellStart"/>
      <w:r w:rsidRPr="00DF3D34">
        <w:rPr>
          <w:rFonts w:eastAsia="Times New Roman" w:cs="Times New Roman"/>
          <w:color w:val="4A4A4A"/>
          <w:sz w:val="21"/>
          <w:szCs w:val="21"/>
          <w:lang w:eastAsia="en-GB"/>
        </w:rPr>
        <w:t>disaggregations</w:t>
      </w:r>
      <w:proofErr w:type="spellEnd"/>
      <w:r w:rsidRPr="00DF3D34">
        <w:rPr>
          <w:rFonts w:eastAsia="Times New Roman" w:cs="Times New Roman"/>
          <w:color w:val="4A4A4A"/>
          <w:sz w:val="21"/>
          <w:szCs w:val="21"/>
          <w:lang w:eastAsia="en-GB"/>
        </w:rPr>
        <w:t xml:space="preserve"> are requested</w:t>
      </w:r>
    </w:p>
    <w:p w14:paraId="6A544A55" w14:textId="77777777" w:rsidR="007B2136" w:rsidRPr="00DF3D34" w:rsidRDefault="007B2136" w:rsidP="007B2136">
      <w:pPr>
        <w:pStyle w:val="ListParagraph"/>
        <w:numPr>
          <w:ilvl w:val="0"/>
          <w:numId w:val="8"/>
        </w:numPr>
        <w:spacing w:after="160" w:line="256"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Data for multiple years are collected to assess data consistency across time</w:t>
      </w:r>
    </w:p>
    <w:p w14:paraId="3EB47DAA" w14:textId="067EDB5D" w:rsidR="007B2136" w:rsidRPr="00DF3D34" w:rsidRDefault="007B2136" w:rsidP="007B2136">
      <w:pPr>
        <w:pStyle w:val="ListParagraph"/>
        <w:numPr>
          <w:ilvl w:val="0"/>
          <w:numId w:val="8"/>
        </w:numPr>
        <w:spacing w:after="160" w:line="256"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Countries are requested to appoint national focal points (including from NSOs) for the various data topics to ensure technical supervision at country level on collected data</w:t>
      </w:r>
    </w:p>
    <w:p w14:paraId="6723751C" w14:textId="77777777" w:rsidR="007B2136" w:rsidRPr="00DF3D34" w:rsidRDefault="007B2136" w:rsidP="007B2136">
      <w:pPr>
        <w:pStyle w:val="ListParagraph"/>
        <w:numPr>
          <w:ilvl w:val="0"/>
          <w:numId w:val="8"/>
        </w:numPr>
        <w:spacing w:after="160" w:line="256"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Automated and substantive validation procedures are in place when data are processed by the Office to assess their consistency and compliance with standards </w:t>
      </w:r>
    </w:p>
    <w:p w14:paraId="4BB2255F" w14:textId="762E153E" w:rsidR="007B2136" w:rsidRPr="00DF3D34" w:rsidRDefault="007B2136" w:rsidP="007B2136">
      <w:pPr>
        <w:pStyle w:val="ListParagraph"/>
        <w:numPr>
          <w:ilvl w:val="0"/>
          <w:numId w:val="8"/>
        </w:numPr>
        <w:spacing w:after="160" w:line="256"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When data from national official sources are missing or not complying with methodological standards, data from other sources are also considered and processed by using the same quality assurance procedures. </w:t>
      </w:r>
    </w:p>
    <w:p w14:paraId="60F1D745" w14:textId="77777777" w:rsidR="00CB4E9F" w:rsidRPr="00CB4E9F" w:rsidRDefault="00CB4E9F" w:rsidP="00CB4E9F">
      <w:pPr>
        <w:spacing w:after="160" w:line="256" w:lineRule="auto"/>
        <w:jc w:val="both"/>
        <w:rPr>
          <w:rFonts w:ascii="Calibri" w:hAnsi="Calibri" w:cs="Calibri"/>
          <w:color w:val="000000" w:themeColor="text1"/>
          <w:lang w:eastAsia="en-GB"/>
        </w:rPr>
      </w:pPr>
    </w:p>
    <w:p w14:paraId="48F1D07D" w14:textId="6657CB08" w:rsidR="0058556D" w:rsidRPr="00573631" w:rsidRDefault="0058556D" w:rsidP="00DF3D34">
      <w:pPr>
        <w:pStyle w:val="MHeader"/>
      </w:pPr>
      <w:r w:rsidRPr="00573631">
        <w:lastRenderedPageBreak/>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D49762C" w14:textId="1395DF97" w:rsidR="00FC4E91" w:rsidRDefault="00FC4E91" w:rsidP="00DF3D34">
      <w:pPr>
        <w:spacing w:after="120" w:line="240" w:lineRule="auto"/>
        <w:jc w:val="both"/>
        <w:rPr>
          <w:rFonts w:eastAsia="Times New Roman" w:cs="Times New Roman"/>
          <w:color w:val="4A4A4A"/>
          <w:sz w:val="21"/>
          <w:szCs w:val="21"/>
          <w:lang w:eastAsia="en-GB"/>
        </w:rPr>
      </w:pPr>
      <w:r w:rsidRPr="005C3C59">
        <w:rPr>
          <w:rFonts w:eastAsia="Times New Roman" w:cs="Times New Roman"/>
          <w:color w:val="4A4A4A"/>
          <w:sz w:val="21"/>
          <w:szCs w:val="21"/>
          <w:lang w:eastAsia="en-GB"/>
        </w:rPr>
        <w:t xml:space="preserve">The measurement of physical and sexual harassment is a relatively recent phenomenon. In a recent review of 50 victimization surveys </w:t>
      </w:r>
      <w:r w:rsidR="00A3053F">
        <w:rPr>
          <w:rFonts w:eastAsia="Times New Roman" w:cs="Times New Roman"/>
          <w:color w:val="4A4A4A"/>
          <w:sz w:val="21"/>
          <w:szCs w:val="21"/>
          <w:lang w:eastAsia="en-GB"/>
        </w:rPr>
        <w:t xml:space="preserve">conducted </w:t>
      </w:r>
      <w:r w:rsidRPr="005C3C59">
        <w:rPr>
          <w:rFonts w:eastAsia="Times New Roman" w:cs="Times New Roman"/>
          <w:color w:val="4A4A4A"/>
          <w:sz w:val="21"/>
          <w:szCs w:val="21"/>
          <w:lang w:eastAsia="en-GB"/>
        </w:rPr>
        <w:t>worldwide over several decades</w:t>
      </w:r>
      <w:r w:rsidRPr="00DF3D34">
        <w:footnoteReference w:id="5"/>
      </w:r>
      <w:r w:rsidRPr="005C3C59">
        <w:rPr>
          <w:rFonts w:eastAsia="Times New Roman" w:cs="Times New Roman"/>
          <w:color w:val="4A4A4A"/>
          <w:sz w:val="21"/>
          <w:szCs w:val="21"/>
          <w:lang w:eastAsia="en-GB"/>
        </w:rPr>
        <w:t>, only 6 includ</w:t>
      </w:r>
      <w:r w:rsidR="00A3053F">
        <w:rPr>
          <w:rFonts w:eastAsia="Times New Roman" w:cs="Times New Roman"/>
          <w:color w:val="4A4A4A"/>
          <w:sz w:val="21"/>
          <w:szCs w:val="21"/>
          <w:lang w:eastAsia="en-GB"/>
        </w:rPr>
        <w:t>ed</w:t>
      </w:r>
      <w:r w:rsidRPr="005C3C59">
        <w:rPr>
          <w:rFonts w:eastAsia="Times New Roman" w:cs="Times New Roman"/>
          <w:color w:val="4A4A4A"/>
          <w:sz w:val="21"/>
          <w:szCs w:val="21"/>
          <w:lang w:eastAsia="en-GB"/>
        </w:rPr>
        <w:t xml:space="preserve"> questions concerning either physical or sexual harassment (and only one screened for both types of behaviour); all </w:t>
      </w:r>
      <w:r w:rsidRPr="00C13B2C">
        <w:rPr>
          <w:rFonts w:eastAsia="Times New Roman" w:cs="Times New Roman"/>
          <w:color w:val="4A4A4A"/>
          <w:sz w:val="21"/>
          <w:szCs w:val="21"/>
          <w:lang w:eastAsia="en-GB"/>
        </w:rPr>
        <w:t xml:space="preserve">were conducted between 2013 and 2016. The six surveys (conducted by </w:t>
      </w:r>
      <w:r w:rsidRPr="00975E00">
        <w:rPr>
          <w:rFonts w:eastAsia="Times New Roman" w:cs="Times New Roman"/>
          <w:color w:val="4A4A4A"/>
          <w:sz w:val="21"/>
          <w:szCs w:val="21"/>
          <w:lang w:eastAsia="en-GB"/>
        </w:rPr>
        <w:t>Canada, France, Israel, Italy, Mexico and Sweden</w:t>
      </w:r>
      <w:r w:rsidRPr="00C13B2C">
        <w:rPr>
          <w:rFonts w:eastAsia="Times New Roman" w:cs="Times New Roman"/>
          <w:color w:val="4A4A4A"/>
          <w:sz w:val="21"/>
          <w:szCs w:val="21"/>
          <w:lang w:eastAsia="en-GB"/>
        </w:rPr>
        <w:t>) that measured physical and/or sexual harassment did so using different</w:t>
      </w:r>
      <w:r>
        <w:rPr>
          <w:rFonts w:eastAsia="Times New Roman" w:cs="Times New Roman"/>
          <w:color w:val="4A4A4A"/>
          <w:sz w:val="21"/>
          <w:szCs w:val="21"/>
          <w:lang w:eastAsia="en-GB"/>
        </w:rPr>
        <w:t xml:space="preserve"> methodologies and question formulations, so the results are not directly comparable.</w:t>
      </w:r>
    </w:p>
    <w:p w14:paraId="353270AA" w14:textId="27BBE714" w:rsidR="00FC4E91" w:rsidRDefault="00FC4E91" w:rsidP="00DF3D34">
      <w:pPr>
        <w:spacing w:after="120"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Another important source of data on sexual harassment </w:t>
      </w:r>
      <w:r w:rsidR="0043060C">
        <w:rPr>
          <w:rFonts w:eastAsia="Times New Roman" w:cs="Times New Roman"/>
          <w:color w:val="4A4A4A"/>
          <w:sz w:val="21"/>
          <w:szCs w:val="21"/>
          <w:lang w:eastAsia="en-GB"/>
        </w:rPr>
        <w:t xml:space="preserve">is </w:t>
      </w:r>
      <w:r>
        <w:rPr>
          <w:rFonts w:eastAsia="Times New Roman" w:cs="Times New Roman"/>
          <w:color w:val="4A4A4A"/>
          <w:sz w:val="21"/>
          <w:szCs w:val="21"/>
          <w:lang w:eastAsia="en-GB"/>
        </w:rPr>
        <w:t xml:space="preserve"> a survey on violence against women conducted by the European Union Fundamental Rights Agency in </w:t>
      </w:r>
      <w:r w:rsidR="005C3C59">
        <w:rPr>
          <w:rFonts w:eastAsia="Times New Roman" w:cs="Times New Roman"/>
          <w:color w:val="4A4A4A"/>
          <w:sz w:val="21"/>
          <w:szCs w:val="21"/>
          <w:lang w:eastAsia="en-GB"/>
        </w:rPr>
        <w:t>all 28 EU Member States in 2013 (sample size 42,000 interviewees).</w:t>
      </w:r>
      <w:r w:rsidR="005C3C59" w:rsidRPr="00DF3D34">
        <w:footnoteReference w:id="6"/>
      </w:r>
      <w:r w:rsidR="005C3C59">
        <w:rPr>
          <w:rFonts w:eastAsia="Times New Roman" w:cs="Times New Roman"/>
          <w:color w:val="4A4A4A"/>
          <w:sz w:val="21"/>
          <w:szCs w:val="21"/>
          <w:lang w:eastAsia="en-GB"/>
        </w:rPr>
        <w:t xml:space="preserve"> The measurement of sexual harassment was based on 11 types of behaviours (items) that have also been used to develop the survey module for SDG indicator 11.7.2.</w:t>
      </w:r>
    </w:p>
    <w:p w14:paraId="006CDEFF" w14:textId="3CEB3B67" w:rsidR="005C3C59" w:rsidRDefault="005C3C59" w:rsidP="00DF3D34">
      <w:pPr>
        <w:spacing w:after="120"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Finally, various modules on physical and sexual harassment </w:t>
      </w:r>
      <w:r w:rsidR="00A3053F">
        <w:rPr>
          <w:rFonts w:eastAsia="Times New Roman" w:cs="Times New Roman"/>
          <w:color w:val="4A4A4A"/>
          <w:sz w:val="21"/>
          <w:szCs w:val="21"/>
          <w:lang w:eastAsia="en-GB"/>
        </w:rPr>
        <w:t>have</w:t>
      </w:r>
      <w:r>
        <w:rPr>
          <w:rFonts w:eastAsia="Times New Roman" w:cs="Times New Roman"/>
          <w:color w:val="4A4A4A"/>
          <w:sz w:val="21"/>
          <w:szCs w:val="21"/>
          <w:lang w:eastAsia="en-GB"/>
        </w:rPr>
        <w:t xml:space="preserve"> been </w:t>
      </w:r>
      <w:r w:rsidR="00A3053F">
        <w:rPr>
          <w:rFonts w:eastAsia="Times New Roman" w:cs="Times New Roman"/>
          <w:color w:val="4A4A4A"/>
          <w:sz w:val="21"/>
          <w:szCs w:val="21"/>
          <w:lang w:eastAsia="en-GB"/>
        </w:rPr>
        <w:t>tested</w:t>
      </w:r>
      <w:r>
        <w:rPr>
          <w:rFonts w:eastAsia="Times New Roman" w:cs="Times New Roman"/>
          <w:color w:val="4A4A4A"/>
          <w:sz w:val="21"/>
          <w:szCs w:val="21"/>
          <w:lang w:eastAsia="en-GB"/>
        </w:rPr>
        <w:t xml:space="preserve"> in a recent survey in Nigeria. Following </w:t>
      </w:r>
      <w:r w:rsidR="00A3053F">
        <w:rPr>
          <w:rFonts w:eastAsia="Times New Roman" w:cs="Times New Roman"/>
          <w:color w:val="4A4A4A"/>
          <w:sz w:val="21"/>
          <w:szCs w:val="21"/>
          <w:lang w:eastAsia="en-GB"/>
        </w:rPr>
        <w:t xml:space="preserve">pilot </w:t>
      </w:r>
      <w:r>
        <w:rPr>
          <w:rFonts w:eastAsia="Times New Roman" w:cs="Times New Roman"/>
          <w:color w:val="4A4A4A"/>
          <w:sz w:val="21"/>
          <w:szCs w:val="21"/>
          <w:lang w:eastAsia="en-GB"/>
        </w:rPr>
        <w:t xml:space="preserve">testing and revisions of the module, the proposed module has been included in a large-scale household survey in June 2019 </w:t>
      </w:r>
      <w:r w:rsidRPr="005C3C59">
        <w:rPr>
          <w:rFonts w:eastAsia="Times New Roman" w:cs="Times New Roman"/>
          <w:color w:val="4A4A4A"/>
          <w:sz w:val="21"/>
          <w:szCs w:val="21"/>
          <w:lang w:eastAsia="en-GB"/>
        </w:rPr>
        <w:t>(sample 33,000 interviews)</w:t>
      </w:r>
      <w:r>
        <w:rPr>
          <w:rFonts w:eastAsia="Times New Roman" w:cs="Times New Roman"/>
          <w:color w:val="4A4A4A"/>
          <w:sz w:val="21"/>
          <w:szCs w:val="21"/>
          <w:lang w:eastAsia="en-GB"/>
        </w:rPr>
        <w:t xml:space="preserve"> and found to be useful and feasible (see </w:t>
      </w:r>
      <w:r w:rsidR="00975E00">
        <w:rPr>
          <w:rFonts w:eastAsia="Times New Roman" w:cs="Times New Roman"/>
          <w:color w:val="4A4A4A"/>
          <w:sz w:val="21"/>
          <w:szCs w:val="21"/>
          <w:lang w:eastAsia="en-GB"/>
        </w:rPr>
        <w:t>Annex A and B of the Methodology Development Narrative</w:t>
      </w:r>
      <w:r>
        <w:rPr>
          <w:rFonts w:eastAsia="Times New Roman" w:cs="Times New Roman"/>
          <w:color w:val="4A4A4A"/>
          <w:sz w:val="21"/>
          <w:szCs w:val="21"/>
          <w:lang w:eastAsia="en-GB"/>
        </w:rPr>
        <w:t>).</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CE84592" w14:textId="07AF9FC5" w:rsidR="00CE31EB" w:rsidRPr="00DF3D34" w:rsidRDefault="00CE31EB" w:rsidP="00CE31EB">
      <w:pPr>
        <w:spacing w:after="120" w:line="240" w:lineRule="auto"/>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The indicator has recently been included into the annual United Nations Crime Trends Survey (UN-CTS), the regular data collection used by UNODC to collect data from UN Member States. The first data collection has just started, and it is expected that countries will gradually report on this indicator once the methodology is disseminated and relevant items are included in national surveys.</w:t>
      </w:r>
    </w:p>
    <w:p w14:paraId="06235371" w14:textId="6A77EBF5" w:rsidR="000173F9" w:rsidRDefault="000173F9" w:rsidP="00573631">
      <w:pPr>
        <w:keepNext/>
        <w:keepLines/>
        <w:shd w:val="clear" w:color="auto" w:fill="FFFFFF"/>
        <w:spacing w:after="0"/>
        <w:rPr>
          <w:rFonts w:eastAsia="Times New Roman" w:cs="Times New Roman"/>
          <w:color w:val="4A4A4A"/>
          <w:sz w:val="21"/>
          <w:szCs w:val="21"/>
          <w:lang w:eastAsia="en-GB"/>
        </w:rPr>
      </w:pPr>
    </w:p>
    <w:p w14:paraId="1652588A" w14:textId="77777777" w:rsidR="005C3C59" w:rsidRPr="00573631" w:rsidRDefault="005C3C5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6D5208E7" w14:textId="77777777" w:rsidR="00CE31EB" w:rsidRPr="00DF3D34" w:rsidRDefault="00CE31EB" w:rsidP="005C3C59">
      <w:pPr>
        <w:shd w:val="clear" w:color="auto" w:fill="FFFFFF"/>
        <w:tabs>
          <w:tab w:val="left" w:pos="1320"/>
        </w:tabs>
        <w:spacing w:after="0"/>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The indicator will be collected annually through the United Nations Crime Trends Survey (UN-CTS), the regular data collection used by UNODC to collect data from UN Member States (based on the network of national UN-CTS Focal Points). </w:t>
      </w:r>
    </w:p>
    <w:p w14:paraId="070D4DBA" w14:textId="2B08026E" w:rsidR="005C3C59" w:rsidRPr="00DF3D34" w:rsidRDefault="005C3C59" w:rsidP="005C3C59">
      <w:pPr>
        <w:shd w:val="clear" w:color="auto" w:fill="FFFFFF"/>
        <w:tabs>
          <w:tab w:val="left" w:pos="1320"/>
        </w:tabs>
        <w:spacing w:after="0"/>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t xml:space="preserve">Countries are encouraged to conduct surveys on </w:t>
      </w:r>
      <w:r w:rsidR="0026459E" w:rsidRPr="00DF3D34">
        <w:rPr>
          <w:rFonts w:eastAsia="Times New Roman" w:cs="Times New Roman"/>
          <w:color w:val="4A4A4A"/>
          <w:sz w:val="21"/>
          <w:szCs w:val="21"/>
          <w:lang w:eastAsia="en-GB"/>
        </w:rPr>
        <w:t>harassment</w:t>
      </w:r>
      <w:r w:rsidRPr="00DF3D34">
        <w:rPr>
          <w:rFonts w:eastAsia="Times New Roman" w:cs="Times New Roman"/>
          <w:color w:val="4A4A4A"/>
          <w:sz w:val="21"/>
          <w:szCs w:val="21"/>
          <w:lang w:eastAsia="en-GB"/>
        </w:rPr>
        <w:t xml:space="preserve"> through the proposed module in regular intervals, but at least every four years to reflect progress between each of the quadrennial reviews of Goal </w:t>
      </w:r>
      <w:r w:rsidR="0026459E" w:rsidRPr="00DF3D34">
        <w:rPr>
          <w:rFonts w:eastAsia="Times New Roman" w:cs="Times New Roman"/>
          <w:color w:val="4A4A4A"/>
          <w:sz w:val="21"/>
          <w:szCs w:val="21"/>
          <w:lang w:eastAsia="en-GB"/>
        </w:rPr>
        <w:t>11</w:t>
      </w:r>
      <w:r w:rsidRPr="00DF3D34">
        <w:rPr>
          <w:rFonts w:eastAsia="Times New Roman" w:cs="Times New Roman"/>
          <w:color w:val="4A4A4A"/>
          <w:sz w:val="21"/>
          <w:szCs w:val="21"/>
          <w:lang w:eastAsia="en-GB"/>
        </w:rPr>
        <w:t xml:space="preserve"> at the High Level Political Forum (HLPF).</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CB84A2B" w14:textId="60BD74D3" w:rsidR="00A61D74" w:rsidRPr="00573631" w:rsidRDefault="0026459E" w:rsidP="00DF3D34">
      <w:pPr>
        <w:shd w:val="clear" w:color="auto" w:fill="FFFFFF"/>
        <w:tabs>
          <w:tab w:val="left" w:pos="1320"/>
        </w:tabs>
        <w:spacing w:after="0"/>
        <w:jc w:val="both"/>
        <w:rPr>
          <w:rFonts w:eastAsia="Times New Roman" w:cs="Times New Roman"/>
          <w:color w:val="4A4A4A"/>
          <w:sz w:val="21"/>
          <w:szCs w:val="21"/>
          <w:lang w:eastAsia="en-GB"/>
        </w:rPr>
      </w:pPr>
      <w:r w:rsidRPr="0026459E">
        <w:rPr>
          <w:rFonts w:eastAsia="Times New Roman" w:cs="Times New Roman"/>
          <w:color w:val="4A4A4A"/>
          <w:sz w:val="21"/>
          <w:szCs w:val="21"/>
          <w:lang w:eastAsia="en-GB"/>
        </w:rPr>
        <w:t>Data on relevant SDG indicators are collected, compiled and sent back to countries for data review annually. Data are then reported to UNSD through the regular reporting channels annually.</w:t>
      </w:r>
    </w:p>
    <w:p w14:paraId="0C279FED" w14:textId="77777777" w:rsidR="00975E00" w:rsidRPr="00DF3D34" w:rsidRDefault="00975E00" w:rsidP="00DF3D34">
      <w:pPr>
        <w:shd w:val="clear" w:color="auto" w:fill="FFFFFF"/>
        <w:tabs>
          <w:tab w:val="left" w:pos="1320"/>
        </w:tabs>
        <w:spacing w:after="0"/>
        <w:jc w:val="both"/>
        <w:rPr>
          <w:rFonts w:eastAsia="Times New Roman" w:cs="Times New Roman"/>
          <w:color w:val="4A4A4A"/>
          <w:sz w:val="21"/>
          <w:szCs w:val="21"/>
          <w:lang w:eastAsia="en-GB"/>
        </w:rPr>
      </w:pPr>
      <w:r w:rsidRPr="00DF3D34">
        <w:rPr>
          <w:rFonts w:eastAsia="Times New Roman" w:cs="Times New Roman"/>
          <w:color w:val="4A4A4A"/>
          <w:sz w:val="21"/>
          <w:szCs w:val="21"/>
          <w:lang w:eastAsia="en-GB"/>
        </w:rPr>
        <w:br w:type="page"/>
      </w:r>
    </w:p>
    <w:p w14:paraId="45025639" w14:textId="4F8DC0BB" w:rsidR="0058556D" w:rsidRPr="00573631" w:rsidRDefault="0058556D" w:rsidP="0096266E">
      <w:pPr>
        <w:pBdr>
          <w:bottom w:val="single" w:sz="12" w:space="4" w:color="DDDDDD"/>
        </w:pBdr>
        <w:shd w:val="clear" w:color="auto" w:fill="FFFFFF"/>
        <w:spacing w:after="0"/>
        <w:jc w:val="both"/>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Data providers</w:t>
      </w:r>
    </w:p>
    <w:p w14:paraId="05B29344" w14:textId="3B85B6A5" w:rsidR="0058556D" w:rsidRDefault="0026459E" w:rsidP="00DF3D34">
      <w:pPr>
        <w:shd w:val="clear" w:color="auto" w:fill="FFFFFF"/>
        <w:tabs>
          <w:tab w:val="left" w:pos="1320"/>
        </w:tabs>
        <w:spacing w:after="0"/>
        <w:jc w:val="both"/>
        <w:rPr>
          <w:rFonts w:eastAsia="Times New Roman" w:cs="Times New Roman"/>
          <w:color w:val="4A4A4A"/>
          <w:sz w:val="21"/>
          <w:szCs w:val="21"/>
          <w:lang w:eastAsia="en-GB"/>
        </w:rPr>
      </w:pPr>
      <w:r w:rsidRPr="0026459E">
        <w:rPr>
          <w:rFonts w:eastAsia="Times New Roman" w:cs="Times New Roman"/>
          <w:color w:val="4A4A4A"/>
          <w:sz w:val="21"/>
          <w:szCs w:val="21"/>
          <w:lang w:eastAsia="en-GB"/>
        </w:rPr>
        <w:t>Data are collected through official nationally representative surveys. In most countries and most cases, such surveys are conducted by National Statistical Offices (NSOs). In some cases, other national institutions or other entities may conduct surveys on access to justice according to the same methodological standards</w:t>
      </w:r>
      <w:r>
        <w:rPr>
          <w:rFonts w:eastAsia="Times New Roman" w:cs="Times New Roman"/>
          <w:color w:val="4A4A4A"/>
          <w:sz w:val="21"/>
          <w:szCs w:val="21"/>
          <w:lang w:eastAsia="en-GB"/>
        </w:rPr>
        <w:t>.</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5E5B7B9" w14:textId="5AD1ADFA" w:rsidR="00A61D74" w:rsidRPr="00573631" w:rsidRDefault="0026459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lang w:val="en-US" w:eastAsia="en-GB"/>
        </w:rPr>
        <w:t>Data will be compiled by the custodian for this indicator (UNODC)</w:t>
      </w:r>
      <w:r w:rsidR="0096266E">
        <w:rPr>
          <w:rFonts w:eastAsia="Times New Roman" w:cs="Times New Roman"/>
          <w:color w:val="4A4A4A"/>
          <w:lang w:val="en-US" w:eastAsia="en-GB"/>
        </w:rPr>
        <w:t>.</w:t>
      </w: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04B7E20E" w14:textId="16F51B08" w:rsidR="0058556D" w:rsidRDefault="00AF503F" w:rsidP="00573631">
      <w:pPr>
        <w:shd w:val="clear" w:color="auto" w:fill="FFFFFF"/>
        <w:spacing w:after="0"/>
        <w:rPr>
          <w:rFonts w:eastAsia="Times New Roman" w:cs="Times New Roman"/>
          <w:color w:val="4A4A4A"/>
          <w:sz w:val="21"/>
          <w:szCs w:val="21"/>
          <w:lang w:eastAsia="en-GB"/>
        </w:rPr>
      </w:pPr>
      <w:hyperlink r:id="rId11" w:history="1">
        <w:r w:rsidR="0026459E" w:rsidRPr="00666041">
          <w:rPr>
            <w:rStyle w:val="Hyperlink"/>
            <w:rFonts w:eastAsia="Times New Roman" w:cs="Times New Roman"/>
            <w:sz w:val="21"/>
            <w:szCs w:val="21"/>
            <w:lang w:eastAsia="en-GB"/>
          </w:rPr>
          <w:t>https://www.unodc.org/documents/data-and-analysis/Crime-statistics/Manual_on_Victimization_surveys_2009_web.pdf</w:t>
        </w:r>
      </w:hyperlink>
    </w:p>
    <w:p w14:paraId="2000EE3C" w14:textId="77777777" w:rsidR="0026459E" w:rsidRDefault="0026459E" w:rsidP="00573631">
      <w:pPr>
        <w:shd w:val="clear" w:color="auto" w:fill="FFFFFF"/>
        <w:spacing w:after="0"/>
        <w:rPr>
          <w:rFonts w:eastAsia="Times New Roman" w:cs="Times New Roman"/>
          <w:color w:val="4A4A4A"/>
          <w:sz w:val="21"/>
          <w:szCs w:val="21"/>
          <w:lang w:eastAsia="en-GB"/>
        </w:rPr>
      </w:pPr>
    </w:p>
    <w:p w14:paraId="5189B598" w14:textId="6343608E" w:rsidR="0026459E" w:rsidRDefault="00AF503F" w:rsidP="00573631">
      <w:pPr>
        <w:shd w:val="clear" w:color="auto" w:fill="FFFFFF"/>
        <w:spacing w:after="0"/>
        <w:rPr>
          <w:rFonts w:eastAsia="Times New Roman" w:cs="Times New Roman"/>
          <w:color w:val="4A4A4A"/>
          <w:sz w:val="21"/>
          <w:szCs w:val="21"/>
          <w:lang w:eastAsia="en-GB"/>
        </w:rPr>
      </w:pPr>
      <w:hyperlink r:id="rId12" w:history="1">
        <w:r w:rsidR="0026459E" w:rsidRPr="00666041">
          <w:rPr>
            <w:rStyle w:val="Hyperlink"/>
            <w:rFonts w:eastAsia="Times New Roman" w:cs="Times New Roman"/>
            <w:sz w:val="21"/>
            <w:szCs w:val="21"/>
            <w:lang w:eastAsia="en-GB"/>
          </w:rPr>
          <w:t>https://fra.europa.eu/en/publication/2014/violence-against-women-eu-wide-survey-main-results-report</w:t>
        </w:r>
      </w:hyperlink>
    </w:p>
    <w:p w14:paraId="532A1AB4" w14:textId="77777777" w:rsidR="0026459E" w:rsidRPr="00573631" w:rsidRDefault="0026459E" w:rsidP="00573631">
      <w:pPr>
        <w:shd w:val="clear" w:color="auto" w:fill="FFFFFF"/>
        <w:spacing w:after="0"/>
        <w:rPr>
          <w:rFonts w:eastAsia="Times New Roman" w:cs="Times New Roman"/>
          <w:color w:val="4A4A4A"/>
          <w:sz w:val="21"/>
          <w:szCs w:val="21"/>
          <w:lang w:eastAsia="en-GB"/>
        </w:rPr>
      </w:pPr>
    </w:p>
    <w:p w14:paraId="1D67ED02"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p>
    <w:p w14:paraId="36FC28DD" w14:textId="759A6FBB" w:rsidR="0058556D" w:rsidRDefault="0026459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UNODC-UNECE, Manual on Victimization Surveys (2010)</w:t>
      </w:r>
    </w:p>
    <w:p w14:paraId="40BD4BE0" w14:textId="76A01F70" w:rsidR="0026459E" w:rsidRDefault="0026459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EU Fundamental Rights Agency, </w:t>
      </w:r>
      <w:r w:rsidRPr="0026459E">
        <w:rPr>
          <w:rFonts w:eastAsia="Times New Roman" w:cs="Times New Roman"/>
          <w:color w:val="4A4A4A"/>
          <w:sz w:val="21"/>
          <w:szCs w:val="21"/>
          <w:lang w:eastAsia="en-GB"/>
        </w:rPr>
        <w:t>Violence against women: an EU-wide survey. Main results report</w:t>
      </w:r>
      <w:r>
        <w:rPr>
          <w:rFonts w:eastAsia="Times New Roman" w:cs="Times New Roman"/>
          <w:color w:val="4A4A4A"/>
          <w:sz w:val="21"/>
          <w:szCs w:val="21"/>
          <w:lang w:eastAsia="en-GB"/>
        </w:rPr>
        <w:t xml:space="preserve"> (2014)</w:t>
      </w:r>
    </w:p>
    <w:p w14:paraId="77E2FDF3" w14:textId="77777777" w:rsidR="0026459E" w:rsidRPr="00573631" w:rsidRDefault="0026459E"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79A82DD9" w14:textId="62FAD25F" w:rsidR="0058556D" w:rsidRDefault="0096266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5.2.1</w:t>
      </w:r>
    </w:p>
    <w:p w14:paraId="4B65660B" w14:textId="37ED9CC6" w:rsidR="0096266E" w:rsidRDefault="0096266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5.2.2</w:t>
      </w:r>
    </w:p>
    <w:p w14:paraId="31A43105" w14:textId="0D2B7ABD" w:rsidR="0096266E" w:rsidRDefault="0096266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16.1.3</w:t>
      </w:r>
    </w:p>
    <w:p w14:paraId="5810555D" w14:textId="71374DF3" w:rsidR="0096266E" w:rsidRDefault="0096266E"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16.2.3</w:t>
      </w:r>
    </w:p>
    <w:p w14:paraId="7C18B945" w14:textId="222EFDE9" w:rsidR="0096266E" w:rsidRDefault="0096266E">
      <w:pPr>
        <w:rPr>
          <w:rFonts w:eastAsia="Times New Roman" w:cs="Times New Roman"/>
          <w:color w:val="4A4A4A"/>
          <w:sz w:val="21"/>
          <w:szCs w:val="21"/>
          <w:lang w:eastAsia="en-GB"/>
        </w:rPr>
      </w:pPr>
    </w:p>
    <w:p w14:paraId="5C5EC9DE" w14:textId="0C84CA9C" w:rsidR="005E77D0" w:rsidRPr="005E77D0" w:rsidRDefault="005E77D0" w:rsidP="00C13B2C">
      <w:pPr>
        <w:rPr>
          <w:sz w:val="16"/>
          <w:szCs w:val="16"/>
        </w:rPr>
      </w:pPr>
    </w:p>
    <w:sectPr w:rsidR="005E77D0" w:rsidRPr="005E77D0">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85594" w14:textId="77777777" w:rsidR="00AF503F" w:rsidRDefault="00AF503F" w:rsidP="00573C0B">
      <w:pPr>
        <w:spacing w:after="0" w:line="240" w:lineRule="auto"/>
      </w:pPr>
      <w:r>
        <w:separator/>
      </w:r>
    </w:p>
  </w:endnote>
  <w:endnote w:type="continuationSeparator" w:id="0">
    <w:p w14:paraId="516425A1" w14:textId="77777777" w:rsidR="00AF503F" w:rsidRDefault="00AF503F"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882C6" w14:textId="77777777" w:rsidR="00AF503F" w:rsidRDefault="00AF503F" w:rsidP="00573C0B">
      <w:pPr>
        <w:spacing w:after="0" w:line="240" w:lineRule="auto"/>
      </w:pPr>
      <w:r>
        <w:separator/>
      </w:r>
    </w:p>
  </w:footnote>
  <w:footnote w:type="continuationSeparator" w:id="0">
    <w:p w14:paraId="6D50EE14" w14:textId="77777777" w:rsidR="00AF503F" w:rsidRDefault="00AF503F" w:rsidP="00573C0B">
      <w:pPr>
        <w:spacing w:after="0" w:line="240" w:lineRule="auto"/>
      </w:pPr>
      <w:r>
        <w:continuationSeparator/>
      </w:r>
    </w:p>
  </w:footnote>
  <w:footnote w:id="1">
    <w:p w14:paraId="13BE5240" w14:textId="549FFCA7" w:rsidR="00A048A4" w:rsidRDefault="00A048A4">
      <w:pPr>
        <w:pStyle w:val="FootnoteText"/>
      </w:pPr>
      <w:r>
        <w:rPr>
          <w:rStyle w:val="FootnoteReference"/>
        </w:rPr>
        <w:footnoteRef/>
      </w:r>
      <w:r>
        <w:t xml:space="preserve"> </w:t>
      </w:r>
      <w:r w:rsidRPr="00A048A4">
        <w:t>This network is formed of national representatives - appointed by Member States – from either National Statistical Offices or other government agencies directly involved in the production and dissemination of statistical data on crime and criminal justice</w:t>
      </w:r>
      <w:r>
        <w:t>.</w:t>
      </w:r>
    </w:p>
  </w:footnote>
  <w:footnote w:id="2">
    <w:p w14:paraId="4A14C6E5" w14:textId="47EA78B8" w:rsidR="00A44990" w:rsidRDefault="00A44990">
      <w:pPr>
        <w:pStyle w:val="FootnoteText"/>
      </w:pPr>
      <w:r>
        <w:rPr>
          <w:rStyle w:val="FootnoteReference"/>
        </w:rPr>
        <w:footnoteRef/>
      </w:r>
      <w:r>
        <w:t xml:space="preserve"> Other age limits (e.g. 15+ years) may be applied if consistent with national practices. Some surveys are also specifically designed to cover the youth and adolescent population, for example the </w:t>
      </w:r>
      <w:r w:rsidRPr="00A44990">
        <w:t>Social Cohesion Survey to Prevent Violence and Crime (ECOPRED)</w:t>
      </w:r>
      <w:r>
        <w:t xml:space="preserve"> conducted by the National Statistics Office of Mexico (INEG</w:t>
      </w:r>
      <w:r w:rsidR="00BD1C49">
        <w:t>I) targets youth 12 years and older.</w:t>
      </w:r>
    </w:p>
  </w:footnote>
  <w:footnote w:id="3">
    <w:p w14:paraId="65EE575A" w14:textId="410D31F3" w:rsidR="00403431" w:rsidRDefault="00403431" w:rsidP="00403431">
      <w:pPr>
        <w:pStyle w:val="FootnoteText"/>
      </w:pPr>
      <w:r>
        <w:rPr>
          <w:rStyle w:val="FootnoteReference"/>
        </w:rPr>
        <w:footnoteRef/>
      </w:r>
      <w:r>
        <w:t xml:space="preserve"> This includes the National Survey on the Dynamics of Household Relationships (ENDIREH), the </w:t>
      </w:r>
      <w:r w:rsidRPr="00403431">
        <w:t>National Survey on Victimization and Perception of Public Safety (ENVIPE)</w:t>
      </w:r>
      <w:r>
        <w:t xml:space="preserve"> and the Social Cohesion Survey to Prevent Violence and Crime (ECOPRED). For an overview see: </w:t>
      </w:r>
      <w:r w:rsidRPr="00403431">
        <w:t>https://www.inegi.org.mx/app/biblioteca/ficha.html?upc=702825189587</w:t>
      </w:r>
    </w:p>
  </w:footnote>
  <w:footnote w:id="4">
    <w:p w14:paraId="2D45B3FB" w14:textId="1EBAB3DC" w:rsidR="007B2136" w:rsidRDefault="007B2136" w:rsidP="007B2136">
      <w:pPr>
        <w:pStyle w:val="FootnoteText"/>
        <w:rPr>
          <w:rFonts w:ascii="Calibri" w:hAnsi="Calibri" w:cs="Calibri"/>
          <w:lang w:eastAsia="en-US"/>
        </w:rPr>
      </w:pPr>
      <w:r>
        <w:rPr>
          <w:rStyle w:val="FootnoteReference"/>
        </w:rPr>
        <w:footnoteRef/>
      </w:r>
      <w:r>
        <w:t xml:space="preserve"> </w:t>
      </w:r>
      <w:r w:rsidR="00A3053F">
        <w:t>D</w:t>
      </w:r>
      <w:r>
        <w:t>ata will be collected through the UN Crime trends Survey (UN-CTS), the annual questionnaire on crime and criminal justice administered by UNODC</w:t>
      </w:r>
    </w:p>
  </w:footnote>
  <w:footnote w:id="5">
    <w:p w14:paraId="7B86DDD7" w14:textId="538E6DAE" w:rsidR="00FC4E91" w:rsidRDefault="00FC4E91">
      <w:pPr>
        <w:pStyle w:val="FootnoteText"/>
      </w:pPr>
      <w:r>
        <w:rPr>
          <w:rStyle w:val="FootnoteReference"/>
        </w:rPr>
        <w:footnoteRef/>
      </w:r>
      <w:r>
        <w:t xml:space="preserve"> The review was conducted by the UNODC-INEGI </w:t>
      </w:r>
      <w:proofErr w:type="spellStart"/>
      <w:r w:rsidRPr="00FC4E91">
        <w:t>Center</w:t>
      </w:r>
      <w:proofErr w:type="spellEnd"/>
      <w:r w:rsidRPr="00FC4E91">
        <w:t xml:space="preserve"> of Excellence for Statistical Information on Government, Crime, Victimization and Justice (</w:t>
      </w:r>
      <w:proofErr w:type="spellStart"/>
      <w:r w:rsidRPr="00FC4E91">
        <w:t>CdE</w:t>
      </w:r>
      <w:proofErr w:type="spellEnd"/>
      <w:r w:rsidRPr="00FC4E91">
        <w:t>)</w:t>
      </w:r>
      <w:r>
        <w:t xml:space="preserve"> in 2018.</w:t>
      </w:r>
    </w:p>
  </w:footnote>
  <w:footnote w:id="6">
    <w:p w14:paraId="14498B1E" w14:textId="418B8B86" w:rsidR="005C3C59" w:rsidRDefault="005C3C59">
      <w:pPr>
        <w:pStyle w:val="FootnoteText"/>
      </w:pPr>
      <w:r>
        <w:rPr>
          <w:rStyle w:val="FootnoteReference"/>
        </w:rPr>
        <w:footnoteRef/>
      </w:r>
      <w:r>
        <w:t xml:space="preserve"> Results, reports and methodology are available at </w:t>
      </w:r>
      <w:hyperlink r:id="rId1" w:history="1">
        <w:r w:rsidRPr="00666041">
          <w:rPr>
            <w:rStyle w:val="Hyperlink"/>
          </w:rPr>
          <w:t>https://fra.europa.eu/en/publication/2014/violence-against-women-eu-wide-survey-main-results-report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0467574" w:rsidR="00077F46" w:rsidRPr="00757E8A" w:rsidRDefault="00077F46" w:rsidP="00077F46">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bookmarkEnd w:id="1"/>
    <w:bookmarkEnd w:id="2"/>
    <w:bookmarkEnd w:id="3"/>
    <w:bookmarkEnd w:id="4"/>
    <w:bookmarkEnd w:id="5"/>
    <w:bookmarkEnd w:id="6"/>
    <w:r w:rsidR="001D6F4B">
      <w:rPr>
        <w:color w:val="404040" w:themeColor="text1" w:themeTint="BF"/>
        <w:sz w:val="18"/>
        <w:szCs w:val="18"/>
      </w:rPr>
      <w:t>28 November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5056D"/>
    <w:multiLevelType w:val="hybridMultilevel"/>
    <w:tmpl w:val="A6661E80"/>
    <w:lvl w:ilvl="0" w:tplc="ADD08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3A8563E"/>
    <w:multiLevelType w:val="hybridMultilevel"/>
    <w:tmpl w:val="E0E09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3FB310E"/>
    <w:multiLevelType w:val="hybridMultilevel"/>
    <w:tmpl w:val="43EAF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81861"/>
    <w:multiLevelType w:val="hybridMultilevel"/>
    <w:tmpl w:val="D89A1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D004FA2"/>
    <w:multiLevelType w:val="hybridMultilevel"/>
    <w:tmpl w:val="4DAC3A2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B7D5F"/>
    <w:multiLevelType w:val="hybridMultilevel"/>
    <w:tmpl w:val="DCA2C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
  </w:num>
  <w:num w:numId="5">
    <w:abstractNumId w:val="8"/>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MTQwMrIwsjA2N7ZU0lEKTi0uzszPAykwrAUAzwNSYywAAAA="/>
  </w:docVars>
  <w:rsids>
    <w:rsidRoot w:val="0058556D"/>
    <w:rsid w:val="000070BA"/>
    <w:rsid w:val="000173F9"/>
    <w:rsid w:val="00047DDA"/>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9124B"/>
    <w:rsid w:val="00194D09"/>
    <w:rsid w:val="001B60AA"/>
    <w:rsid w:val="001C421F"/>
    <w:rsid w:val="001D360D"/>
    <w:rsid w:val="001D6F4B"/>
    <w:rsid w:val="0020650B"/>
    <w:rsid w:val="002549E6"/>
    <w:rsid w:val="00261A8D"/>
    <w:rsid w:val="0026459E"/>
    <w:rsid w:val="00283C1C"/>
    <w:rsid w:val="00291A00"/>
    <w:rsid w:val="00291A11"/>
    <w:rsid w:val="002A315C"/>
    <w:rsid w:val="002A3342"/>
    <w:rsid w:val="002A373B"/>
    <w:rsid w:val="002A64BA"/>
    <w:rsid w:val="002B4989"/>
    <w:rsid w:val="002D714E"/>
    <w:rsid w:val="002E53C3"/>
    <w:rsid w:val="00331D6B"/>
    <w:rsid w:val="0034329E"/>
    <w:rsid w:val="00343FAA"/>
    <w:rsid w:val="00353C98"/>
    <w:rsid w:val="00371A20"/>
    <w:rsid w:val="003A7CEA"/>
    <w:rsid w:val="003F0BD3"/>
    <w:rsid w:val="003F278A"/>
    <w:rsid w:val="00403431"/>
    <w:rsid w:val="00422EA5"/>
    <w:rsid w:val="00422EFA"/>
    <w:rsid w:val="0043060C"/>
    <w:rsid w:val="004456ED"/>
    <w:rsid w:val="004841B8"/>
    <w:rsid w:val="004930F2"/>
    <w:rsid w:val="004A2519"/>
    <w:rsid w:val="004B0F1C"/>
    <w:rsid w:val="004B7134"/>
    <w:rsid w:val="004F1F61"/>
    <w:rsid w:val="004F2FE0"/>
    <w:rsid w:val="00502DBA"/>
    <w:rsid w:val="005040C4"/>
    <w:rsid w:val="00507637"/>
    <w:rsid w:val="00507852"/>
    <w:rsid w:val="00514DBF"/>
    <w:rsid w:val="00536C07"/>
    <w:rsid w:val="00550921"/>
    <w:rsid w:val="00563712"/>
    <w:rsid w:val="00573631"/>
    <w:rsid w:val="00573C0B"/>
    <w:rsid w:val="0058517B"/>
    <w:rsid w:val="0058556D"/>
    <w:rsid w:val="00597748"/>
    <w:rsid w:val="005979E8"/>
    <w:rsid w:val="005C3C59"/>
    <w:rsid w:val="005D0AF4"/>
    <w:rsid w:val="005E54BD"/>
    <w:rsid w:val="005E77D0"/>
    <w:rsid w:val="005F6335"/>
    <w:rsid w:val="005F6CCA"/>
    <w:rsid w:val="006104AF"/>
    <w:rsid w:val="00621893"/>
    <w:rsid w:val="006351E1"/>
    <w:rsid w:val="00662775"/>
    <w:rsid w:val="006852FC"/>
    <w:rsid w:val="006B20B0"/>
    <w:rsid w:val="006B40AB"/>
    <w:rsid w:val="006B5DC5"/>
    <w:rsid w:val="006C7D30"/>
    <w:rsid w:val="006D48CA"/>
    <w:rsid w:val="006E3C08"/>
    <w:rsid w:val="00700ACF"/>
    <w:rsid w:val="00712487"/>
    <w:rsid w:val="007139C5"/>
    <w:rsid w:val="007530CA"/>
    <w:rsid w:val="007578D9"/>
    <w:rsid w:val="00757E8A"/>
    <w:rsid w:val="00763E43"/>
    <w:rsid w:val="00764EB5"/>
    <w:rsid w:val="00777A95"/>
    <w:rsid w:val="007841A8"/>
    <w:rsid w:val="007B2136"/>
    <w:rsid w:val="007D0981"/>
    <w:rsid w:val="007D1929"/>
    <w:rsid w:val="007D5AB5"/>
    <w:rsid w:val="00803CF1"/>
    <w:rsid w:val="008249C5"/>
    <w:rsid w:val="008526F9"/>
    <w:rsid w:val="008534D4"/>
    <w:rsid w:val="00881E28"/>
    <w:rsid w:val="00894C4B"/>
    <w:rsid w:val="008A12E3"/>
    <w:rsid w:val="008A42FA"/>
    <w:rsid w:val="008C2335"/>
    <w:rsid w:val="008C67C1"/>
    <w:rsid w:val="008F07D2"/>
    <w:rsid w:val="008F7766"/>
    <w:rsid w:val="00914C8F"/>
    <w:rsid w:val="00917F65"/>
    <w:rsid w:val="009311E7"/>
    <w:rsid w:val="0096266E"/>
    <w:rsid w:val="00971A95"/>
    <w:rsid w:val="00975E00"/>
    <w:rsid w:val="009A7E3A"/>
    <w:rsid w:val="009B1265"/>
    <w:rsid w:val="009B5693"/>
    <w:rsid w:val="009C78E4"/>
    <w:rsid w:val="009D687E"/>
    <w:rsid w:val="009F6DE7"/>
    <w:rsid w:val="00A048A4"/>
    <w:rsid w:val="00A26D06"/>
    <w:rsid w:val="00A3053F"/>
    <w:rsid w:val="00A3533B"/>
    <w:rsid w:val="00A37FCB"/>
    <w:rsid w:val="00A44990"/>
    <w:rsid w:val="00A54863"/>
    <w:rsid w:val="00A61D74"/>
    <w:rsid w:val="00A8688B"/>
    <w:rsid w:val="00A9286F"/>
    <w:rsid w:val="00A949AF"/>
    <w:rsid w:val="00AF503F"/>
    <w:rsid w:val="00AF5CB4"/>
    <w:rsid w:val="00AF71D6"/>
    <w:rsid w:val="00B3175F"/>
    <w:rsid w:val="00B402D8"/>
    <w:rsid w:val="00B4237C"/>
    <w:rsid w:val="00B42EF8"/>
    <w:rsid w:val="00B42FE8"/>
    <w:rsid w:val="00B52AFD"/>
    <w:rsid w:val="00B54077"/>
    <w:rsid w:val="00B8087E"/>
    <w:rsid w:val="00BA4260"/>
    <w:rsid w:val="00BB646E"/>
    <w:rsid w:val="00BD1BA1"/>
    <w:rsid w:val="00BD1C49"/>
    <w:rsid w:val="00BD7A06"/>
    <w:rsid w:val="00C13B2C"/>
    <w:rsid w:val="00C35BC4"/>
    <w:rsid w:val="00C43F5B"/>
    <w:rsid w:val="00C86A29"/>
    <w:rsid w:val="00CB4371"/>
    <w:rsid w:val="00CB4E9F"/>
    <w:rsid w:val="00CB5E4A"/>
    <w:rsid w:val="00CE31EB"/>
    <w:rsid w:val="00D40056"/>
    <w:rsid w:val="00D54F29"/>
    <w:rsid w:val="00D60569"/>
    <w:rsid w:val="00D70AD9"/>
    <w:rsid w:val="00D72152"/>
    <w:rsid w:val="00D94BA5"/>
    <w:rsid w:val="00D9510F"/>
    <w:rsid w:val="00DA7663"/>
    <w:rsid w:val="00DD1BC6"/>
    <w:rsid w:val="00DE5DC3"/>
    <w:rsid w:val="00DF3D34"/>
    <w:rsid w:val="00E00D8A"/>
    <w:rsid w:val="00E11604"/>
    <w:rsid w:val="00E11D92"/>
    <w:rsid w:val="00E130A0"/>
    <w:rsid w:val="00E210C4"/>
    <w:rsid w:val="00E51DFA"/>
    <w:rsid w:val="00E66409"/>
    <w:rsid w:val="00E81D5B"/>
    <w:rsid w:val="00EB19AD"/>
    <w:rsid w:val="00EB6493"/>
    <w:rsid w:val="00ED05A9"/>
    <w:rsid w:val="00F17257"/>
    <w:rsid w:val="00F34D24"/>
    <w:rsid w:val="00F50DFD"/>
    <w:rsid w:val="00F556A2"/>
    <w:rsid w:val="00F63A9A"/>
    <w:rsid w:val="00F878B9"/>
    <w:rsid w:val="00FB24E8"/>
    <w:rsid w:val="00FB3B2B"/>
    <w:rsid w:val="00FC18DA"/>
    <w:rsid w:val="00FC3917"/>
    <w:rsid w:val="00FC4E91"/>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paragraph" w:styleId="FootnoteText">
    <w:name w:val="footnote text"/>
    <w:aliases w:val="5_G"/>
    <w:basedOn w:val="Normal"/>
    <w:link w:val="FootnoteTextChar"/>
    <w:uiPriority w:val="99"/>
    <w:semiHidden/>
    <w:unhideWhenUsed/>
    <w:rsid w:val="00A048A4"/>
    <w:pPr>
      <w:spacing w:after="0" w:line="240" w:lineRule="auto"/>
    </w:pPr>
    <w:rPr>
      <w:sz w:val="20"/>
      <w:szCs w:val="20"/>
    </w:rPr>
  </w:style>
  <w:style w:type="character" w:customStyle="1" w:styleId="FootnoteTextChar">
    <w:name w:val="Footnote Text Char"/>
    <w:aliases w:val="5_G Char"/>
    <w:basedOn w:val="DefaultParagraphFont"/>
    <w:link w:val="FootnoteText"/>
    <w:uiPriority w:val="99"/>
    <w:semiHidden/>
    <w:rsid w:val="00A048A4"/>
    <w:rPr>
      <w:sz w:val="20"/>
      <w:szCs w:val="20"/>
    </w:rPr>
  </w:style>
  <w:style w:type="character" w:styleId="FootnoteReference">
    <w:name w:val="footnote reference"/>
    <w:aliases w:val="4_G"/>
    <w:basedOn w:val="DefaultParagraphFont"/>
    <w:uiPriority w:val="99"/>
    <w:semiHidden/>
    <w:unhideWhenUsed/>
    <w:rsid w:val="00A048A4"/>
    <w:rPr>
      <w:vertAlign w:val="superscript"/>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2549E6"/>
  </w:style>
  <w:style w:type="table" w:styleId="TableGrid">
    <w:name w:val="Table Grid"/>
    <w:basedOn w:val="TableNormal"/>
    <w:uiPriority w:val="59"/>
    <w:rsid w:val="002549E6"/>
    <w:pPr>
      <w:spacing w:after="0" w:line="240" w:lineRule="auto"/>
    </w:pPr>
    <w:rPr>
      <w:rFonts w:ascii="Calibri" w:eastAsia="SimSun" w:hAnsi="Calibri" w:cs="Times New Roman"/>
      <w:sz w:val="20"/>
      <w:szCs w:val="20"/>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5C3C59"/>
    <w:rPr>
      <w:color w:val="605E5C"/>
      <w:shd w:val="clear" w:color="auto" w:fill="E1DFDD"/>
    </w:rPr>
  </w:style>
  <w:style w:type="paragraph" w:styleId="Date">
    <w:name w:val="Date"/>
    <w:basedOn w:val="Normal"/>
    <w:next w:val="Normal"/>
    <w:link w:val="DateChar"/>
    <w:uiPriority w:val="99"/>
    <w:semiHidden/>
    <w:unhideWhenUsed/>
    <w:rsid w:val="0096266E"/>
  </w:style>
  <w:style w:type="character" w:customStyle="1" w:styleId="DateChar">
    <w:name w:val="Date Char"/>
    <w:basedOn w:val="DefaultParagraphFont"/>
    <w:link w:val="Date"/>
    <w:uiPriority w:val="99"/>
    <w:semiHidden/>
    <w:rsid w:val="0096266E"/>
  </w:style>
  <w:style w:type="paragraph" w:styleId="Revision">
    <w:name w:val="Revision"/>
    <w:hidden/>
    <w:uiPriority w:val="99"/>
    <w:semiHidden/>
    <w:rsid w:val="00C13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67174">
      <w:bodyDiv w:val="1"/>
      <w:marLeft w:val="0"/>
      <w:marRight w:val="0"/>
      <w:marTop w:val="0"/>
      <w:marBottom w:val="0"/>
      <w:divBdr>
        <w:top w:val="none" w:sz="0" w:space="0" w:color="auto"/>
        <w:left w:val="none" w:sz="0" w:space="0" w:color="auto"/>
        <w:bottom w:val="none" w:sz="0" w:space="0" w:color="auto"/>
        <w:right w:val="none" w:sz="0" w:space="0" w:color="auto"/>
      </w:divBdr>
    </w:div>
    <w:div w:id="505944936">
      <w:bodyDiv w:val="1"/>
      <w:marLeft w:val="0"/>
      <w:marRight w:val="0"/>
      <w:marTop w:val="0"/>
      <w:marBottom w:val="0"/>
      <w:divBdr>
        <w:top w:val="none" w:sz="0" w:space="0" w:color="auto"/>
        <w:left w:val="none" w:sz="0" w:space="0" w:color="auto"/>
        <w:bottom w:val="none" w:sz="0" w:space="0" w:color="auto"/>
        <w:right w:val="none" w:sz="0" w:space="0" w:color="auto"/>
      </w:divBdr>
    </w:div>
    <w:div w:id="506603465">
      <w:bodyDiv w:val="1"/>
      <w:marLeft w:val="0"/>
      <w:marRight w:val="0"/>
      <w:marTop w:val="0"/>
      <w:marBottom w:val="0"/>
      <w:divBdr>
        <w:top w:val="none" w:sz="0" w:space="0" w:color="auto"/>
        <w:left w:val="none" w:sz="0" w:space="0" w:color="auto"/>
        <w:bottom w:val="none" w:sz="0" w:space="0" w:color="auto"/>
        <w:right w:val="none" w:sz="0" w:space="0" w:color="auto"/>
      </w:divBdr>
    </w:div>
    <w:div w:id="688680197">
      <w:bodyDiv w:val="1"/>
      <w:marLeft w:val="0"/>
      <w:marRight w:val="0"/>
      <w:marTop w:val="0"/>
      <w:marBottom w:val="0"/>
      <w:divBdr>
        <w:top w:val="none" w:sz="0" w:space="0" w:color="auto"/>
        <w:left w:val="none" w:sz="0" w:space="0" w:color="auto"/>
        <w:bottom w:val="none" w:sz="0" w:space="0" w:color="auto"/>
        <w:right w:val="none" w:sz="0" w:space="0" w:color="auto"/>
      </w:divBdr>
    </w:div>
    <w:div w:id="698167926">
      <w:bodyDiv w:val="1"/>
      <w:marLeft w:val="0"/>
      <w:marRight w:val="0"/>
      <w:marTop w:val="0"/>
      <w:marBottom w:val="0"/>
      <w:divBdr>
        <w:top w:val="none" w:sz="0" w:space="0" w:color="auto"/>
        <w:left w:val="none" w:sz="0" w:space="0" w:color="auto"/>
        <w:bottom w:val="none" w:sz="0" w:space="0" w:color="auto"/>
        <w:right w:val="none" w:sz="0" w:space="0" w:color="auto"/>
      </w:divBdr>
    </w:div>
    <w:div w:id="719213357">
      <w:bodyDiv w:val="1"/>
      <w:marLeft w:val="0"/>
      <w:marRight w:val="0"/>
      <w:marTop w:val="0"/>
      <w:marBottom w:val="0"/>
      <w:divBdr>
        <w:top w:val="none" w:sz="0" w:space="0" w:color="auto"/>
        <w:left w:val="none" w:sz="0" w:space="0" w:color="auto"/>
        <w:bottom w:val="none" w:sz="0" w:space="0" w:color="auto"/>
        <w:right w:val="none" w:sz="0" w:space="0" w:color="auto"/>
      </w:divBdr>
    </w:div>
    <w:div w:id="755706138">
      <w:bodyDiv w:val="1"/>
      <w:marLeft w:val="0"/>
      <w:marRight w:val="0"/>
      <w:marTop w:val="0"/>
      <w:marBottom w:val="0"/>
      <w:divBdr>
        <w:top w:val="none" w:sz="0" w:space="0" w:color="auto"/>
        <w:left w:val="none" w:sz="0" w:space="0" w:color="auto"/>
        <w:bottom w:val="none" w:sz="0" w:space="0" w:color="auto"/>
        <w:right w:val="none" w:sz="0" w:space="0" w:color="auto"/>
      </w:divBdr>
    </w:div>
    <w:div w:id="845748188">
      <w:bodyDiv w:val="1"/>
      <w:marLeft w:val="0"/>
      <w:marRight w:val="0"/>
      <w:marTop w:val="0"/>
      <w:marBottom w:val="0"/>
      <w:divBdr>
        <w:top w:val="none" w:sz="0" w:space="0" w:color="auto"/>
        <w:left w:val="none" w:sz="0" w:space="0" w:color="auto"/>
        <w:bottom w:val="none" w:sz="0" w:space="0" w:color="auto"/>
        <w:right w:val="none" w:sz="0" w:space="0" w:color="auto"/>
      </w:divBdr>
    </w:div>
    <w:div w:id="1324970541">
      <w:bodyDiv w:val="1"/>
      <w:marLeft w:val="0"/>
      <w:marRight w:val="0"/>
      <w:marTop w:val="0"/>
      <w:marBottom w:val="0"/>
      <w:divBdr>
        <w:top w:val="none" w:sz="0" w:space="0" w:color="auto"/>
        <w:left w:val="none" w:sz="0" w:space="0" w:color="auto"/>
        <w:bottom w:val="none" w:sz="0" w:space="0" w:color="auto"/>
        <w:right w:val="none" w:sz="0" w:space="0" w:color="auto"/>
      </w:divBdr>
    </w:div>
    <w:div w:id="1430736587">
      <w:bodyDiv w:val="1"/>
      <w:marLeft w:val="0"/>
      <w:marRight w:val="0"/>
      <w:marTop w:val="0"/>
      <w:marBottom w:val="0"/>
      <w:divBdr>
        <w:top w:val="none" w:sz="0" w:space="0" w:color="auto"/>
        <w:left w:val="none" w:sz="0" w:space="0" w:color="auto"/>
        <w:bottom w:val="none" w:sz="0" w:space="0" w:color="auto"/>
        <w:right w:val="none" w:sz="0" w:space="0" w:color="auto"/>
      </w:divBdr>
    </w:div>
    <w:div w:id="1670013912">
      <w:bodyDiv w:val="1"/>
      <w:marLeft w:val="0"/>
      <w:marRight w:val="0"/>
      <w:marTop w:val="0"/>
      <w:marBottom w:val="0"/>
      <w:divBdr>
        <w:top w:val="none" w:sz="0" w:space="0" w:color="auto"/>
        <w:left w:val="none" w:sz="0" w:space="0" w:color="auto"/>
        <w:bottom w:val="none" w:sz="0" w:space="0" w:color="auto"/>
        <w:right w:val="none" w:sz="0" w:space="0" w:color="auto"/>
      </w:divBdr>
    </w:div>
    <w:div w:id="1735154958">
      <w:bodyDiv w:val="1"/>
      <w:marLeft w:val="0"/>
      <w:marRight w:val="0"/>
      <w:marTop w:val="0"/>
      <w:marBottom w:val="0"/>
      <w:divBdr>
        <w:top w:val="none" w:sz="0" w:space="0" w:color="auto"/>
        <w:left w:val="none" w:sz="0" w:space="0" w:color="auto"/>
        <w:bottom w:val="none" w:sz="0" w:space="0" w:color="auto"/>
        <w:right w:val="none" w:sz="0" w:space="0" w:color="auto"/>
      </w:divBdr>
    </w:div>
    <w:div w:id="1820994376">
      <w:bodyDiv w:val="1"/>
      <w:marLeft w:val="0"/>
      <w:marRight w:val="0"/>
      <w:marTop w:val="0"/>
      <w:marBottom w:val="0"/>
      <w:divBdr>
        <w:top w:val="none" w:sz="0" w:space="0" w:color="auto"/>
        <w:left w:val="none" w:sz="0" w:space="0" w:color="auto"/>
        <w:bottom w:val="none" w:sz="0" w:space="0" w:color="auto"/>
        <w:right w:val="none" w:sz="0" w:space="0" w:color="auto"/>
      </w:divBdr>
    </w:div>
    <w:div w:id="2019768904">
      <w:bodyDiv w:val="1"/>
      <w:marLeft w:val="0"/>
      <w:marRight w:val="0"/>
      <w:marTop w:val="0"/>
      <w:marBottom w:val="0"/>
      <w:divBdr>
        <w:top w:val="none" w:sz="0" w:space="0" w:color="auto"/>
        <w:left w:val="none" w:sz="0" w:space="0" w:color="auto"/>
        <w:bottom w:val="none" w:sz="0" w:space="0" w:color="auto"/>
        <w:right w:val="none" w:sz="0" w:space="0" w:color="auto"/>
      </w:divBdr>
    </w:div>
    <w:div w:id="20440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a.europa.eu/en/publication/2014/violence-against-women-eu-wide-survey-main-results-re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dc.org/documents/data-and-analysis/Crime-statistics/Manual_on_Victimization_surveys_2009_web.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fra.europa.eu/en/publication/2014/violence-against-women-eu-wide-survey-main-result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135625EDE924B8C759341E8045347" ma:contentTypeVersion="11" ma:contentTypeDescription="Create a new document." ma:contentTypeScope="" ma:versionID="608807e461cf4dc38e783545f054678d">
  <xsd:schema xmlns:xsd="http://www.w3.org/2001/XMLSchema" xmlns:xs="http://www.w3.org/2001/XMLSchema" xmlns:p="http://schemas.microsoft.com/office/2006/metadata/properties" xmlns:ns3="216f5fd1-64b5-46a6-a50d-1afd4873157f" xmlns:ns4="31eeb98e-90e3-4d81-af45-df7da42028c0" targetNamespace="http://schemas.microsoft.com/office/2006/metadata/properties" ma:root="true" ma:fieldsID="64e5ada70092ba12260d3d9c67a6cd16" ns3:_="" ns4:_="">
    <xsd:import namespace="216f5fd1-64b5-46a6-a50d-1afd4873157f"/>
    <xsd:import namespace="31eeb98e-90e3-4d81-af45-df7da42028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f5fd1-64b5-46a6-a50d-1afd48731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eeb98e-90e3-4d81-af45-df7da42028c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5EED4-F85E-4DBF-85FD-0F91293CA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f5fd1-64b5-46a6-a50d-1afd4873157f"/>
    <ds:schemaRef ds:uri="31eeb98e-90e3-4d81-af45-df7da4202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5E815-17BF-4686-A95C-98017B3C7DE8}">
  <ds:schemaRefs>
    <ds:schemaRef ds:uri="http://schemas.microsoft.com/sharepoint/v3/contenttype/forms"/>
  </ds:schemaRefs>
</ds:datastoreItem>
</file>

<file path=customXml/itemProps3.xml><?xml version="1.0" encoding="utf-8"?>
<ds:datastoreItem xmlns:ds="http://schemas.openxmlformats.org/officeDocument/2006/customXml" ds:itemID="{77BAD600-0309-4BAB-90B9-918DA2DA7C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CE8DD8-906C-4B46-9124-C4C42EB2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Zin Lin</cp:lastModifiedBy>
  <cp:revision>5</cp:revision>
  <cp:lastPrinted>2016-07-16T14:25:00Z</cp:lastPrinted>
  <dcterms:created xsi:type="dcterms:W3CDTF">2019-11-05T15:24:00Z</dcterms:created>
  <dcterms:modified xsi:type="dcterms:W3CDTF">2019-11-05T15:28:00Z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0x0101000E6135625EDE924B8C759341E8045347</vt:lpwstr>
  </property>
</Properties>
</file>