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bookmarkStart w:id="0" w:name="_GoBack"/>
      <w:bookmarkEnd w:id="0"/>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66BD779B" w14:textId="77777777" w:rsidR="00457A1B" w:rsidRPr="00573631" w:rsidRDefault="00457A1B" w:rsidP="00457A1B">
      <w:pPr>
        <w:pStyle w:val="MGTHeader"/>
      </w:pPr>
      <w:r w:rsidRPr="00573631">
        <w:t xml:space="preserve">Goal </w:t>
      </w:r>
      <w:r>
        <w:t xml:space="preserve">12: </w:t>
      </w:r>
      <w:r w:rsidRPr="00371B8A">
        <w:t>Ensure sustainable consumption and production patterns</w:t>
      </w:r>
    </w:p>
    <w:p w14:paraId="084142D2" w14:textId="77777777" w:rsidR="00D24330" w:rsidRPr="00A96255" w:rsidRDefault="00D24330" w:rsidP="00D24330">
      <w:pPr>
        <w:pStyle w:val="MIndHeader"/>
      </w:pPr>
      <w:r w:rsidRPr="00A96255">
        <w:t>0.b. Target</w:t>
      </w:r>
    </w:p>
    <w:p w14:paraId="1BE046B9" w14:textId="77777777" w:rsidR="00917230" w:rsidRPr="00573631" w:rsidRDefault="00917230" w:rsidP="00917230">
      <w:pPr>
        <w:pStyle w:val="MGTHeader"/>
      </w:pPr>
      <w:r w:rsidRPr="00573631">
        <w:t xml:space="preserve">Target: </w:t>
      </w:r>
      <w:r w:rsidRPr="00371B8A">
        <w:t>12.3 By 2030, halve per capita global food waste at the retail and consumer levels and reduce food losses along production and supply chains, including post-harvest losses</w:t>
      </w:r>
    </w:p>
    <w:p w14:paraId="3E67E7E0" w14:textId="77777777" w:rsidR="00D24330" w:rsidRPr="00A96255" w:rsidRDefault="00D24330" w:rsidP="00D24330">
      <w:pPr>
        <w:pStyle w:val="MIndHeader"/>
      </w:pPr>
      <w:r w:rsidRPr="00A96255">
        <w:t>0.c. Indicator</w:t>
      </w:r>
    </w:p>
    <w:p w14:paraId="52A01825" w14:textId="77777777" w:rsidR="00B90252" w:rsidRPr="00573631" w:rsidRDefault="00B90252" w:rsidP="00B90252">
      <w:pPr>
        <w:pStyle w:val="MIndHeader"/>
      </w:pPr>
      <w:r w:rsidRPr="00093A7C">
        <w:rPr>
          <w:color w:val="333333"/>
          <w:sz w:val="21"/>
          <w:szCs w:val="21"/>
        </w:rPr>
        <w:t>Indicator: 12.3.1 (a) Food loss index and (b) food waste index</w:t>
      </w:r>
    </w:p>
    <w:p w14:paraId="37E5E4F6" w14:textId="77777777" w:rsidR="00D24330" w:rsidRPr="00A96255" w:rsidRDefault="00D24330" w:rsidP="00D24330">
      <w:pPr>
        <w:pStyle w:val="MIndHeader"/>
      </w:pPr>
      <w:r w:rsidRPr="00A96255">
        <w:t>0.d. Series</w:t>
      </w:r>
    </w:p>
    <w:p w14:paraId="771888BA" w14:textId="044BA27E" w:rsidR="00D24330" w:rsidRPr="00A96255" w:rsidRDefault="00D24330" w:rsidP="00D24330">
      <w:pPr>
        <w:pStyle w:val="MGTHeader"/>
      </w:pPr>
    </w:p>
    <w:p w14:paraId="157DACE7" w14:textId="77777777" w:rsidR="00D24330" w:rsidRPr="00A96255" w:rsidRDefault="00D24330" w:rsidP="00D24330">
      <w:pPr>
        <w:pStyle w:val="MIndHeader"/>
      </w:pPr>
      <w:r w:rsidRPr="00A96255">
        <w:t>0.e. Metadata update</w:t>
      </w:r>
    </w:p>
    <w:p w14:paraId="03424B60" w14:textId="64A57504" w:rsidR="00D24330" w:rsidRPr="00A96255" w:rsidRDefault="00620198" w:rsidP="00D24330">
      <w:pPr>
        <w:pStyle w:val="MGTHeader"/>
      </w:pPr>
      <w:r>
        <w:t>5 February 2021</w:t>
      </w:r>
    </w:p>
    <w:p w14:paraId="415C9FF1" w14:textId="77777777" w:rsidR="00D24330" w:rsidRPr="00A96255" w:rsidRDefault="00D24330" w:rsidP="00D24330">
      <w:pPr>
        <w:pStyle w:val="MIndHeader"/>
      </w:pPr>
      <w:r w:rsidRPr="00A96255">
        <w:t>0.f. Related indicators</w:t>
      </w:r>
    </w:p>
    <w:p w14:paraId="6E438887" w14:textId="77777777" w:rsidR="00801B8C" w:rsidRPr="00573631" w:rsidRDefault="00801B8C" w:rsidP="008F37C6">
      <w:pPr>
        <w:pStyle w:val="MGTHeader"/>
      </w:pPr>
      <w:r>
        <w:t>11.6.1, 12.5.1</w:t>
      </w:r>
    </w:p>
    <w:p w14:paraId="077BC49E" w14:textId="77777777" w:rsidR="00D24330" w:rsidRPr="00A96255" w:rsidRDefault="00D24330" w:rsidP="00D24330">
      <w:pPr>
        <w:pStyle w:val="MIndHeader"/>
      </w:pPr>
      <w:r w:rsidRPr="00A96255">
        <w:t>0.g. International organisations(s) responsible for global monitoring</w:t>
      </w:r>
    </w:p>
    <w:p w14:paraId="67B54EC0" w14:textId="77777777" w:rsidR="00493F8B" w:rsidRPr="00526F55" w:rsidRDefault="00493F8B" w:rsidP="00D23179">
      <w:pPr>
        <w:pStyle w:val="MGTHeader"/>
        <w:rPr>
          <w:lang w:val="en-US"/>
        </w:rPr>
      </w:pPr>
      <w:r w:rsidRPr="00526F55">
        <w:rPr>
          <w:lang w:val="en-US"/>
        </w:rPr>
        <w:t xml:space="preserve">United Nations Environment </w:t>
      </w:r>
      <w:proofErr w:type="spellStart"/>
      <w:r w:rsidRPr="00526F55">
        <w:rPr>
          <w:lang w:val="en-US"/>
        </w:rPr>
        <w:t>Programme</w:t>
      </w:r>
      <w:proofErr w:type="spellEnd"/>
      <w:r w:rsidRPr="00526F55">
        <w:rPr>
          <w:lang w:val="en-US"/>
        </w:rPr>
        <w:t xml:space="preserve"> (UNEP) </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1" w:name="_Toc37932744"/>
      <w:bookmarkStart w:id="2" w:name="_Toc36813072"/>
      <w:bookmarkStart w:id="3" w:name="_Toc36812685"/>
      <w:bookmarkStart w:id="4" w:name="_Toc36812572"/>
      <w:bookmarkStart w:id="5" w:name="_Toc36655609"/>
      <w:r w:rsidRPr="00EA05D3">
        <w:t>1. Data reporter</w:t>
      </w:r>
      <w:bookmarkEnd w:id="1"/>
      <w:bookmarkEnd w:id="2"/>
      <w:bookmarkEnd w:id="3"/>
      <w:bookmarkEnd w:id="4"/>
      <w:bookmarkEnd w:id="5"/>
    </w:p>
    <w:p w14:paraId="0BD77982" w14:textId="72DFE854" w:rsidR="00576CFA" w:rsidRPr="00A96255" w:rsidRDefault="00576CFA" w:rsidP="00F719A8">
      <w:pPr>
        <w:pStyle w:val="MHeader2"/>
      </w:pPr>
      <w:r w:rsidRPr="00A96255">
        <w:t>1.a. Organisation</w:t>
      </w:r>
    </w:p>
    <w:p w14:paraId="5F062A65" w14:textId="40D5FCF8" w:rsidR="00493F8B" w:rsidRDefault="00493F8B" w:rsidP="00493F8B">
      <w:pPr>
        <w:shd w:val="clear" w:color="auto" w:fill="FFFFFF"/>
        <w:spacing w:after="0"/>
        <w:rPr>
          <w:rFonts w:eastAsia="Times New Roman" w:cs="Times New Roman"/>
          <w:color w:val="4A4A4A"/>
          <w:sz w:val="21"/>
          <w:szCs w:val="21"/>
          <w:lang w:val="en-US" w:eastAsia="en-GB"/>
        </w:rPr>
      </w:pPr>
      <w:r w:rsidRPr="00526F55">
        <w:rPr>
          <w:rFonts w:eastAsia="Times New Roman" w:cs="Times New Roman"/>
          <w:color w:val="4A4A4A"/>
          <w:sz w:val="21"/>
          <w:szCs w:val="21"/>
          <w:lang w:val="en-US" w:eastAsia="en-GB"/>
        </w:rPr>
        <w:t xml:space="preserve">United Nations Environment </w:t>
      </w:r>
      <w:proofErr w:type="spellStart"/>
      <w:r w:rsidRPr="00526F55">
        <w:rPr>
          <w:rFonts w:eastAsia="Times New Roman" w:cs="Times New Roman"/>
          <w:color w:val="4A4A4A"/>
          <w:sz w:val="21"/>
          <w:szCs w:val="21"/>
          <w:lang w:val="en-US" w:eastAsia="en-GB"/>
        </w:rPr>
        <w:t>Programme</w:t>
      </w:r>
      <w:proofErr w:type="spellEnd"/>
      <w:r w:rsidRPr="00526F55">
        <w:rPr>
          <w:rFonts w:eastAsia="Times New Roman" w:cs="Times New Roman"/>
          <w:color w:val="4A4A4A"/>
          <w:sz w:val="21"/>
          <w:szCs w:val="21"/>
          <w:lang w:val="en-US" w:eastAsia="en-GB"/>
        </w:rPr>
        <w:t xml:space="preserve"> (UNEP) </w:t>
      </w:r>
    </w:p>
    <w:p w14:paraId="6C56A031" w14:textId="77777777" w:rsidR="008F37C6" w:rsidRPr="00526F55" w:rsidRDefault="008F37C6" w:rsidP="00493F8B">
      <w:pPr>
        <w:shd w:val="clear" w:color="auto" w:fill="FFFFFF"/>
        <w:spacing w:after="0"/>
        <w:rPr>
          <w:rFonts w:eastAsia="Times New Roman" w:cs="Times New Roman"/>
          <w:color w:val="4A4A4A"/>
          <w:sz w:val="21"/>
          <w:szCs w:val="21"/>
          <w:lang w:val="en-US" w:eastAsia="en-GB"/>
        </w:rPr>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50E5F2C8" w14:textId="77777777" w:rsidR="008F37C6" w:rsidRDefault="00D51E7C" w:rsidP="008F37C6">
      <w:pPr>
        <w:pStyle w:val="MText"/>
        <w:rPr>
          <w:color w:val="595959" w:themeColor="text1" w:themeTint="A6"/>
        </w:rPr>
      </w:pPr>
      <w:r w:rsidRPr="008F37C6">
        <w:t>Definitions:</w:t>
      </w:r>
    </w:p>
    <w:p w14:paraId="33C551A7" w14:textId="36009F24" w:rsidR="00C52EA4" w:rsidRDefault="00C52EA4" w:rsidP="00C52EA4">
      <w:pPr>
        <w:shd w:val="clear" w:color="auto" w:fill="FFFFFF"/>
        <w:spacing w:after="0"/>
        <w:rPr>
          <w:color w:val="595959" w:themeColor="text1" w:themeTint="A6"/>
        </w:rPr>
      </w:pPr>
      <w:r w:rsidRPr="00E96985">
        <w:rPr>
          <w:color w:val="595959" w:themeColor="text1" w:themeTint="A6"/>
        </w:rPr>
        <w:t xml:space="preserve">The indicator </w:t>
      </w:r>
      <w:r>
        <w:rPr>
          <w:color w:val="595959" w:themeColor="text1" w:themeTint="A6"/>
        </w:rPr>
        <w:t>aims to measure the total amount of food that is wasted in tonnes. It complements SDG 12.3.1(a) on F</w:t>
      </w:r>
      <w:r w:rsidRPr="00C27990">
        <w:rPr>
          <w:color w:val="595959" w:themeColor="text1" w:themeTint="A6"/>
        </w:rPr>
        <w:t>ood Loss</w:t>
      </w:r>
      <w:r>
        <w:rPr>
          <w:color w:val="595959" w:themeColor="text1" w:themeTint="A6"/>
        </w:rPr>
        <w:t xml:space="preserve"> (which</w:t>
      </w:r>
      <w:r w:rsidRPr="00C27990">
        <w:rPr>
          <w:color w:val="595959" w:themeColor="text1" w:themeTint="A6"/>
        </w:rPr>
        <w:t xml:space="preserve"> is under the custodianship of FAO</w:t>
      </w:r>
      <w:r>
        <w:rPr>
          <w:color w:val="595959" w:themeColor="text1" w:themeTint="A6"/>
        </w:rPr>
        <w:t>).</w:t>
      </w:r>
      <w:r w:rsidRPr="00C27990">
        <w:rPr>
          <w:color w:val="595959" w:themeColor="text1" w:themeTint="A6"/>
        </w:rPr>
        <w:t xml:space="preserve"> Both indicators look to divide the food value chain</w:t>
      </w:r>
      <w:r>
        <w:rPr>
          <w:color w:val="595959" w:themeColor="text1" w:themeTint="A6"/>
        </w:rPr>
        <w:t xml:space="preserve"> and measure the efficiency of the food system</w:t>
      </w:r>
      <w:r w:rsidRPr="00C27990">
        <w:rPr>
          <w:color w:val="595959" w:themeColor="text1" w:themeTint="A6"/>
        </w:rPr>
        <w:t xml:space="preserve">. </w:t>
      </w:r>
    </w:p>
    <w:p w14:paraId="33DA3070" w14:textId="77777777" w:rsidR="00C52EA4" w:rsidRDefault="00C52EA4" w:rsidP="00C52EA4">
      <w:pPr>
        <w:shd w:val="clear" w:color="auto" w:fill="FFFFFF"/>
        <w:spacing w:after="0"/>
        <w:rPr>
          <w:color w:val="595959" w:themeColor="text1" w:themeTint="A6"/>
        </w:rPr>
      </w:pPr>
    </w:p>
    <w:tbl>
      <w:tblPr>
        <w:tblStyle w:val="TableGrid"/>
        <w:tblW w:w="9326" w:type="dxa"/>
        <w:jc w:val="center"/>
        <w:tblBorders>
          <w:top w:val="single" w:sz="24" w:space="0" w:color="4F81BD" w:themeColor="accent1"/>
          <w:left w:val="single" w:sz="24" w:space="0" w:color="4F81BD" w:themeColor="accent1"/>
          <w:bottom w:val="single" w:sz="24" w:space="0" w:color="4F81BD" w:themeColor="accent1"/>
          <w:right w:val="single" w:sz="24" w:space="0" w:color="4F81BD" w:themeColor="accent1"/>
          <w:insideH w:val="single" w:sz="8" w:space="0" w:color="2D75B6"/>
          <w:insideV w:val="single" w:sz="6" w:space="0" w:color="4F81BD" w:themeColor="accent1"/>
        </w:tblBorders>
        <w:tblLook w:val="04A0" w:firstRow="1" w:lastRow="0" w:firstColumn="1" w:lastColumn="0" w:noHBand="0" w:noVBand="1"/>
      </w:tblPr>
      <w:tblGrid>
        <w:gridCol w:w="4014"/>
        <w:gridCol w:w="5312"/>
      </w:tblGrid>
      <w:tr w:rsidR="00C52EA4" w:rsidRPr="003D55FA" w14:paraId="72B9E45D" w14:textId="77777777" w:rsidTr="00136558">
        <w:trPr>
          <w:jc w:val="center"/>
        </w:trPr>
        <w:tc>
          <w:tcPr>
            <w:tcW w:w="9326" w:type="dxa"/>
            <w:gridSpan w:val="2"/>
            <w:tcBorders>
              <w:bottom w:val="single" w:sz="8" w:space="0" w:color="2D75B6"/>
            </w:tcBorders>
            <w:shd w:val="clear" w:color="auto" w:fill="95B3D7" w:themeFill="accent1" w:themeFillTint="99"/>
          </w:tcPr>
          <w:p w14:paraId="5480F813" w14:textId="77777777" w:rsidR="00C52EA4" w:rsidRPr="003D55FA" w:rsidRDefault="00C52EA4" w:rsidP="00136558">
            <w:pPr>
              <w:rPr>
                <w:b/>
                <w:color w:val="4BACC6" w:themeColor="accent5"/>
              </w:rPr>
            </w:pPr>
            <w:r w:rsidRPr="003D55FA">
              <w:rPr>
                <w:b/>
                <w:color w:val="000000" w:themeColor="text1"/>
              </w:rPr>
              <w:t xml:space="preserve">Level I indicators </w:t>
            </w:r>
          </w:p>
        </w:tc>
      </w:tr>
      <w:tr w:rsidR="00C52EA4" w14:paraId="24BFC6A9" w14:textId="77777777" w:rsidTr="00136558">
        <w:trPr>
          <w:jc w:val="center"/>
        </w:trPr>
        <w:tc>
          <w:tcPr>
            <w:tcW w:w="4014" w:type="dxa"/>
            <w:tcBorders>
              <w:top w:val="single" w:sz="8" w:space="0" w:color="2D75B6"/>
              <w:bottom w:val="single" w:sz="8" w:space="0" w:color="2D75B6"/>
              <w:right w:val="single" w:sz="8" w:space="0" w:color="2D75B6"/>
            </w:tcBorders>
          </w:tcPr>
          <w:p w14:paraId="607AC077" w14:textId="77777777" w:rsidR="00C52EA4" w:rsidRPr="00A15D76" w:rsidRDefault="00C52EA4" w:rsidP="00136558">
            <w:pPr>
              <w:rPr>
                <w:i/>
                <w:color w:val="5B9BD6"/>
              </w:rPr>
            </w:pPr>
            <w:r>
              <w:rPr>
                <w:i/>
                <w:color w:val="5B9BD6"/>
              </w:rPr>
              <w:t>Food waste in the waste stream</w:t>
            </w:r>
          </w:p>
        </w:tc>
        <w:tc>
          <w:tcPr>
            <w:tcW w:w="5312" w:type="dxa"/>
            <w:tcBorders>
              <w:top w:val="single" w:sz="8" w:space="0" w:color="2D75B6"/>
              <w:left w:val="single" w:sz="8" w:space="0" w:color="2D75B6"/>
              <w:bottom w:val="single" w:sz="8" w:space="0" w:color="2D75B6"/>
            </w:tcBorders>
          </w:tcPr>
          <w:p w14:paraId="603678A9" w14:textId="77777777" w:rsidR="00C52EA4" w:rsidRDefault="00C52EA4" w:rsidP="00136558">
            <w:r>
              <w:t>Estimated from a global model, based on regional coefficients for food waste in the total waste stream.</w:t>
            </w:r>
          </w:p>
        </w:tc>
      </w:tr>
      <w:tr w:rsidR="00C52EA4" w:rsidRPr="003D55FA" w14:paraId="480190E8" w14:textId="77777777" w:rsidTr="00136558">
        <w:trPr>
          <w:jc w:val="center"/>
        </w:trPr>
        <w:tc>
          <w:tcPr>
            <w:tcW w:w="9326" w:type="dxa"/>
            <w:gridSpan w:val="2"/>
            <w:tcBorders>
              <w:bottom w:val="single" w:sz="8" w:space="0" w:color="2D75B6"/>
            </w:tcBorders>
            <w:shd w:val="clear" w:color="auto" w:fill="95B3D7" w:themeFill="accent1" w:themeFillTint="99"/>
          </w:tcPr>
          <w:p w14:paraId="6C34FE02" w14:textId="77777777" w:rsidR="00C52EA4" w:rsidRPr="003D55FA" w:rsidRDefault="00C52EA4" w:rsidP="00136558">
            <w:pPr>
              <w:rPr>
                <w:b/>
                <w:color w:val="4BACC6" w:themeColor="accent5"/>
              </w:rPr>
            </w:pPr>
            <w:r w:rsidRPr="003D55FA">
              <w:rPr>
                <w:b/>
                <w:color w:val="000000" w:themeColor="text1"/>
              </w:rPr>
              <w:t>Level I</w:t>
            </w:r>
            <w:r>
              <w:rPr>
                <w:b/>
                <w:color w:val="000000" w:themeColor="text1"/>
              </w:rPr>
              <w:t>I</w:t>
            </w:r>
            <w:r w:rsidRPr="003D55FA">
              <w:rPr>
                <w:b/>
                <w:color w:val="000000" w:themeColor="text1"/>
              </w:rPr>
              <w:t xml:space="preserve"> indicators </w:t>
            </w:r>
          </w:p>
        </w:tc>
      </w:tr>
      <w:tr w:rsidR="00C52EA4" w14:paraId="621C94EC" w14:textId="77777777" w:rsidTr="00136558">
        <w:trPr>
          <w:jc w:val="center"/>
        </w:trPr>
        <w:tc>
          <w:tcPr>
            <w:tcW w:w="4014" w:type="dxa"/>
            <w:tcBorders>
              <w:top w:val="single" w:sz="8" w:space="0" w:color="2D75B6"/>
              <w:bottom w:val="single" w:sz="8" w:space="0" w:color="2D75B6"/>
              <w:right w:val="single" w:sz="8" w:space="0" w:color="2D75B6"/>
            </w:tcBorders>
          </w:tcPr>
          <w:p w14:paraId="7F20E99F" w14:textId="77777777" w:rsidR="00C52EA4" w:rsidRPr="00A15D76" w:rsidRDefault="00C52EA4" w:rsidP="00136558">
            <w:pPr>
              <w:rPr>
                <w:i/>
                <w:color w:val="5B9BD6"/>
              </w:rPr>
            </w:pPr>
            <w:r>
              <w:rPr>
                <w:i/>
                <w:color w:val="5B9BD6"/>
              </w:rPr>
              <w:t>Food waste generation by supply chain stage</w:t>
            </w:r>
          </w:p>
        </w:tc>
        <w:tc>
          <w:tcPr>
            <w:tcW w:w="5312" w:type="dxa"/>
            <w:tcBorders>
              <w:top w:val="single" w:sz="8" w:space="0" w:color="2D75B6"/>
              <w:left w:val="single" w:sz="8" w:space="0" w:color="2D75B6"/>
              <w:bottom w:val="single" w:sz="8" w:space="0" w:color="2D75B6"/>
            </w:tcBorders>
          </w:tcPr>
          <w:p w14:paraId="2CAF74B2" w14:textId="77777777" w:rsidR="00C52EA4" w:rsidRDefault="00C52EA4" w:rsidP="00136558">
            <w:r>
              <w:t>Collect data on food waste generation from supply chain stages based on national priorities</w:t>
            </w:r>
          </w:p>
        </w:tc>
      </w:tr>
    </w:tbl>
    <w:p w14:paraId="7D8A0DC7" w14:textId="77777777" w:rsidR="00C52EA4" w:rsidRDefault="00C52EA4" w:rsidP="00C52EA4">
      <w:pPr>
        <w:shd w:val="clear" w:color="auto" w:fill="FFFFFF"/>
        <w:spacing w:after="0"/>
        <w:rPr>
          <w:color w:val="595959" w:themeColor="text1" w:themeTint="A6"/>
        </w:rPr>
      </w:pPr>
    </w:p>
    <w:p w14:paraId="2E9433A3" w14:textId="3C068777" w:rsidR="00D51E7C" w:rsidRPr="00C019E5" w:rsidRDefault="00C52EA4" w:rsidP="00F827EB">
      <w:pPr>
        <w:rPr>
          <w:highlight w:val="cyan"/>
        </w:rPr>
      </w:pPr>
      <w:r w:rsidRPr="00E96985">
        <w:rPr>
          <w:color w:val="595959" w:themeColor="text1" w:themeTint="A6"/>
        </w:rPr>
        <w:lastRenderedPageBreak/>
        <w:t>A full methodology for this indicator is available in the document entitled, “</w:t>
      </w:r>
      <w:r w:rsidR="00092E8C" w:rsidRPr="00C8353C">
        <w:rPr>
          <w:color w:val="595959" w:themeColor="text1" w:themeTint="A6"/>
        </w:rPr>
        <w:t>Global Chemicals and Waste Indicator Review Document</w:t>
      </w:r>
      <w:r w:rsidR="00092E8C">
        <w:rPr>
          <w:color w:val="595959" w:themeColor="text1" w:themeTint="A6"/>
        </w:rPr>
        <w:t xml:space="preserve"> (UNEP, forthcoming)</w:t>
      </w:r>
      <w:r w:rsidRPr="00E96985">
        <w:rPr>
          <w:color w:val="595959" w:themeColor="text1" w:themeTint="A6"/>
        </w:rPr>
        <w:t>”.</w:t>
      </w:r>
    </w:p>
    <w:p w14:paraId="5F9C9E25" w14:textId="77777777" w:rsidR="008F37C6" w:rsidRDefault="00D51E7C" w:rsidP="008F37C6">
      <w:pPr>
        <w:pStyle w:val="MText"/>
        <w:rPr>
          <w:i/>
          <w:iCs/>
        </w:rPr>
      </w:pPr>
      <w:r w:rsidRPr="008F37C6">
        <w:t>Concepts:</w:t>
      </w:r>
    </w:p>
    <w:p w14:paraId="197F7B7A" w14:textId="11D97CFD" w:rsidR="005F7447" w:rsidRDefault="005F7447" w:rsidP="005F7447">
      <w:pPr>
        <w:spacing w:after="0"/>
        <w:rPr>
          <w:rFonts w:eastAsia="Times New Roman" w:cs="Times New Roman"/>
          <w:i/>
          <w:iCs/>
          <w:color w:val="4A4A4A"/>
          <w:sz w:val="21"/>
          <w:szCs w:val="21"/>
          <w:lang w:eastAsia="en-GB"/>
        </w:rPr>
      </w:pPr>
      <w:r w:rsidRPr="00C27990">
        <w:rPr>
          <w:rFonts w:eastAsia="Times New Roman" w:cs="Times New Roman"/>
          <w:i/>
          <w:iCs/>
          <w:color w:val="4A4A4A"/>
          <w:sz w:val="21"/>
          <w:szCs w:val="21"/>
          <w:lang w:eastAsia="en-GB"/>
        </w:rPr>
        <w:t xml:space="preserve">Food: </w:t>
      </w:r>
      <w:r w:rsidRPr="00C27990">
        <w:rPr>
          <w:rFonts w:eastAsia="Times New Roman" w:cs="Times New Roman"/>
          <w:color w:val="4A4A4A"/>
          <w:sz w:val="21"/>
          <w:szCs w:val="21"/>
          <w:lang w:eastAsia="en-GB"/>
        </w:rPr>
        <w:t>Any substance—whether processed, semi-processed, or raw—that is intended for human consumption. “Food” includes drink and any substance that has been used in the manufacture, preparation, or treatment of food. “Food” also includes material that has spoiled and is therefore no longer fit for human consumption. It does not include cosmetics, tobacco, or substances used only as drugs. It does not include processing agents used along the food supply chain, for example, water to clean or cook raw materials in factories or at home.</w:t>
      </w:r>
    </w:p>
    <w:p w14:paraId="4AB0C565" w14:textId="77777777" w:rsidR="005F7447" w:rsidRDefault="005F7447" w:rsidP="005F7447">
      <w:pPr>
        <w:spacing w:after="0"/>
        <w:rPr>
          <w:rFonts w:eastAsia="Times New Roman" w:cs="Times New Roman"/>
          <w:i/>
          <w:iCs/>
          <w:color w:val="4A4A4A"/>
          <w:sz w:val="21"/>
          <w:szCs w:val="21"/>
          <w:lang w:eastAsia="en-GB"/>
        </w:rPr>
      </w:pPr>
    </w:p>
    <w:p w14:paraId="7A9197DE" w14:textId="77777777" w:rsidR="005F7447" w:rsidRDefault="005F7447" w:rsidP="005F7447">
      <w:pPr>
        <w:spacing w:after="0"/>
        <w:rPr>
          <w:rFonts w:eastAsia="Times New Roman" w:cs="Times New Roman"/>
          <w:i/>
          <w:iCs/>
          <w:color w:val="4A4A4A"/>
          <w:sz w:val="21"/>
          <w:szCs w:val="21"/>
          <w:lang w:eastAsia="en-GB"/>
        </w:rPr>
      </w:pPr>
      <w:r w:rsidRPr="00C27990">
        <w:rPr>
          <w:rFonts w:eastAsia="Times New Roman" w:cs="Times New Roman"/>
          <w:i/>
          <w:iCs/>
          <w:color w:val="4A4A4A"/>
          <w:sz w:val="21"/>
          <w:szCs w:val="21"/>
          <w:lang w:eastAsia="en-GB"/>
        </w:rPr>
        <w:t xml:space="preserve">Inedible (or non-edible) parts: </w:t>
      </w:r>
      <w:r w:rsidRPr="00C27990">
        <w:rPr>
          <w:rFonts w:eastAsia="Times New Roman" w:cs="Times New Roman"/>
          <w:color w:val="4A4A4A"/>
          <w:sz w:val="21"/>
          <w:szCs w:val="21"/>
          <w:lang w:eastAsia="en-GB"/>
        </w:rPr>
        <w:t xml:space="preserve">Components associated with a food that, in a </w:t>
      </w:r>
      <w:proofErr w:type="gramStart"/>
      <w:r w:rsidRPr="00C27990">
        <w:rPr>
          <w:rFonts w:eastAsia="Times New Roman" w:cs="Times New Roman"/>
          <w:color w:val="4A4A4A"/>
          <w:sz w:val="21"/>
          <w:szCs w:val="21"/>
          <w:lang w:eastAsia="en-GB"/>
        </w:rPr>
        <w:t>particular food</w:t>
      </w:r>
      <w:proofErr w:type="gramEnd"/>
      <w:r w:rsidRPr="00C27990">
        <w:rPr>
          <w:rFonts w:eastAsia="Times New Roman" w:cs="Times New Roman"/>
          <w:color w:val="4A4A4A"/>
          <w:sz w:val="21"/>
          <w:szCs w:val="21"/>
          <w:lang w:eastAsia="en-GB"/>
        </w:rPr>
        <w:t xml:space="preserve"> supply chain, are not intended to be consumed by humans. Examples of inedible parts associated with food could include bones, rinds, and pits/stones. “Inedible parts” do not include packaging. What is considered inedible varies among users (e.g., chicken feet are consumed in some food supply chains but not others), changes over time, and is influenced by a range of variables including culture, socio-economic factors, availability, price, technological advances, international trade, and geography.</w:t>
      </w:r>
      <w:r w:rsidRPr="00C27990">
        <w:rPr>
          <w:rFonts w:eastAsia="Times New Roman" w:cs="Times New Roman"/>
          <w:i/>
          <w:iCs/>
          <w:color w:val="4A4A4A"/>
          <w:sz w:val="21"/>
          <w:szCs w:val="21"/>
          <w:lang w:eastAsia="en-GB"/>
        </w:rPr>
        <w:t xml:space="preserve"> </w:t>
      </w:r>
    </w:p>
    <w:p w14:paraId="3E7C1A3B" w14:textId="77777777" w:rsidR="005F7447" w:rsidRDefault="005F7447" w:rsidP="005F7447">
      <w:pPr>
        <w:spacing w:after="0"/>
        <w:rPr>
          <w:rFonts w:eastAsia="Times New Roman" w:cs="Times New Roman"/>
          <w:i/>
          <w:iCs/>
          <w:color w:val="4A4A4A"/>
          <w:sz w:val="21"/>
          <w:szCs w:val="21"/>
          <w:lang w:eastAsia="en-GB"/>
        </w:rPr>
      </w:pPr>
    </w:p>
    <w:p w14:paraId="3A072991" w14:textId="77777777" w:rsidR="005F7447" w:rsidRDefault="005F7447" w:rsidP="005F7447">
      <w:pPr>
        <w:spacing w:after="0"/>
        <w:rPr>
          <w:rFonts w:eastAsia="Times New Roman" w:cs="Times New Roman"/>
          <w:color w:val="4A4A4A"/>
          <w:sz w:val="21"/>
          <w:szCs w:val="21"/>
          <w:lang w:eastAsia="en-GB"/>
        </w:rPr>
      </w:pPr>
      <w:r w:rsidRPr="00C27990">
        <w:rPr>
          <w:rFonts w:eastAsia="Times New Roman" w:cs="Times New Roman"/>
          <w:i/>
          <w:iCs/>
          <w:color w:val="4A4A4A"/>
          <w:sz w:val="21"/>
          <w:szCs w:val="21"/>
          <w:lang w:eastAsia="en-GB"/>
        </w:rPr>
        <w:t>Municipal Solid Waste (MSW)</w:t>
      </w:r>
      <w:r w:rsidRPr="00C27990">
        <w:rPr>
          <w:rFonts w:eastAsia="Times New Roman" w:cs="Times New Roman"/>
          <w:color w:val="4A4A4A"/>
          <w:sz w:val="21"/>
          <w:szCs w:val="21"/>
          <w:lang w:eastAsia="en-GB"/>
        </w:rPr>
        <w:t xml:space="preserve"> includes waste originating from households, commerce</w:t>
      </w:r>
      <w:r>
        <w:rPr>
          <w:rFonts w:eastAsia="Times New Roman" w:cs="Times New Roman"/>
          <w:color w:val="4A4A4A"/>
          <w:sz w:val="21"/>
          <w:szCs w:val="21"/>
          <w:lang w:eastAsia="en-GB"/>
        </w:rPr>
        <w:t>,</w:t>
      </w:r>
      <w:r w:rsidRPr="00C27990">
        <w:rPr>
          <w:rFonts w:eastAsia="Times New Roman" w:cs="Times New Roman"/>
          <w:color w:val="4A4A4A"/>
          <w:sz w:val="21"/>
          <w:szCs w:val="21"/>
          <w:lang w:eastAsia="en-GB"/>
        </w:rPr>
        <w:t xml:space="preserve"> and trade, small businesses, office buildings and institutions (schools, hospitals, government buildings). It also includes bulky waste (e.g., old furniture, mattresses) and waste from selected municipal services, e.g., waste from park and garden maintenance, waste from street cleaning services (street sweepings, the content of litter containers, market cleansing waste), if managed as waste. Further information on municipal solid waste is defined in the SDG indicator methodology for 11.6.1.</w:t>
      </w:r>
    </w:p>
    <w:p w14:paraId="153B09C3" w14:textId="3FD27B3D" w:rsidR="00D51E7C" w:rsidRPr="00A96255" w:rsidRDefault="00D51E7C"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5399A264" w14:textId="1FDA60F1" w:rsidR="00620198" w:rsidRPr="00207BC4" w:rsidRDefault="00620198" w:rsidP="00620198">
      <w:pPr>
        <w:pStyle w:val="MText"/>
      </w:pPr>
      <w:r>
        <w:t>Percent</w:t>
      </w:r>
      <w:r w:rsidRPr="00207BC4">
        <w:t xml:space="preserve"> </w:t>
      </w:r>
    </w:p>
    <w:p w14:paraId="548E9AAA" w14:textId="47F7CBBE" w:rsidR="00EC2915" w:rsidRDefault="00620198" w:rsidP="00576CFA">
      <w:pPr>
        <w:pStyle w:val="MText"/>
      </w:pPr>
      <w:r>
        <w:t>Tonnes</w:t>
      </w:r>
    </w:p>
    <w:p w14:paraId="4C650ABF" w14:textId="1CFCAF2B" w:rsidR="00620198" w:rsidRPr="00A96255" w:rsidRDefault="00620198" w:rsidP="00576CFA">
      <w:pPr>
        <w:pStyle w:val="MText"/>
      </w:pPr>
      <w:r>
        <w:t>KG</w:t>
      </w:r>
    </w:p>
    <w:p w14:paraId="651AA7AC" w14:textId="5144B8C4" w:rsidR="00DA615C" w:rsidRPr="00A96255" w:rsidRDefault="008B0AC7" w:rsidP="00F719A8">
      <w:pPr>
        <w:pStyle w:val="MHeader2"/>
      </w:pPr>
      <w:r w:rsidRPr="00A96255">
        <w:t>2.c. Classifications</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13DCA1D6" w14:textId="77777777" w:rsidR="00C00FA2" w:rsidRDefault="00C00FA2" w:rsidP="00C00FA2">
      <w:pPr>
        <w:pStyle w:val="ListParagraph"/>
        <w:numPr>
          <w:ilvl w:val="0"/>
          <w:numId w:val="7"/>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Data provided by national governments, including NSOs and Ministries of Environment</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40507E28" w14:textId="77777777" w:rsidR="000B0072" w:rsidRDefault="000B0072" w:rsidP="000B0072">
      <w:pPr>
        <w:pStyle w:val="GHFeaturedlist"/>
        <w:numPr>
          <w:ilvl w:val="0"/>
          <w:numId w:val="0"/>
        </w:numPr>
        <w:spacing w:after="0" w:line="240" w:lineRule="auto"/>
        <w:contextualSpacing w:val="0"/>
        <w:rPr>
          <w:rFonts w:ascii="Calibri" w:hAnsi="Calibri"/>
          <w:color w:val="595959" w:themeColor="text1" w:themeTint="A6"/>
          <w:sz w:val="21"/>
        </w:rPr>
      </w:pPr>
      <w:r>
        <w:rPr>
          <w:rFonts w:ascii="Calibri" w:hAnsi="Calibri"/>
          <w:color w:val="595959" w:themeColor="text1" w:themeTint="A6"/>
          <w:sz w:val="21"/>
        </w:rPr>
        <w:t>UNEP is exploring the use of the UNSD/UNEP Questionnaire on Environment Statistics for data collection. Additional data will be collected through directly by UNEP.</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777F0337" w14:textId="48FB8C74" w:rsidR="00576CFA" w:rsidRPr="00A96255" w:rsidRDefault="00757B96" w:rsidP="00576CFA">
      <w:pPr>
        <w:pStyle w:val="MText"/>
      </w:pPr>
      <w:r w:rsidRPr="00A64F71">
        <w:t>The UNSD/UNEP Questionnaire is every 2 years.</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lastRenderedPageBreak/>
        <w:t>3.d. Data release calendar</w:t>
      </w:r>
    </w:p>
    <w:p w14:paraId="261EB39A" w14:textId="0718B2A1" w:rsidR="005A0EFF" w:rsidRPr="008F37C6" w:rsidRDefault="005A0EFF" w:rsidP="005A0EFF">
      <w:pPr>
        <w:pStyle w:val="ListParagraph"/>
        <w:keepNext/>
        <w:keepLines/>
        <w:numPr>
          <w:ilvl w:val="0"/>
          <w:numId w:val="9"/>
        </w:numPr>
        <w:shd w:val="clear" w:color="auto" w:fill="FFFFFF"/>
        <w:spacing w:after="0"/>
        <w:jc w:val="both"/>
        <w:rPr>
          <w:rFonts w:eastAsia="Times New Roman" w:cs="Times New Roman"/>
          <w:color w:val="4A4A4A"/>
          <w:sz w:val="21"/>
          <w:szCs w:val="21"/>
          <w:lang w:eastAsia="en-GB"/>
        </w:rPr>
      </w:pPr>
      <w:r w:rsidRPr="008F37C6">
        <w:rPr>
          <w:rFonts w:eastAsia="Times New Roman" w:cs="Times New Roman"/>
          <w:color w:val="4A4A4A"/>
          <w:sz w:val="21"/>
          <w:szCs w:val="21"/>
          <w:lang w:eastAsia="en-GB"/>
        </w:rPr>
        <w:t>First SDG reporting cycle: 202</w:t>
      </w:r>
      <w:r w:rsidR="00620198">
        <w:rPr>
          <w:rFonts w:eastAsia="Times New Roman" w:cs="Times New Roman"/>
          <w:color w:val="4A4A4A"/>
          <w:sz w:val="21"/>
          <w:szCs w:val="21"/>
          <w:lang w:eastAsia="en-GB"/>
        </w:rPr>
        <w:t>1</w:t>
      </w:r>
    </w:p>
    <w:p w14:paraId="02BB43D2" w14:textId="77777777" w:rsidR="00982D93" w:rsidRDefault="00982D93" w:rsidP="00F827EB">
      <w:pPr>
        <w:pStyle w:val="MText"/>
      </w:pPr>
    </w:p>
    <w:p w14:paraId="3A4F3065" w14:textId="2F4EF289" w:rsidR="00E46D96" w:rsidRPr="00A96255" w:rsidRDefault="00E46D96" w:rsidP="00F719A8">
      <w:pPr>
        <w:pStyle w:val="MHeader2"/>
      </w:pPr>
      <w:r w:rsidRPr="00A96255">
        <w:t>3.e. Data providers</w:t>
      </w:r>
    </w:p>
    <w:p w14:paraId="7AE9BDAF" w14:textId="77777777" w:rsidR="00762973" w:rsidRDefault="00762973" w:rsidP="00762973">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National Statistical Systems </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5C43435B" w14:textId="0C49579F" w:rsidR="00EC2915" w:rsidRDefault="00324E8C" w:rsidP="00576CFA">
      <w:pPr>
        <w:pStyle w:val="MText"/>
        <w:rPr>
          <w:lang w:val="en-US"/>
        </w:rPr>
      </w:pPr>
      <w:r w:rsidRPr="00526F55">
        <w:rPr>
          <w:lang w:val="en-US"/>
        </w:rPr>
        <w:t>UNSD and UNEP</w:t>
      </w:r>
    </w:p>
    <w:p w14:paraId="74B3224F" w14:textId="77777777" w:rsidR="00324E8C" w:rsidRPr="00A96255" w:rsidRDefault="00324E8C" w:rsidP="00576CFA">
      <w:pPr>
        <w:pStyle w:val="MText"/>
      </w:pPr>
    </w:p>
    <w:p w14:paraId="5655E768" w14:textId="5429F32E" w:rsidR="00E46D96" w:rsidRPr="00A96255" w:rsidRDefault="00E46D96" w:rsidP="00F719A8">
      <w:pPr>
        <w:pStyle w:val="MHeader2"/>
      </w:pPr>
      <w:r w:rsidRPr="00A96255">
        <w:t>3.g. Institutional mandate</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39E932F4" w14:textId="77777777" w:rsidR="00110A0F" w:rsidRDefault="00110A0F" w:rsidP="00110A0F">
      <w:pPr>
        <w:shd w:val="clear" w:color="auto" w:fill="FFFFFF"/>
        <w:spacing w:after="0"/>
        <w:rPr>
          <w:rFonts w:eastAsia="Times New Roman" w:cs="Times New Roman"/>
          <w:bCs/>
          <w:color w:val="4A4A4A"/>
          <w:sz w:val="21"/>
          <w:szCs w:val="21"/>
          <w:lang w:eastAsia="en-GB"/>
        </w:rPr>
      </w:pPr>
      <w:r>
        <w:rPr>
          <w:rFonts w:eastAsia="Times New Roman" w:cs="Times New Roman"/>
          <w:bCs/>
          <w:color w:val="4A4A4A"/>
          <w:sz w:val="21"/>
          <w:szCs w:val="21"/>
          <w:lang w:eastAsia="en-GB"/>
        </w:rPr>
        <w:t>According to an FAO publication in 2011, approximately one-third of all food is lost or wasted. This results in economic loss and increased pressure on food systems. Reducing food waste is critical to maximizing the value of agricultural land and ensuring that natural resources are used in a sustainable way. This indicator will not only help countries identify where food is lost and wasted but also it can provide information which Governments, citizens and the private sector can take in order to reduce food waste.</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4109BFD5" w14:textId="77777777" w:rsidR="00292A1D" w:rsidRDefault="00292A1D" w:rsidP="00292A1D">
      <w:pPr>
        <w:shd w:val="clear" w:color="auto" w:fill="FFFFFF"/>
        <w:spacing w:after="0"/>
        <w:rPr>
          <w:rFonts w:eastAsia="Times New Roman" w:cs="Times New Roman"/>
          <w:color w:val="4A4A4A"/>
          <w:sz w:val="21"/>
          <w:szCs w:val="21"/>
          <w:lang w:eastAsia="en-GB"/>
        </w:rPr>
      </w:pPr>
      <w:r w:rsidRPr="00C27990">
        <w:rPr>
          <w:rFonts w:eastAsia="Times New Roman" w:cs="Times New Roman"/>
          <w:color w:val="4A4A4A"/>
          <w:sz w:val="21"/>
          <w:szCs w:val="21"/>
          <w:lang w:eastAsia="en-GB"/>
        </w:rPr>
        <w:t xml:space="preserve">The challenge resulting from the flexible three-level approach to presenting a methodology is one of consistency and comparability. Can one compare between levels or across methods? Not directly and not without caveats. It is possible to compare at regional levels where </w:t>
      </w:r>
      <w:r>
        <w:rPr>
          <w:rFonts w:eastAsia="Times New Roman" w:cs="Times New Roman"/>
          <w:color w:val="4A4A4A"/>
          <w:sz w:val="21"/>
          <w:szCs w:val="21"/>
          <w:lang w:eastAsia="en-GB"/>
        </w:rPr>
        <w:t xml:space="preserve">the </w:t>
      </w:r>
      <w:r w:rsidRPr="00C27990">
        <w:rPr>
          <w:rFonts w:eastAsia="Times New Roman" w:cs="Times New Roman"/>
          <w:color w:val="4A4A4A"/>
          <w:sz w:val="21"/>
          <w:szCs w:val="21"/>
          <w:lang w:eastAsia="en-GB"/>
        </w:rPr>
        <w:t>random error is relatively high (e.g. around 25%) for each country but it would not be appropriate to compare countries against each other unless there was a much greater difference in their estimates than the combined amount of error. The approach to consistency is one of transparency against a framework.</w:t>
      </w:r>
    </w:p>
    <w:p w14:paraId="2E1121B3" w14:textId="77777777" w:rsidR="00292A1D" w:rsidRDefault="00292A1D" w:rsidP="00292A1D">
      <w:pPr>
        <w:shd w:val="clear" w:color="auto" w:fill="FFFFFF"/>
        <w:spacing w:after="0"/>
        <w:rPr>
          <w:rFonts w:eastAsia="Times New Roman" w:cs="Times New Roman"/>
          <w:color w:val="4A4A4A"/>
          <w:sz w:val="21"/>
          <w:szCs w:val="21"/>
          <w:lang w:eastAsia="en-GB"/>
        </w:rPr>
      </w:pPr>
    </w:p>
    <w:p w14:paraId="6246A944" w14:textId="77777777" w:rsidR="00292A1D" w:rsidRPr="00D41B24" w:rsidRDefault="00292A1D" w:rsidP="00292A1D">
      <w:pPr>
        <w:shd w:val="clear" w:color="auto" w:fill="FFFFFF"/>
        <w:spacing w:after="0"/>
        <w:rPr>
          <w:rFonts w:eastAsia="Times New Roman" w:cs="Times New Roman"/>
          <w:color w:val="4A4A4A"/>
          <w:sz w:val="21"/>
          <w:szCs w:val="21"/>
          <w:lang w:eastAsia="en-GB"/>
        </w:rPr>
      </w:pPr>
      <w:r w:rsidRPr="00D41B24">
        <w:rPr>
          <w:rFonts w:eastAsia="Times New Roman" w:cs="Times New Roman"/>
          <w:color w:val="4A4A4A"/>
          <w:sz w:val="21"/>
          <w:szCs w:val="21"/>
          <w:lang w:eastAsia="en-GB"/>
        </w:rPr>
        <w:t>Different methods of quantification can also be used for other relevant and related purposes (for example, “where are the greatest opportunities within the waste that is produced to reduce it?”). Taking in-home consumption as an example, it is difficult to obtain reasons for discarding food (and therefore the opportunities for influencing citizen behaviour) without the use of diaries or ethnography. However, direct weighing of waste volumes could give a significantly more accurate quantity.</w:t>
      </w:r>
    </w:p>
    <w:p w14:paraId="0915BAAA" w14:textId="77777777" w:rsidR="00292A1D" w:rsidRPr="00F827EB" w:rsidRDefault="00292A1D" w:rsidP="00F827EB">
      <w:pPr>
        <w:shd w:val="clear" w:color="auto" w:fill="FFFFFF"/>
        <w:spacing w:after="0"/>
        <w:rPr>
          <w:color w:val="4A4A4A"/>
          <w:sz w:val="21"/>
          <w:szCs w:val="21"/>
        </w:rPr>
      </w:pPr>
    </w:p>
    <w:p w14:paraId="79EEEE38" w14:textId="5CAA373B" w:rsidR="00E1050F" w:rsidRPr="00A96255" w:rsidRDefault="00E1050F" w:rsidP="00F719A8">
      <w:pPr>
        <w:pStyle w:val="MHeader2"/>
      </w:pPr>
      <w:r w:rsidRPr="00A96255">
        <w:t>4.c. Method of computation</w:t>
      </w:r>
    </w:p>
    <w:p w14:paraId="56C3CF2C" w14:textId="2559649E" w:rsidR="006D20CF" w:rsidRPr="00F827EB" w:rsidRDefault="006D20CF" w:rsidP="00F827EB">
      <w:pPr>
        <w:shd w:val="clear" w:color="auto" w:fill="FFFFFF"/>
        <w:spacing w:after="0"/>
        <w:rPr>
          <w:color w:val="595959" w:themeColor="text1" w:themeTint="A6"/>
        </w:rPr>
      </w:pPr>
      <w:r w:rsidRPr="00E96985">
        <w:rPr>
          <w:color w:val="595959" w:themeColor="text1" w:themeTint="A6"/>
        </w:rPr>
        <w:t>A full methodology for this indicator is available in the document entitled, “</w:t>
      </w:r>
      <w:bookmarkStart w:id="6" w:name="_Hlk63421517"/>
      <w:r w:rsidR="00092E8C" w:rsidRPr="0097758D">
        <w:rPr>
          <w:color w:val="595959" w:themeColor="text1" w:themeTint="A6"/>
        </w:rPr>
        <w:t>Global Chemicals and Waste Indicator Review Document</w:t>
      </w:r>
      <w:r w:rsidR="00092E8C">
        <w:rPr>
          <w:color w:val="595959" w:themeColor="text1" w:themeTint="A6"/>
        </w:rPr>
        <w:t xml:space="preserve"> (UNEP, forthcoming)</w:t>
      </w:r>
      <w:bookmarkEnd w:id="6"/>
      <w:r w:rsidRPr="00E96985">
        <w:rPr>
          <w:color w:val="595959" w:themeColor="text1" w:themeTint="A6"/>
        </w:rPr>
        <w:t>”.</w:t>
      </w:r>
    </w:p>
    <w:p w14:paraId="30EFA0A1" w14:textId="77777777" w:rsidR="006D20CF" w:rsidRPr="00D41B24" w:rsidRDefault="006D20CF" w:rsidP="006D20CF">
      <w:pPr>
        <w:shd w:val="clear" w:color="auto" w:fill="FFFFFF"/>
        <w:spacing w:after="0"/>
        <w:rPr>
          <w:color w:val="595959" w:themeColor="text1" w:themeTint="A6"/>
        </w:rPr>
      </w:pPr>
      <w:r>
        <w:rPr>
          <w:color w:val="595959" w:themeColor="text1" w:themeTint="A6"/>
        </w:rPr>
        <w:t xml:space="preserve">For the purpose of this indicator, the methodology aims to estimate the amount of </w:t>
      </w:r>
      <w:r w:rsidRPr="00D41B24">
        <w:rPr>
          <w:color w:val="595959" w:themeColor="text1" w:themeTint="A6"/>
        </w:rPr>
        <w:t>food in total waste stream</w:t>
      </w:r>
      <w:r>
        <w:rPr>
          <w:color w:val="595959" w:themeColor="text1" w:themeTint="A6"/>
        </w:rPr>
        <w:t>.</w:t>
      </w:r>
    </w:p>
    <w:p w14:paraId="73F20B90" w14:textId="77777777" w:rsidR="006D20CF" w:rsidRDefault="006D20CF" w:rsidP="006D20CF">
      <w:pPr>
        <w:shd w:val="clear" w:color="auto" w:fill="FFFFFF"/>
        <w:spacing w:after="0"/>
        <w:rPr>
          <w:color w:val="595959" w:themeColor="text1" w:themeTint="A6"/>
        </w:rPr>
      </w:pPr>
    </w:p>
    <w:p w14:paraId="27B293AB" w14:textId="7175B7F2" w:rsidR="006D20CF" w:rsidRDefault="006D20CF" w:rsidP="006D20CF">
      <w:pPr>
        <w:shd w:val="clear" w:color="auto" w:fill="FFFFFF"/>
        <w:spacing w:after="0"/>
        <w:rPr>
          <w:color w:val="595959" w:themeColor="text1" w:themeTint="A6"/>
        </w:rPr>
      </w:pPr>
      <w:r>
        <w:rPr>
          <w:color w:val="595959" w:themeColor="text1" w:themeTint="A6"/>
        </w:rPr>
        <w:t xml:space="preserve">For level 1, the global </w:t>
      </w:r>
      <w:r w:rsidR="00092E8C">
        <w:rPr>
          <w:color w:val="595959" w:themeColor="text1" w:themeTint="A6"/>
        </w:rPr>
        <w:t>modelling</w:t>
      </w:r>
      <w:r>
        <w:rPr>
          <w:color w:val="595959" w:themeColor="text1" w:themeTint="A6"/>
        </w:rPr>
        <w:t xml:space="preserve"> approach will</w:t>
      </w:r>
      <w:r w:rsidRPr="00D41B24">
        <w:rPr>
          <w:color w:val="595959" w:themeColor="text1" w:themeTint="A6"/>
        </w:rPr>
        <w:t xml:space="preserve"> estimate a proportion of food in the total waste stream data (e.g. municipal solid waste, MSW) and apply the proportion to the total. The work on </w:t>
      </w:r>
      <w:r w:rsidRPr="00D41B24">
        <w:rPr>
          <w:color w:val="595959" w:themeColor="text1" w:themeTint="A6"/>
        </w:rPr>
        <w:lastRenderedPageBreak/>
        <w:t xml:space="preserve">this model will utilize the existing efforts to compile information for SDG 11.6.1 on municipal solid waste management and will utilize existing information on global waste, including World Bank publication “What a Waste 2.0, A Global Snapshot of Solid Waste Management to 2050”. Some countries publish data on the ratio of food waste to the total MSW. The existing data will be used to create a regional coefficient for each SDG sub-region. These regional coefficients will then be applied to the data for 11.6.1 and What a Waste data to fill data gaps. (Not that when a country reports data then no global estimation will be done, the country data will be used directly.)  </w:t>
      </w:r>
    </w:p>
    <w:p w14:paraId="08D7C072" w14:textId="346F009B" w:rsidR="006D20CF" w:rsidRDefault="006D20CF" w:rsidP="006D20CF">
      <w:pPr>
        <w:shd w:val="clear" w:color="auto" w:fill="FFFFFF"/>
        <w:spacing w:after="0"/>
        <w:rPr>
          <w:color w:val="595959" w:themeColor="text1" w:themeTint="A6"/>
        </w:rPr>
      </w:pPr>
    </w:p>
    <w:p w14:paraId="57FE872A" w14:textId="77777777" w:rsidR="006D20CF" w:rsidRDefault="006D20CF" w:rsidP="006D20CF">
      <w:pPr>
        <w:shd w:val="clear" w:color="auto" w:fill="FFFFFF"/>
        <w:spacing w:after="0"/>
        <w:rPr>
          <w:color w:val="595959" w:themeColor="text1" w:themeTint="A6"/>
        </w:rPr>
      </w:pPr>
      <w:r>
        <w:rPr>
          <w:color w:val="595959" w:themeColor="text1" w:themeTint="A6"/>
        </w:rPr>
        <w:t xml:space="preserve">For level 2, countries should identify the scope of which stages of the supply chain can be covered and estimate the total amount of food wasted for each supply chain stream. </w:t>
      </w:r>
      <w:r w:rsidRPr="00D41B24">
        <w:rPr>
          <w:color w:val="595959" w:themeColor="text1" w:themeTint="A6"/>
        </w:rPr>
        <w:t xml:space="preserve"> The amount of food waste within a stage of the food supply chain shall be established by measuring food waste generated by a sample of food business operators or households in accordance with any of the following methods or a combination of those methods or any other method equivalent in terms of relevance, representativeness and reliability.</w:t>
      </w:r>
    </w:p>
    <w:p w14:paraId="5A944779" w14:textId="77777777" w:rsidR="006D20CF" w:rsidRPr="00D41B24" w:rsidRDefault="006D20CF" w:rsidP="006D20CF">
      <w:pPr>
        <w:shd w:val="clear" w:color="auto" w:fill="FFFFFF"/>
        <w:spacing w:after="0"/>
        <w:rPr>
          <w:color w:val="595959" w:themeColor="text1" w:themeTint="A6"/>
        </w:rPr>
      </w:pPr>
    </w:p>
    <w:tbl>
      <w:tblPr>
        <w:tblStyle w:val="TableGrid"/>
        <w:tblW w:w="0" w:type="auto"/>
        <w:tblLook w:val="04A0" w:firstRow="1" w:lastRow="0" w:firstColumn="1" w:lastColumn="0" w:noHBand="0" w:noVBand="1"/>
      </w:tblPr>
      <w:tblGrid>
        <w:gridCol w:w="1827"/>
        <w:gridCol w:w="1433"/>
        <w:gridCol w:w="1363"/>
        <w:gridCol w:w="1257"/>
        <w:gridCol w:w="1782"/>
        <w:gridCol w:w="1346"/>
        <w:gridCol w:w="8"/>
      </w:tblGrid>
      <w:tr w:rsidR="008F37C6" w:rsidRPr="008F37C6" w14:paraId="3642735A" w14:textId="77777777" w:rsidTr="00136558">
        <w:tc>
          <w:tcPr>
            <w:tcW w:w="1885" w:type="dxa"/>
          </w:tcPr>
          <w:p w14:paraId="0586D868" w14:textId="77777777" w:rsidR="006D20CF" w:rsidRPr="008F37C6" w:rsidRDefault="006D20CF" w:rsidP="00136558">
            <w:pPr>
              <w:rPr>
                <w:b/>
                <w:bCs/>
                <w:color w:val="4A4A4A"/>
                <w:sz w:val="20"/>
              </w:rPr>
            </w:pPr>
            <w:r w:rsidRPr="008F37C6">
              <w:rPr>
                <w:b/>
                <w:bCs/>
                <w:color w:val="4A4A4A"/>
                <w:sz w:val="20"/>
              </w:rPr>
              <w:t>Stages of the food supply chain</w:t>
            </w:r>
          </w:p>
        </w:tc>
        <w:tc>
          <w:tcPr>
            <w:tcW w:w="7465" w:type="dxa"/>
            <w:gridSpan w:val="6"/>
            <w:vAlign w:val="center"/>
          </w:tcPr>
          <w:p w14:paraId="2128D364" w14:textId="77777777" w:rsidR="006D20CF" w:rsidRPr="008F37C6" w:rsidRDefault="006D20CF" w:rsidP="00136558">
            <w:pPr>
              <w:jc w:val="center"/>
              <w:rPr>
                <w:b/>
                <w:bCs/>
                <w:color w:val="4A4A4A"/>
                <w:sz w:val="20"/>
              </w:rPr>
            </w:pPr>
            <w:r w:rsidRPr="008F37C6">
              <w:rPr>
                <w:b/>
                <w:bCs/>
                <w:color w:val="4A4A4A"/>
                <w:sz w:val="20"/>
              </w:rPr>
              <w:t>Methods of measurement</w:t>
            </w:r>
          </w:p>
        </w:tc>
      </w:tr>
      <w:tr w:rsidR="008F37C6" w:rsidRPr="008F37C6" w14:paraId="68E12CF3" w14:textId="77777777" w:rsidTr="00136558">
        <w:trPr>
          <w:gridAfter w:val="1"/>
          <w:wAfter w:w="8" w:type="dxa"/>
        </w:trPr>
        <w:tc>
          <w:tcPr>
            <w:tcW w:w="1885" w:type="dxa"/>
          </w:tcPr>
          <w:p w14:paraId="2E501D3C" w14:textId="77777777" w:rsidR="006D20CF" w:rsidRPr="008F37C6" w:rsidRDefault="006D20CF" w:rsidP="00136558">
            <w:pPr>
              <w:rPr>
                <w:color w:val="4A4A4A"/>
                <w:sz w:val="20"/>
              </w:rPr>
            </w:pPr>
            <w:r w:rsidRPr="008F37C6">
              <w:rPr>
                <w:color w:val="4A4A4A"/>
                <w:sz w:val="20"/>
              </w:rPr>
              <w:t>Primary production</w:t>
            </w:r>
          </w:p>
        </w:tc>
        <w:tc>
          <w:tcPr>
            <w:tcW w:w="1444" w:type="dxa"/>
            <w:vMerge w:val="restart"/>
          </w:tcPr>
          <w:p w14:paraId="527E62F5" w14:textId="77777777" w:rsidR="006D20CF" w:rsidRPr="008F37C6" w:rsidRDefault="006D20CF" w:rsidP="00136558">
            <w:pPr>
              <w:rPr>
                <w:color w:val="4A4A4A"/>
                <w:sz w:val="20"/>
              </w:rPr>
            </w:pPr>
            <w:r w:rsidRPr="008F37C6">
              <w:rPr>
                <w:color w:val="4A4A4A"/>
                <w:sz w:val="20"/>
              </w:rPr>
              <w:t>- Direct measurement</w:t>
            </w:r>
          </w:p>
        </w:tc>
        <w:tc>
          <w:tcPr>
            <w:tcW w:w="1436" w:type="dxa"/>
            <w:vMerge w:val="restart"/>
          </w:tcPr>
          <w:p w14:paraId="55A73AE0" w14:textId="77777777" w:rsidR="006D20CF" w:rsidRPr="008F37C6" w:rsidRDefault="006D20CF" w:rsidP="00136558">
            <w:pPr>
              <w:rPr>
                <w:color w:val="4A4A4A"/>
                <w:sz w:val="20"/>
              </w:rPr>
            </w:pPr>
            <w:r w:rsidRPr="008F37C6">
              <w:rPr>
                <w:color w:val="4A4A4A"/>
                <w:sz w:val="20"/>
              </w:rPr>
              <w:t>-Mass balance</w:t>
            </w:r>
          </w:p>
        </w:tc>
        <w:tc>
          <w:tcPr>
            <w:tcW w:w="1262" w:type="dxa"/>
            <w:vMerge w:val="restart"/>
            <w:shd w:val="clear" w:color="auto" w:fill="BFBFBF" w:themeFill="background1" w:themeFillShade="BF"/>
          </w:tcPr>
          <w:p w14:paraId="0B8A9678" w14:textId="77777777" w:rsidR="006D20CF" w:rsidRPr="008F37C6" w:rsidRDefault="006D20CF" w:rsidP="00136558">
            <w:pPr>
              <w:rPr>
                <w:color w:val="4A4A4A"/>
                <w:sz w:val="20"/>
              </w:rPr>
            </w:pPr>
          </w:p>
        </w:tc>
        <w:tc>
          <w:tcPr>
            <w:tcW w:w="3315" w:type="dxa"/>
            <w:gridSpan w:val="2"/>
            <w:vMerge w:val="restart"/>
          </w:tcPr>
          <w:p w14:paraId="5EBB2D11" w14:textId="77777777" w:rsidR="006D20CF" w:rsidRPr="008F37C6" w:rsidRDefault="006D20CF" w:rsidP="00136558">
            <w:pPr>
              <w:rPr>
                <w:color w:val="4A4A4A"/>
                <w:sz w:val="20"/>
              </w:rPr>
            </w:pPr>
            <w:r w:rsidRPr="008F37C6">
              <w:rPr>
                <w:color w:val="4A4A4A"/>
                <w:sz w:val="20"/>
              </w:rPr>
              <w:t>-Questionnaires and interviews</w:t>
            </w:r>
          </w:p>
          <w:p w14:paraId="4DBCDD36" w14:textId="77777777" w:rsidR="006D20CF" w:rsidRPr="008F37C6" w:rsidRDefault="006D20CF" w:rsidP="00136558">
            <w:pPr>
              <w:rPr>
                <w:color w:val="4A4A4A"/>
                <w:sz w:val="20"/>
              </w:rPr>
            </w:pPr>
            <w:r w:rsidRPr="008F37C6">
              <w:rPr>
                <w:color w:val="4A4A4A"/>
                <w:sz w:val="20"/>
              </w:rPr>
              <w:t>-Coefficients and production statistics</w:t>
            </w:r>
          </w:p>
          <w:p w14:paraId="617F3A01" w14:textId="77777777" w:rsidR="006D20CF" w:rsidRPr="008F37C6" w:rsidRDefault="006D20CF" w:rsidP="00136558">
            <w:pPr>
              <w:rPr>
                <w:color w:val="4A4A4A"/>
                <w:sz w:val="20"/>
              </w:rPr>
            </w:pPr>
            <w:r w:rsidRPr="008F37C6">
              <w:rPr>
                <w:color w:val="4A4A4A"/>
                <w:sz w:val="20"/>
              </w:rPr>
              <w:t>-Waste composition analysis</w:t>
            </w:r>
          </w:p>
        </w:tc>
      </w:tr>
      <w:tr w:rsidR="008F37C6" w:rsidRPr="008F37C6" w14:paraId="518C0677" w14:textId="77777777" w:rsidTr="00136558">
        <w:trPr>
          <w:gridAfter w:val="1"/>
          <w:wAfter w:w="8" w:type="dxa"/>
        </w:trPr>
        <w:tc>
          <w:tcPr>
            <w:tcW w:w="1885" w:type="dxa"/>
          </w:tcPr>
          <w:p w14:paraId="21865865" w14:textId="77777777" w:rsidR="006D20CF" w:rsidRPr="008F37C6" w:rsidRDefault="006D20CF" w:rsidP="00136558">
            <w:pPr>
              <w:rPr>
                <w:color w:val="4A4A4A"/>
                <w:sz w:val="20"/>
              </w:rPr>
            </w:pPr>
            <w:r w:rsidRPr="008F37C6">
              <w:rPr>
                <w:color w:val="4A4A4A"/>
                <w:sz w:val="20"/>
              </w:rPr>
              <w:t>Processing and manufacturing</w:t>
            </w:r>
          </w:p>
        </w:tc>
        <w:tc>
          <w:tcPr>
            <w:tcW w:w="1444" w:type="dxa"/>
            <w:vMerge/>
          </w:tcPr>
          <w:p w14:paraId="39F9E6AB" w14:textId="77777777" w:rsidR="006D20CF" w:rsidRPr="008F37C6" w:rsidRDefault="006D20CF" w:rsidP="00136558">
            <w:pPr>
              <w:rPr>
                <w:color w:val="4A4A4A"/>
                <w:sz w:val="20"/>
              </w:rPr>
            </w:pPr>
          </w:p>
        </w:tc>
        <w:tc>
          <w:tcPr>
            <w:tcW w:w="1436" w:type="dxa"/>
            <w:vMerge/>
          </w:tcPr>
          <w:p w14:paraId="43130F01" w14:textId="77777777" w:rsidR="006D20CF" w:rsidRPr="008F37C6" w:rsidRDefault="006D20CF" w:rsidP="00136558">
            <w:pPr>
              <w:rPr>
                <w:color w:val="4A4A4A"/>
                <w:sz w:val="20"/>
              </w:rPr>
            </w:pPr>
          </w:p>
        </w:tc>
        <w:tc>
          <w:tcPr>
            <w:tcW w:w="1262" w:type="dxa"/>
            <w:vMerge/>
            <w:shd w:val="clear" w:color="auto" w:fill="BFBFBF" w:themeFill="background1" w:themeFillShade="BF"/>
          </w:tcPr>
          <w:p w14:paraId="4D336DE2" w14:textId="77777777" w:rsidR="006D20CF" w:rsidRPr="008F37C6" w:rsidRDefault="006D20CF" w:rsidP="00136558">
            <w:pPr>
              <w:rPr>
                <w:color w:val="4A4A4A"/>
                <w:sz w:val="20"/>
              </w:rPr>
            </w:pPr>
          </w:p>
        </w:tc>
        <w:tc>
          <w:tcPr>
            <w:tcW w:w="3315" w:type="dxa"/>
            <w:gridSpan w:val="2"/>
            <w:vMerge/>
          </w:tcPr>
          <w:p w14:paraId="490B4CBF" w14:textId="77777777" w:rsidR="006D20CF" w:rsidRPr="008F37C6" w:rsidRDefault="006D20CF" w:rsidP="00136558">
            <w:pPr>
              <w:rPr>
                <w:color w:val="4A4A4A"/>
                <w:sz w:val="20"/>
              </w:rPr>
            </w:pPr>
          </w:p>
        </w:tc>
      </w:tr>
      <w:tr w:rsidR="008F37C6" w:rsidRPr="008F37C6" w14:paraId="68EABF4F" w14:textId="77777777" w:rsidTr="00136558">
        <w:trPr>
          <w:gridAfter w:val="1"/>
          <w:wAfter w:w="8" w:type="dxa"/>
        </w:trPr>
        <w:tc>
          <w:tcPr>
            <w:tcW w:w="1885" w:type="dxa"/>
          </w:tcPr>
          <w:p w14:paraId="03E0DD39" w14:textId="77777777" w:rsidR="006D20CF" w:rsidRPr="008F37C6" w:rsidRDefault="006D20CF" w:rsidP="00136558">
            <w:pPr>
              <w:rPr>
                <w:color w:val="4A4A4A"/>
                <w:sz w:val="20"/>
              </w:rPr>
            </w:pPr>
            <w:r w:rsidRPr="008F37C6">
              <w:rPr>
                <w:color w:val="4A4A4A"/>
                <w:sz w:val="20"/>
              </w:rPr>
              <w:t>Retail and other distribution of food</w:t>
            </w:r>
          </w:p>
        </w:tc>
        <w:tc>
          <w:tcPr>
            <w:tcW w:w="1444" w:type="dxa"/>
            <w:vMerge/>
          </w:tcPr>
          <w:p w14:paraId="64938CF3" w14:textId="77777777" w:rsidR="006D20CF" w:rsidRPr="008F37C6" w:rsidRDefault="006D20CF" w:rsidP="00136558">
            <w:pPr>
              <w:rPr>
                <w:color w:val="4A4A4A"/>
                <w:sz w:val="20"/>
              </w:rPr>
            </w:pPr>
          </w:p>
        </w:tc>
        <w:tc>
          <w:tcPr>
            <w:tcW w:w="1436" w:type="dxa"/>
            <w:vMerge/>
          </w:tcPr>
          <w:p w14:paraId="0B933DCB" w14:textId="77777777" w:rsidR="006D20CF" w:rsidRPr="008F37C6" w:rsidRDefault="006D20CF" w:rsidP="00136558">
            <w:pPr>
              <w:rPr>
                <w:color w:val="4A4A4A"/>
                <w:sz w:val="20"/>
              </w:rPr>
            </w:pPr>
          </w:p>
        </w:tc>
        <w:tc>
          <w:tcPr>
            <w:tcW w:w="1262" w:type="dxa"/>
            <w:vMerge w:val="restart"/>
          </w:tcPr>
          <w:p w14:paraId="2AB63D5C" w14:textId="77777777" w:rsidR="006D20CF" w:rsidRPr="008F37C6" w:rsidRDefault="006D20CF" w:rsidP="00136558">
            <w:pPr>
              <w:rPr>
                <w:color w:val="4A4A4A"/>
                <w:sz w:val="20"/>
              </w:rPr>
            </w:pPr>
            <w:r w:rsidRPr="008F37C6">
              <w:rPr>
                <w:color w:val="4A4A4A"/>
                <w:sz w:val="20"/>
              </w:rPr>
              <w:t>-Waste composition analysis</w:t>
            </w:r>
          </w:p>
        </w:tc>
        <w:tc>
          <w:tcPr>
            <w:tcW w:w="1888" w:type="dxa"/>
            <w:vMerge w:val="restart"/>
          </w:tcPr>
          <w:p w14:paraId="2C5CB722" w14:textId="77777777" w:rsidR="006D20CF" w:rsidRPr="008F37C6" w:rsidRDefault="006D20CF" w:rsidP="00136558">
            <w:pPr>
              <w:rPr>
                <w:color w:val="4A4A4A"/>
                <w:sz w:val="20"/>
              </w:rPr>
            </w:pPr>
            <w:r w:rsidRPr="008F37C6">
              <w:rPr>
                <w:color w:val="4A4A4A"/>
                <w:sz w:val="20"/>
              </w:rPr>
              <w:t>-Counting/ scanning</w:t>
            </w:r>
          </w:p>
        </w:tc>
        <w:tc>
          <w:tcPr>
            <w:tcW w:w="1427" w:type="dxa"/>
            <w:shd w:val="clear" w:color="auto" w:fill="BFBFBF" w:themeFill="background1" w:themeFillShade="BF"/>
          </w:tcPr>
          <w:p w14:paraId="7BEA5C7A" w14:textId="77777777" w:rsidR="006D20CF" w:rsidRPr="008F37C6" w:rsidRDefault="006D20CF" w:rsidP="00136558">
            <w:pPr>
              <w:rPr>
                <w:color w:val="4A4A4A"/>
                <w:sz w:val="20"/>
              </w:rPr>
            </w:pPr>
          </w:p>
        </w:tc>
      </w:tr>
      <w:tr w:rsidR="008F37C6" w:rsidRPr="008F37C6" w14:paraId="4FCC5B7B" w14:textId="77777777" w:rsidTr="00136558">
        <w:trPr>
          <w:gridAfter w:val="1"/>
          <w:wAfter w:w="8" w:type="dxa"/>
        </w:trPr>
        <w:tc>
          <w:tcPr>
            <w:tcW w:w="1885" w:type="dxa"/>
          </w:tcPr>
          <w:p w14:paraId="10BA37CF" w14:textId="77777777" w:rsidR="006D20CF" w:rsidRPr="008F37C6" w:rsidRDefault="006D20CF" w:rsidP="00136558">
            <w:pPr>
              <w:rPr>
                <w:color w:val="4A4A4A"/>
                <w:sz w:val="20"/>
              </w:rPr>
            </w:pPr>
            <w:r w:rsidRPr="008F37C6">
              <w:rPr>
                <w:color w:val="4A4A4A"/>
                <w:sz w:val="20"/>
              </w:rPr>
              <w:t>Restaurants and food services</w:t>
            </w:r>
          </w:p>
        </w:tc>
        <w:tc>
          <w:tcPr>
            <w:tcW w:w="1444" w:type="dxa"/>
            <w:vMerge/>
          </w:tcPr>
          <w:p w14:paraId="52FBA836" w14:textId="77777777" w:rsidR="006D20CF" w:rsidRPr="008F37C6" w:rsidRDefault="006D20CF" w:rsidP="00136558">
            <w:pPr>
              <w:rPr>
                <w:color w:val="4A4A4A"/>
                <w:sz w:val="20"/>
              </w:rPr>
            </w:pPr>
          </w:p>
        </w:tc>
        <w:tc>
          <w:tcPr>
            <w:tcW w:w="1436" w:type="dxa"/>
            <w:vMerge w:val="restart"/>
            <w:shd w:val="clear" w:color="auto" w:fill="BFBFBF" w:themeFill="background1" w:themeFillShade="BF"/>
          </w:tcPr>
          <w:p w14:paraId="1B70F94F" w14:textId="77777777" w:rsidR="006D20CF" w:rsidRPr="008F37C6" w:rsidRDefault="006D20CF" w:rsidP="00136558">
            <w:pPr>
              <w:rPr>
                <w:color w:val="4A4A4A"/>
                <w:sz w:val="20"/>
              </w:rPr>
            </w:pPr>
          </w:p>
        </w:tc>
        <w:tc>
          <w:tcPr>
            <w:tcW w:w="1262" w:type="dxa"/>
            <w:vMerge/>
          </w:tcPr>
          <w:p w14:paraId="58190F6F" w14:textId="77777777" w:rsidR="006D20CF" w:rsidRPr="008F37C6" w:rsidRDefault="006D20CF" w:rsidP="00136558">
            <w:pPr>
              <w:rPr>
                <w:color w:val="4A4A4A"/>
                <w:sz w:val="20"/>
              </w:rPr>
            </w:pPr>
          </w:p>
        </w:tc>
        <w:tc>
          <w:tcPr>
            <w:tcW w:w="1888" w:type="dxa"/>
            <w:vMerge/>
          </w:tcPr>
          <w:p w14:paraId="5471F6F4" w14:textId="77777777" w:rsidR="006D20CF" w:rsidRPr="008F37C6" w:rsidRDefault="006D20CF" w:rsidP="00136558">
            <w:pPr>
              <w:rPr>
                <w:color w:val="4A4A4A"/>
                <w:sz w:val="20"/>
              </w:rPr>
            </w:pPr>
          </w:p>
        </w:tc>
        <w:tc>
          <w:tcPr>
            <w:tcW w:w="1427" w:type="dxa"/>
            <w:vMerge w:val="restart"/>
          </w:tcPr>
          <w:p w14:paraId="331BE27B" w14:textId="77777777" w:rsidR="006D20CF" w:rsidRPr="008F37C6" w:rsidRDefault="006D20CF" w:rsidP="00136558">
            <w:pPr>
              <w:rPr>
                <w:color w:val="4A4A4A"/>
                <w:sz w:val="20"/>
              </w:rPr>
            </w:pPr>
            <w:r w:rsidRPr="008F37C6">
              <w:rPr>
                <w:color w:val="4A4A4A"/>
                <w:sz w:val="20"/>
              </w:rPr>
              <w:t>-Diaries</w:t>
            </w:r>
          </w:p>
        </w:tc>
      </w:tr>
      <w:tr w:rsidR="008F37C6" w:rsidRPr="008F37C6" w14:paraId="27FAF4FF" w14:textId="77777777" w:rsidTr="00136558">
        <w:trPr>
          <w:gridAfter w:val="1"/>
          <w:wAfter w:w="8" w:type="dxa"/>
        </w:trPr>
        <w:tc>
          <w:tcPr>
            <w:tcW w:w="1885" w:type="dxa"/>
          </w:tcPr>
          <w:p w14:paraId="6DDE4C81" w14:textId="77777777" w:rsidR="006D20CF" w:rsidRPr="008F37C6" w:rsidRDefault="006D20CF" w:rsidP="00136558">
            <w:pPr>
              <w:rPr>
                <w:color w:val="4A4A4A"/>
                <w:sz w:val="20"/>
              </w:rPr>
            </w:pPr>
            <w:r w:rsidRPr="008F37C6">
              <w:rPr>
                <w:color w:val="4A4A4A"/>
                <w:sz w:val="20"/>
              </w:rPr>
              <w:t>Households</w:t>
            </w:r>
          </w:p>
        </w:tc>
        <w:tc>
          <w:tcPr>
            <w:tcW w:w="1444" w:type="dxa"/>
            <w:vMerge/>
          </w:tcPr>
          <w:p w14:paraId="0429F45E" w14:textId="77777777" w:rsidR="006D20CF" w:rsidRPr="008F37C6" w:rsidRDefault="006D20CF" w:rsidP="00136558">
            <w:pPr>
              <w:rPr>
                <w:color w:val="4A4A4A"/>
                <w:sz w:val="20"/>
              </w:rPr>
            </w:pPr>
          </w:p>
        </w:tc>
        <w:tc>
          <w:tcPr>
            <w:tcW w:w="1436" w:type="dxa"/>
            <w:vMerge/>
            <w:shd w:val="clear" w:color="auto" w:fill="BFBFBF" w:themeFill="background1" w:themeFillShade="BF"/>
          </w:tcPr>
          <w:p w14:paraId="5890653B" w14:textId="77777777" w:rsidR="006D20CF" w:rsidRPr="008F37C6" w:rsidRDefault="006D20CF" w:rsidP="00136558">
            <w:pPr>
              <w:rPr>
                <w:color w:val="4A4A4A"/>
                <w:sz w:val="20"/>
              </w:rPr>
            </w:pPr>
          </w:p>
        </w:tc>
        <w:tc>
          <w:tcPr>
            <w:tcW w:w="1262" w:type="dxa"/>
            <w:vMerge/>
          </w:tcPr>
          <w:p w14:paraId="36887348" w14:textId="77777777" w:rsidR="006D20CF" w:rsidRPr="008F37C6" w:rsidRDefault="006D20CF" w:rsidP="00136558">
            <w:pPr>
              <w:rPr>
                <w:color w:val="4A4A4A"/>
                <w:sz w:val="20"/>
              </w:rPr>
            </w:pPr>
          </w:p>
        </w:tc>
        <w:tc>
          <w:tcPr>
            <w:tcW w:w="1888" w:type="dxa"/>
            <w:shd w:val="clear" w:color="auto" w:fill="BFBFBF" w:themeFill="background1" w:themeFillShade="BF"/>
          </w:tcPr>
          <w:p w14:paraId="2BBB6BBF" w14:textId="77777777" w:rsidR="006D20CF" w:rsidRPr="008F37C6" w:rsidRDefault="006D20CF" w:rsidP="00136558">
            <w:pPr>
              <w:rPr>
                <w:color w:val="4A4A4A"/>
                <w:sz w:val="20"/>
              </w:rPr>
            </w:pPr>
          </w:p>
        </w:tc>
        <w:tc>
          <w:tcPr>
            <w:tcW w:w="1427" w:type="dxa"/>
            <w:vMerge/>
          </w:tcPr>
          <w:p w14:paraId="50214904" w14:textId="77777777" w:rsidR="006D20CF" w:rsidRPr="008F37C6" w:rsidRDefault="006D20CF" w:rsidP="00136558">
            <w:pPr>
              <w:rPr>
                <w:color w:val="4A4A4A"/>
                <w:sz w:val="20"/>
              </w:rPr>
            </w:pPr>
          </w:p>
        </w:tc>
      </w:tr>
    </w:tbl>
    <w:p w14:paraId="6195AC9B" w14:textId="77777777" w:rsidR="006D20CF" w:rsidRDefault="006D20CF" w:rsidP="006D20CF">
      <w:pPr>
        <w:shd w:val="clear" w:color="auto" w:fill="FFFFFF"/>
        <w:spacing w:after="0"/>
        <w:rPr>
          <w:color w:val="595959" w:themeColor="text1" w:themeTint="A6"/>
        </w:rPr>
      </w:pPr>
    </w:p>
    <w:p w14:paraId="2177047D" w14:textId="77777777" w:rsidR="0097758D" w:rsidRPr="0097758D" w:rsidRDefault="0097758D" w:rsidP="0097758D">
      <w:pPr>
        <w:spacing w:after="0" w:line="240" w:lineRule="auto"/>
        <w:rPr>
          <w:rFonts w:ascii="Calibri" w:hAnsi="Calibri" w:cstheme="minorHAnsi"/>
          <w:sz w:val="20"/>
          <w:szCs w:val="20"/>
        </w:rPr>
      </w:pPr>
      <w:r w:rsidRPr="0097758D">
        <w:rPr>
          <w:rFonts w:ascii="Calibri" w:hAnsi="Calibri" w:cstheme="minorHAnsi"/>
          <w:sz w:val="20"/>
          <w:szCs w:val="20"/>
        </w:rPr>
        <w:t>The food waste index is calculated according to the following approach:</w:t>
      </w:r>
    </w:p>
    <w:p w14:paraId="6DF40281" w14:textId="77777777" w:rsidR="0097758D" w:rsidRPr="00585A92" w:rsidRDefault="0097758D" w:rsidP="00F827EB">
      <w:pPr>
        <w:spacing w:after="0" w:line="240" w:lineRule="auto"/>
        <w:ind w:left="360"/>
        <w:rPr>
          <w:rFonts w:ascii="Calibri" w:hAnsi="Calibri" w:cstheme="minorHAnsi"/>
          <w:sz w:val="20"/>
          <w:szCs w:val="20"/>
        </w:rPr>
      </w:pPr>
    </w:p>
    <w:p w14:paraId="4510F990" w14:textId="77777777" w:rsidR="0097758D" w:rsidRPr="0097758D" w:rsidRDefault="00F827EB" w:rsidP="0097758D">
      <w:pPr>
        <w:rPr>
          <w:rFonts w:ascii="Calibri" w:hAnsi="Calibri"/>
          <w:sz w:val="20"/>
          <w:szCs w:val="20"/>
        </w:rPr>
      </w:pPr>
      <m:oMathPara>
        <m:oMath>
          <m:sSub>
            <m:sSubPr>
              <m:ctrlPr>
                <w:rPr>
                  <w:rFonts w:ascii="Cambria Math" w:hAnsi="Cambria Math" w:cstheme="minorHAnsi"/>
                  <w:i/>
                  <w:sz w:val="20"/>
                  <w:szCs w:val="20"/>
                </w:rPr>
              </m:ctrlPr>
            </m:sSubPr>
            <m:e>
              <m:r>
                <w:rPr>
                  <w:rFonts w:ascii="Cambria Math" w:hAnsi="Cambria Math" w:cstheme="minorHAnsi"/>
                  <w:sz w:val="20"/>
                  <w:szCs w:val="20"/>
                </w:rPr>
                <m:t>Food waste per capita</m:t>
              </m:r>
            </m:e>
            <m:sub>
              <m:r>
                <w:rPr>
                  <w:rFonts w:ascii="Cambria Math" w:hAnsi="Cambria Math" w:cstheme="minorHAnsi"/>
                  <w:sz w:val="20"/>
                  <w:szCs w:val="20"/>
                </w:rPr>
                <m:t>t</m:t>
              </m:r>
            </m:sub>
          </m:sSub>
          <m:r>
            <w:rPr>
              <w:rFonts w:ascii="Cambria Math" w:hAnsi="Cambria Math" w:cstheme="minorHAnsi"/>
              <w:sz w:val="20"/>
              <w:szCs w:val="20"/>
            </w:rPr>
            <m:t>=</m:t>
          </m:r>
          <m:f>
            <m:fPr>
              <m:ctrlPr>
                <w:rPr>
                  <w:rFonts w:ascii="Cambria Math" w:hAnsi="Cambria Math" w:cstheme="minorHAnsi"/>
                  <w:i/>
                  <w:sz w:val="20"/>
                  <w:szCs w:val="20"/>
                </w:rPr>
              </m:ctrlPr>
            </m:fPr>
            <m:num>
              <m:sSub>
                <m:sSubPr>
                  <m:ctrlPr>
                    <w:rPr>
                      <w:rFonts w:ascii="Cambria Math" w:hAnsi="Cambria Math" w:cstheme="minorHAnsi"/>
                      <w:i/>
                      <w:sz w:val="20"/>
                      <w:szCs w:val="20"/>
                    </w:rPr>
                  </m:ctrlPr>
                </m:sSubPr>
                <m:e>
                  <m:r>
                    <w:rPr>
                      <w:rFonts w:ascii="Cambria Math" w:hAnsi="Cambria Math" w:cstheme="minorHAnsi"/>
                      <w:sz w:val="20"/>
                      <w:szCs w:val="20"/>
                    </w:rPr>
                    <m:t>Total foodwaste</m:t>
                  </m:r>
                </m:e>
                <m:sub>
                  <m:r>
                    <w:rPr>
                      <w:rFonts w:ascii="Cambria Math" w:hAnsi="Cambria Math" w:cstheme="minorHAnsi"/>
                      <w:sz w:val="20"/>
                      <w:szCs w:val="20"/>
                    </w:rPr>
                    <m:t>t</m:t>
                  </m:r>
                </m:sub>
              </m:sSub>
            </m:num>
            <m:den>
              <m:sSub>
                <m:sSubPr>
                  <m:ctrlPr>
                    <w:rPr>
                      <w:rFonts w:ascii="Cambria Math" w:hAnsi="Cambria Math" w:cstheme="minorHAnsi"/>
                      <w:i/>
                      <w:sz w:val="20"/>
                      <w:szCs w:val="20"/>
                    </w:rPr>
                  </m:ctrlPr>
                </m:sSubPr>
                <m:e>
                  <m:r>
                    <w:rPr>
                      <w:rFonts w:ascii="Cambria Math" w:hAnsi="Cambria Math" w:cstheme="minorHAnsi"/>
                      <w:sz w:val="20"/>
                      <w:szCs w:val="20"/>
                    </w:rPr>
                    <m:t>Population</m:t>
                  </m:r>
                </m:e>
                <m:sub>
                  <m:r>
                    <w:rPr>
                      <w:rFonts w:ascii="Cambria Math" w:hAnsi="Cambria Math" w:cstheme="minorHAnsi"/>
                      <w:sz w:val="20"/>
                      <w:szCs w:val="20"/>
                    </w:rPr>
                    <m:t>t</m:t>
                  </m:r>
                </m:sub>
              </m:sSub>
            </m:den>
          </m:f>
        </m:oMath>
      </m:oMathPara>
    </w:p>
    <w:p w14:paraId="538CC289" w14:textId="4C1EA1BE" w:rsidR="00585A92" w:rsidRDefault="0097758D" w:rsidP="00585A92">
      <w:pPr>
        <w:spacing w:after="0" w:line="240" w:lineRule="auto"/>
        <w:ind w:firstLine="720"/>
        <w:rPr>
          <w:rFonts w:ascii="Calibri" w:hAnsi="Calibri" w:cstheme="minorHAnsi"/>
          <w:sz w:val="20"/>
          <w:szCs w:val="20"/>
        </w:rPr>
      </w:pPr>
      <w:r w:rsidRPr="0097758D">
        <w:rPr>
          <w:rFonts w:ascii="Calibri" w:hAnsi="Calibri" w:cstheme="minorHAnsi"/>
          <w:sz w:val="20"/>
          <w:szCs w:val="20"/>
        </w:rPr>
        <w:t>where:</w:t>
      </w:r>
      <w:r w:rsidR="00585A92" w:rsidRPr="00F827EB">
        <w:rPr>
          <w:rFonts w:ascii="Calibri" w:hAnsi="Calibri" w:cstheme="minorHAnsi"/>
          <w:sz w:val="20"/>
          <w:szCs w:val="20"/>
        </w:rPr>
        <w:t xml:space="preserve"> </w:t>
      </w:r>
    </w:p>
    <w:p w14:paraId="1A17379B" w14:textId="5A0FED4A" w:rsidR="0097758D" w:rsidRPr="0097758D" w:rsidRDefault="0097758D" w:rsidP="00F827EB">
      <w:pPr>
        <w:spacing w:after="0" w:line="240" w:lineRule="auto"/>
        <w:ind w:left="720" w:firstLine="450"/>
        <w:rPr>
          <w:rFonts w:ascii="Calibri" w:hAnsi="Calibri" w:cstheme="minorHAnsi"/>
          <w:sz w:val="20"/>
          <w:szCs w:val="20"/>
        </w:rPr>
      </w:pPr>
      <w:r w:rsidRPr="00F827EB">
        <w:rPr>
          <w:rFonts w:ascii="Calibri" w:hAnsi="Calibri" w:cstheme="minorHAnsi"/>
          <w:sz w:val="20"/>
          <w:szCs w:val="20"/>
        </w:rPr>
        <w:t>t</w:t>
      </w:r>
      <w:r w:rsidRPr="0097758D">
        <w:rPr>
          <w:rFonts w:ascii="Calibri" w:hAnsi="Calibri" w:cstheme="minorHAnsi"/>
          <w:sz w:val="20"/>
          <w:szCs w:val="20"/>
        </w:rPr>
        <w:t xml:space="preserve"> = year </w:t>
      </w:r>
    </w:p>
    <w:p w14:paraId="07BCE4BE" w14:textId="77777777" w:rsidR="0097758D" w:rsidRPr="0097758D" w:rsidRDefault="0097758D" w:rsidP="00F827EB">
      <w:pPr>
        <w:spacing w:after="0" w:line="240" w:lineRule="auto"/>
        <w:ind w:left="720" w:firstLine="450"/>
        <w:rPr>
          <w:rFonts w:ascii="Calibri" w:hAnsi="Calibri" w:cstheme="minorHAnsi"/>
          <w:sz w:val="20"/>
          <w:szCs w:val="20"/>
        </w:rPr>
      </w:pPr>
      <w:r w:rsidRPr="0097758D">
        <w:rPr>
          <w:rFonts w:ascii="Calibri" w:hAnsi="Calibri" w:cstheme="minorHAnsi"/>
          <w:sz w:val="20"/>
          <w:szCs w:val="20"/>
        </w:rPr>
        <w:t xml:space="preserve">total food waste is the sum of waste in four sectors </w:t>
      </w:r>
      <w:proofErr w:type="gramStart"/>
      <w:r w:rsidRPr="0097758D">
        <w:rPr>
          <w:rFonts w:ascii="Calibri" w:hAnsi="Calibri" w:cstheme="minorHAnsi"/>
          <w:sz w:val="20"/>
          <w:szCs w:val="20"/>
        </w:rPr>
        <w:t>in a given year</w:t>
      </w:r>
      <w:proofErr w:type="gramEnd"/>
      <w:r w:rsidRPr="00F827EB">
        <w:rPr>
          <w:rFonts w:ascii="Calibri" w:hAnsi="Calibri" w:cstheme="minorHAnsi"/>
          <w:sz w:val="20"/>
          <w:szCs w:val="20"/>
        </w:rPr>
        <w:t xml:space="preserve"> </w:t>
      </w:r>
      <w:r w:rsidRPr="0097758D">
        <w:rPr>
          <w:rFonts w:ascii="Calibri" w:hAnsi="Calibri" w:cstheme="minorHAnsi"/>
          <w:sz w:val="20"/>
          <w:szCs w:val="20"/>
        </w:rPr>
        <w:t>as per the formula below:</w:t>
      </w:r>
    </w:p>
    <w:p w14:paraId="749FFFAC" w14:textId="77777777" w:rsidR="0097758D" w:rsidRPr="0097758D" w:rsidRDefault="0097758D" w:rsidP="00F827EB">
      <w:pPr>
        <w:spacing w:after="0" w:line="240" w:lineRule="auto"/>
        <w:ind w:left="720" w:firstLine="450"/>
        <w:rPr>
          <w:rFonts w:ascii="Calibri" w:hAnsi="Calibri" w:cstheme="minorHAnsi"/>
          <w:sz w:val="20"/>
          <w:szCs w:val="20"/>
        </w:rPr>
      </w:pPr>
    </w:p>
    <w:p w14:paraId="39206198" w14:textId="6006BF90" w:rsidR="0097758D" w:rsidRPr="0097758D" w:rsidRDefault="00F827EB" w:rsidP="0097758D">
      <w:pPr>
        <w:rPr>
          <w:rFonts w:ascii="Calibri" w:hAnsi="Calibri" w:cstheme="minorHAnsi"/>
          <w:sz w:val="20"/>
          <w:szCs w:val="20"/>
        </w:rPr>
      </w:pPr>
      <m:oMathPara>
        <m:oMath>
          <m:sSub>
            <m:sSubPr>
              <m:ctrlPr>
                <w:rPr>
                  <w:rFonts w:ascii="Cambria Math" w:hAnsi="Cambria Math" w:cstheme="minorHAnsi"/>
                  <w:i/>
                  <w:sz w:val="20"/>
                  <w:szCs w:val="20"/>
                </w:rPr>
              </m:ctrlPr>
            </m:sSubPr>
            <m:e>
              <m:r>
                <w:rPr>
                  <w:rFonts w:ascii="Cambria Math" w:hAnsi="Cambria Math" w:cstheme="minorHAnsi"/>
                  <w:sz w:val="20"/>
                  <w:szCs w:val="20"/>
                </w:rPr>
                <m:t>Total food waste</m:t>
              </m:r>
            </m:e>
            <m:sub>
              <m:r>
                <w:rPr>
                  <w:rFonts w:ascii="Cambria Math" w:hAnsi="Cambria Math" w:cstheme="minorHAnsi"/>
                  <w:sz w:val="20"/>
                  <w:szCs w:val="20"/>
                </w:rPr>
                <m:t>t</m:t>
              </m:r>
            </m:sub>
          </m:sSub>
          <m:r>
            <w:rPr>
              <w:rFonts w:ascii="Cambria Math" w:hAnsi="Cambria Math" w:cstheme="minorHAnsi"/>
              <w:sz w:val="20"/>
              <w:szCs w:val="20"/>
            </w:rPr>
            <m:t xml:space="preserve">= </m:t>
          </m:r>
          <m:sSub>
            <m:sSubPr>
              <m:ctrlPr>
                <w:rPr>
                  <w:rFonts w:ascii="Cambria Math" w:hAnsi="Cambria Math" w:cstheme="minorHAnsi"/>
                  <w:i/>
                  <w:sz w:val="20"/>
                  <w:szCs w:val="20"/>
                </w:rPr>
              </m:ctrlPr>
            </m:sSubPr>
            <m:e>
              <m:r>
                <w:rPr>
                  <w:rFonts w:ascii="Cambria Math" w:hAnsi="Cambria Math" w:cstheme="minorHAnsi"/>
                  <w:sz w:val="20"/>
                  <w:szCs w:val="20"/>
                </w:rPr>
                <m:t>FW</m:t>
              </m:r>
            </m:e>
            <m:sub>
              <m:sSub>
                <m:sSubPr>
                  <m:ctrlPr>
                    <w:rPr>
                      <w:rFonts w:ascii="Cambria Math" w:hAnsi="Cambria Math" w:cstheme="minorHAnsi"/>
                      <w:i/>
                      <w:sz w:val="20"/>
                      <w:szCs w:val="20"/>
                    </w:rPr>
                  </m:ctrlPr>
                </m:sSubPr>
                <m:e>
                  <m:r>
                    <w:rPr>
                      <w:rFonts w:ascii="Cambria Math" w:hAnsi="Cambria Math" w:cstheme="minorHAnsi"/>
                      <w:sz w:val="20"/>
                      <w:szCs w:val="20"/>
                    </w:rPr>
                    <m:t>in households</m:t>
                  </m:r>
                </m:e>
                <m:sub>
                  <m:r>
                    <w:rPr>
                      <w:rFonts w:ascii="Cambria Math" w:hAnsi="Cambria Math" w:cstheme="minorHAnsi"/>
                      <w:sz w:val="20"/>
                      <w:szCs w:val="20"/>
                    </w:rPr>
                    <m:t>t</m:t>
                  </m:r>
                </m:sub>
              </m:sSub>
              <m:r>
                <w:rPr>
                  <w:rFonts w:ascii="Cambria Math" w:hAnsi="Cambria Math" w:cstheme="minorHAnsi"/>
                  <w:sz w:val="20"/>
                  <w:szCs w:val="20"/>
                </w:rPr>
                <m:t xml:space="preserve"> </m:t>
              </m:r>
            </m:sub>
          </m:sSub>
          <m:r>
            <w:rPr>
              <w:rFonts w:ascii="Cambria Math" w:hAnsi="Cambria Math" w:cstheme="minorHAnsi"/>
              <w:sz w:val="20"/>
              <w:szCs w:val="20"/>
            </w:rPr>
            <m:t xml:space="preserve">+ </m:t>
          </m:r>
          <m:sSub>
            <m:sSubPr>
              <m:ctrlPr>
                <w:rPr>
                  <w:rFonts w:ascii="Cambria Math" w:hAnsi="Cambria Math" w:cstheme="minorHAnsi"/>
                  <w:i/>
                  <w:sz w:val="20"/>
                  <w:szCs w:val="20"/>
                </w:rPr>
              </m:ctrlPr>
            </m:sSubPr>
            <m:e>
              <m:r>
                <w:rPr>
                  <w:rFonts w:ascii="Cambria Math" w:hAnsi="Cambria Math" w:cstheme="minorHAnsi"/>
                  <w:sz w:val="20"/>
                  <w:szCs w:val="20"/>
                </w:rPr>
                <m:t>FW</m:t>
              </m:r>
            </m:e>
            <m:sub>
              <m:sSub>
                <m:sSubPr>
                  <m:ctrlPr>
                    <w:rPr>
                      <w:rFonts w:ascii="Cambria Math" w:hAnsi="Cambria Math" w:cstheme="minorHAnsi"/>
                      <w:i/>
                      <w:sz w:val="20"/>
                      <w:szCs w:val="20"/>
                    </w:rPr>
                  </m:ctrlPr>
                </m:sSubPr>
                <m:e>
                  <m:r>
                    <w:rPr>
                      <w:rFonts w:ascii="Cambria Math" w:hAnsi="Cambria Math" w:cstheme="minorHAnsi"/>
                      <w:sz w:val="20"/>
                      <w:szCs w:val="20"/>
                    </w:rPr>
                    <m:t xml:space="preserve">Restaurants and food services </m:t>
                  </m:r>
                </m:e>
                <m:sub>
                  <m:r>
                    <w:rPr>
                      <w:rFonts w:ascii="Cambria Math" w:hAnsi="Cambria Math" w:cstheme="minorHAnsi"/>
                      <w:sz w:val="20"/>
                      <w:szCs w:val="20"/>
                    </w:rPr>
                    <m:t>t</m:t>
                  </m:r>
                </m:sub>
              </m:sSub>
            </m:sub>
          </m:sSub>
          <m:r>
            <w:rPr>
              <w:rFonts w:ascii="Cambria Math" w:hAnsi="Cambria Math" w:cstheme="minorHAnsi"/>
              <w:sz w:val="20"/>
              <w:szCs w:val="20"/>
            </w:rPr>
            <m:t xml:space="preserve">+ </m:t>
          </m:r>
          <m:sSub>
            <m:sSubPr>
              <m:ctrlPr>
                <w:rPr>
                  <w:rFonts w:ascii="Cambria Math" w:hAnsi="Cambria Math" w:cstheme="minorHAnsi"/>
                  <w:i/>
                  <w:sz w:val="20"/>
                  <w:szCs w:val="20"/>
                </w:rPr>
              </m:ctrlPr>
            </m:sSubPr>
            <m:e>
              <m:r>
                <w:rPr>
                  <w:rFonts w:ascii="Cambria Math" w:hAnsi="Cambria Math" w:cstheme="minorHAnsi"/>
                  <w:sz w:val="20"/>
                  <w:szCs w:val="20"/>
                </w:rPr>
                <m:t>FW</m:t>
              </m:r>
            </m:e>
            <m:sub>
              <m:sSub>
                <m:sSubPr>
                  <m:ctrlPr>
                    <w:rPr>
                      <w:rFonts w:ascii="Cambria Math" w:hAnsi="Cambria Math" w:cstheme="minorHAnsi"/>
                      <w:i/>
                      <w:sz w:val="20"/>
                      <w:szCs w:val="20"/>
                    </w:rPr>
                  </m:ctrlPr>
                </m:sSubPr>
                <m:e>
                  <m:r>
                    <w:rPr>
                      <w:rFonts w:ascii="Cambria Math" w:hAnsi="Cambria Math" w:cstheme="minorHAnsi"/>
                      <w:sz w:val="20"/>
                      <w:szCs w:val="20"/>
                    </w:rPr>
                    <m:t>Retail</m:t>
                  </m:r>
                </m:e>
                <m:sub>
                  <m:r>
                    <w:rPr>
                      <w:rFonts w:ascii="Cambria Math" w:hAnsi="Cambria Math" w:cstheme="minorHAnsi"/>
                      <w:sz w:val="20"/>
                      <w:szCs w:val="20"/>
                    </w:rPr>
                    <m:t>t</m:t>
                  </m:r>
                </m:sub>
              </m:sSub>
            </m:sub>
          </m:sSub>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FW</m:t>
              </m:r>
            </m:e>
            <m:sub>
              <m:sSub>
                <m:sSubPr>
                  <m:ctrlPr>
                    <w:rPr>
                      <w:rFonts w:ascii="Cambria Math" w:hAnsi="Cambria Math" w:cstheme="minorHAnsi"/>
                      <w:i/>
                      <w:sz w:val="20"/>
                      <w:szCs w:val="20"/>
                    </w:rPr>
                  </m:ctrlPr>
                </m:sSubPr>
                <m:e>
                  <m:r>
                    <w:rPr>
                      <w:rFonts w:ascii="Cambria Math" w:hAnsi="Cambria Math" w:cstheme="minorHAnsi"/>
                      <w:sz w:val="20"/>
                      <w:szCs w:val="20"/>
                    </w:rPr>
                    <m:t>Manufacture</m:t>
                  </m:r>
                </m:e>
                <m:sub>
                  <m:r>
                    <w:rPr>
                      <w:rFonts w:ascii="Cambria Math" w:hAnsi="Cambria Math" w:cstheme="minorHAnsi"/>
                      <w:sz w:val="20"/>
                      <w:szCs w:val="20"/>
                    </w:rPr>
                    <m:t>t</m:t>
                  </m:r>
                </m:sub>
              </m:sSub>
            </m:sub>
          </m:sSub>
        </m:oMath>
      </m:oMathPara>
    </w:p>
    <w:p w14:paraId="45167CE8" w14:textId="77777777" w:rsidR="00585A92" w:rsidRDefault="00585A92" w:rsidP="0097758D">
      <w:pPr>
        <w:spacing w:after="0" w:line="240" w:lineRule="auto"/>
        <w:rPr>
          <w:rFonts w:ascii="Calibri" w:hAnsi="Calibri" w:cstheme="minorHAnsi"/>
          <w:sz w:val="20"/>
          <w:szCs w:val="20"/>
        </w:rPr>
      </w:pPr>
    </w:p>
    <w:p w14:paraId="62ECABBD" w14:textId="72A87ED4" w:rsidR="0097758D" w:rsidRPr="0097758D" w:rsidRDefault="0097758D" w:rsidP="0097758D">
      <w:pPr>
        <w:spacing w:after="0" w:line="240" w:lineRule="auto"/>
        <w:rPr>
          <w:rFonts w:ascii="Calibri" w:hAnsi="Calibri" w:cstheme="minorHAnsi"/>
          <w:sz w:val="20"/>
          <w:szCs w:val="20"/>
        </w:rPr>
      </w:pPr>
      <w:r w:rsidRPr="0097758D">
        <w:rPr>
          <w:rFonts w:ascii="Calibri" w:hAnsi="Calibri" w:cstheme="minorHAnsi"/>
          <w:sz w:val="20"/>
          <w:szCs w:val="20"/>
        </w:rPr>
        <w:t>The Food Waste Index for the year in question is then calculated as food waste per capita in that year divided by food waste per capita in a baseline year (</w:t>
      </w:r>
      <w:r w:rsidRPr="0097758D">
        <w:rPr>
          <w:rFonts w:ascii="Calibri" w:hAnsi="Calibri" w:cstheme="minorHAnsi"/>
          <w:i/>
          <w:iCs/>
          <w:sz w:val="20"/>
          <w:szCs w:val="20"/>
        </w:rPr>
        <w:t>t</w:t>
      </w:r>
      <w:r w:rsidRPr="0097758D">
        <w:rPr>
          <w:rFonts w:ascii="Calibri" w:hAnsi="Calibri" w:cstheme="minorHAnsi"/>
          <w:i/>
          <w:iCs/>
          <w:sz w:val="20"/>
          <w:szCs w:val="20"/>
          <w:vertAlign w:val="subscript"/>
        </w:rPr>
        <w:t>0</w:t>
      </w:r>
      <w:r w:rsidRPr="0097758D">
        <w:rPr>
          <w:rFonts w:ascii="Calibri" w:hAnsi="Calibri" w:cstheme="minorHAnsi"/>
          <w:sz w:val="20"/>
          <w:szCs w:val="20"/>
        </w:rPr>
        <w:t>) multiplied by 100 to express the result as a percentage:</w:t>
      </w:r>
    </w:p>
    <w:p w14:paraId="2C856008" w14:textId="77777777" w:rsidR="0097758D" w:rsidRPr="0097758D" w:rsidRDefault="0097758D" w:rsidP="00F827EB">
      <w:pPr>
        <w:spacing w:after="0" w:line="240" w:lineRule="auto"/>
        <w:ind w:left="360"/>
        <w:rPr>
          <w:rFonts w:ascii="Calibri" w:hAnsi="Calibri" w:cstheme="minorHAnsi"/>
          <w:sz w:val="20"/>
          <w:szCs w:val="20"/>
        </w:rPr>
      </w:pPr>
    </w:p>
    <w:p w14:paraId="6A89839E" w14:textId="4027CC67" w:rsidR="00576CFA" w:rsidRPr="0097758D" w:rsidRDefault="00F827EB" w:rsidP="0097758D">
      <w:pPr>
        <w:rPr>
          <w:rFonts w:ascii="Calibri" w:hAnsi="Calibri" w:cstheme="minorHAnsi"/>
          <w:sz w:val="20"/>
          <w:szCs w:val="20"/>
        </w:rPr>
      </w:pPr>
      <m:oMathPara>
        <m:oMath>
          <m:sSub>
            <m:sSubPr>
              <m:ctrlPr>
                <w:rPr>
                  <w:rFonts w:ascii="Cambria Math" w:hAnsi="Cambria Math" w:cstheme="minorHAnsi"/>
                  <w:i/>
                  <w:sz w:val="20"/>
                  <w:szCs w:val="20"/>
                </w:rPr>
              </m:ctrlPr>
            </m:sSubPr>
            <m:e>
              <m:r>
                <w:rPr>
                  <w:rFonts w:ascii="Cambria Math" w:hAnsi="Cambria Math" w:cstheme="minorHAnsi"/>
                  <w:sz w:val="20"/>
                  <w:szCs w:val="20"/>
                </w:rPr>
                <m:t>Food Waste Index</m:t>
              </m:r>
            </m:e>
            <m:sub>
              <m:r>
                <w:rPr>
                  <w:rFonts w:ascii="Cambria Math" w:hAnsi="Cambria Math" w:cstheme="minorHAnsi"/>
                  <w:sz w:val="20"/>
                  <w:szCs w:val="20"/>
                </w:rPr>
                <m:t>t</m:t>
              </m:r>
            </m:sub>
          </m:sSub>
          <m:r>
            <w:rPr>
              <w:rFonts w:ascii="Cambria Math" w:hAnsi="Cambria Math" w:cstheme="minorHAnsi"/>
              <w:sz w:val="20"/>
              <w:szCs w:val="20"/>
            </w:rPr>
            <m:t xml:space="preserve">= </m:t>
          </m:r>
          <m:f>
            <m:fPr>
              <m:ctrlPr>
                <w:rPr>
                  <w:rFonts w:ascii="Cambria Math" w:hAnsi="Cambria Math" w:cstheme="minorHAnsi"/>
                  <w:i/>
                  <w:sz w:val="20"/>
                  <w:szCs w:val="20"/>
                </w:rPr>
              </m:ctrlPr>
            </m:fPr>
            <m:num>
              <m:sSub>
                <m:sSubPr>
                  <m:ctrlPr>
                    <w:rPr>
                      <w:rFonts w:ascii="Cambria Math" w:hAnsi="Cambria Math" w:cstheme="minorHAnsi"/>
                      <w:i/>
                      <w:sz w:val="20"/>
                      <w:szCs w:val="20"/>
                    </w:rPr>
                  </m:ctrlPr>
                </m:sSubPr>
                <m:e>
                  <m:r>
                    <w:rPr>
                      <w:rFonts w:ascii="Cambria Math" w:hAnsi="Cambria Math" w:cstheme="minorHAnsi"/>
                      <w:sz w:val="20"/>
                      <w:szCs w:val="20"/>
                    </w:rPr>
                    <m:t>Food waste per capita</m:t>
                  </m:r>
                </m:e>
                <m:sub>
                  <m:r>
                    <w:rPr>
                      <w:rFonts w:ascii="Cambria Math" w:hAnsi="Cambria Math" w:cstheme="minorHAnsi"/>
                      <w:sz w:val="20"/>
                      <w:szCs w:val="20"/>
                    </w:rPr>
                    <m:t>t</m:t>
                  </m:r>
                </m:sub>
              </m:sSub>
              <m:r>
                <w:rPr>
                  <w:rFonts w:ascii="Cambria Math" w:hAnsi="Cambria Math" w:cstheme="minorHAnsi"/>
                  <w:sz w:val="20"/>
                  <w:szCs w:val="20"/>
                </w:rPr>
                <m:t xml:space="preserve"> </m:t>
              </m:r>
            </m:num>
            <m:den>
              <m:sSub>
                <m:sSubPr>
                  <m:ctrlPr>
                    <w:rPr>
                      <w:rFonts w:ascii="Cambria Math" w:hAnsi="Cambria Math" w:cstheme="minorHAnsi"/>
                      <w:i/>
                      <w:sz w:val="20"/>
                      <w:szCs w:val="20"/>
                    </w:rPr>
                  </m:ctrlPr>
                </m:sSubPr>
                <m:e>
                  <m:r>
                    <w:rPr>
                      <w:rFonts w:ascii="Cambria Math" w:hAnsi="Cambria Math" w:cstheme="minorHAnsi"/>
                      <w:sz w:val="20"/>
                      <w:szCs w:val="20"/>
                    </w:rPr>
                    <m:t>Food waste per capita</m:t>
                  </m:r>
                </m:e>
                <m:sub>
                  <m:sSub>
                    <m:sSubPr>
                      <m:ctrlPr>
                        <w:rPr>
                          <w:rFonts w:ascii="Cambria Math" w:hAnsi="Cambria Math" w:cstheme="minorHAnsi"/>
                          <w:i/>
                          <w:sz w:val="20"/>
                          <w:szCs w:val="20"/>
                        </w:rPr>
                      </m:ctrlPr>
                    </m:sSubPr>
                    <m:e>
                      <m:r>
                        <w:rPr>
                          <w:rFonts w:ascii="Cambria Math" w:hAnsi="Cambria Math" w:cstheme="minorHAnsi"/>
                          <w:sz w:val="20"/>
                          <w:szCs w:val="20"/>
                        </w:rPr>
                        <m:t>t</m:t>
                      </m:r>
                    </m:e>
                    <m:sub>
                      <m:r>
                        <w:rPr>
                          <w:rFonts w:ascii="Cambria Math" w:hAnsi="Cambria Math" w:cstheme="minorHAnsi"/>
                          <w:sz w:val="20"/>
                          <w:szCs w:val="20"/>
                        </w:rPr>
                        <m:t>0</m:t>
                      </m:r>
                    </m:sub>
                  </m:sSub>
                </m:sub>
              </m:sSub>
            </m:den>
          </m:f>
          <m:r>
            <w:rPr>
              <w:rFonts w:ascii="Cambria Math" w:hAnsi="Cambria Math" w:cstheme="minorHAnsi"/>
              <w:sz w:val="20"/>
              <w:szCs w:val="20"/>
            </w:rPr>
            <m:t xml:space="preserve"> × 100</m:t>
          </m:r>
        </m:oMath>
      </m:oMathPara>
    </w:p>
    <w:p w14:paraId="61BCA7AE" w14:textId="77777777" w:rsidR="006749DD" w:rsidRPr="006749DD" w:rsidRDefault="006749DD" w:rsidP="006749DD">
      <w:pPr>
        <w:spacing w:after="0" w:line="240" w:lineRule="auto"/>
        <w:rPr>
          <w:rFonts w:ascii="Calibri" w:hAnsi="Calibri" w:cstheme="minorHAnsi"/>
          <w:sz w:val="20"/>
          <w:szCs w:val="20"/>
        </w:rPr>
      </w:pPr>
      <w:r w:rsidRPr="006749DD">
        <w:rPr>
          <w:rFonts w:ascii="Calibri" w:hAnsi="Calibri" w:cstheme="minorHAnsi"/>
          <w:sz w:val="20"/>
          <w:szCs w:val="20"/>
        </w:rPr>
        <w:t>In countries where it is not possible to obtain the detailed data necessary to estimate total food waste using the formula above, a simplified approach to calculating food waste per capita may be taken:</w:t>
      </w:r>
    </w:p>
    <w:p w14:paraId="1D79A876" w14:textId="77777777" w:rsidR="006749DD" w:rsidRPr="006749DD" w:rsidRDefault="006749DD" w:rsidP="006749DD">
      <w:pPr>
        <w:rPr>
          <w:rFonts w:ascii="Calibri" w:hAnsi="Calibri" w:cstheme="minorHAnsi"/>
          <w:sz w:val="20"/>
          <w:szCs w:val="20"/>
        </w:rPr>
      </w:pPr>
    </w:p>
    <w:p w14:paraId="5F408012" w14:textId="77777777" w:rsidR="006749DD" w:rsidRPr="006749DD" w:rsidRDefault="00F827EB" w:rsidP="006749DD">
      <w:pPr>
        <w:ind w:left="360"/>
        <w:rPr>
          <w:rFonts w:ascii="Calibri" w:hAnsi="Calibri" w:cstheme="minorHAnsi"/>
          <w:sz w:val="20"/>
          <w:szCs w:val="20"/>
        </w:rPr>
      </w:pPr>
      <m:oMathPara>
        <m:oMath>
          <m:sSub>
            <m:sSubPr>
              <m:ctrlPr>
                <w:rPr>
                  <w:rFonts w:ascii="Cambria Math" w:hAnsi="Cambria Math" w:cstheme="minorHAnsi"/>
                  <w:i/>
                  <w:sz w:val="20"/>
                  <w:szCs w:val="20"/>
                </w:rPr>
              </m:ctrlPr>
            </m:sSubPr>
            <m:e>
              <m:r>
                <w:rPr>
                  <w:rFonts w:ascii="Cambria Math" w:hAnsi="Cambria Math" w:cstheme="minorHAnsi"/>
                  <w:sz w:val="20"/>
                  <w:szCs w:val="20"/>
                </w:rPr>
                <m:t>Food waste per capita</m:t>
              </m:r>
            </m:e>
            <m:sub>
              <m:sSub>
                <m:sSubPr>
                  <m:ctrlPr>
                    <w:rPr>
                      <w:rFonts w:ascii="Cambria Math" w:hAnsi="Cambria Math" w:cstheme="minorHAnsi"/>
                      <w:i/>
                      <w:sz w:val="20"/>
                      <w:szCs w:val="20"/>
                    </w:rPr>
                  </m:ctrlPr>
                </m:sSubPr>
                <m:e>
                  <m:r>
                    <w:rPr>
                      <w:rFonts w:ascii="Cambria Math" w:hAnsi="Cambria Math" w:cstheme="minorHAnsi"/>
                      <w:sz w:val="20"/>
                      <w:szCs w:val="20"/>
                    </w:rPr>
                    <m:t>t</m:t>
                  </m:r>
                </m:e>
                <m:sub>
                  <m:r>
                    <w:rPr>
                      <w:rFonts w:ascii="Cambria Math" w:hAnsi="Cambria Math" w:cstheme="minorHAnsi"/>
                      <w:sz w:val="20"/>
                      <w:szCs w:val="20"/>
                    </w:rPr>
                    <m:t>simp</m:t>
                  </m:r>
                </m:sub>
              </m:sSub>
            </m:sub>
          </m:sSub>
          <m:r>
            <w:rPr>
              <w:rFonts w:ascii="Cambria Math" w:hAnsi="Cambria Math" w:cstheme="minorHAnsi"/>
              <w:sz w:val="20"/>
              <w:szCs w:val="20"/>
            </w:rPr>
            <m:t>=</m:t>
          </m:r>
          <m:f>
            <m:fPr>
              <m:ctrlPr>
                <w:rPr>
                  <w:rFonts w:ascii="Cambria Math" w:hAnsi="Cambria Math" w:cstheme="minorHAnsi"/>
                  <w:i/>
                  <w:sz w:val="20"/>
                  <w:szCs w:val="20"/>
                </w:rPr>
              </m:ctrlPr>
            </m:fPr>
            <m:num>
              <m:sSub>
                <m:sSubPr>
                  <m:ctrlPr>
                    <w:rPr>
                      <w:rFonts w:ascii="Cambria Math" w:hAnsi="Cambria Math" w:cstheme="minorHAnsi"/>
                      <w:i/>
                      <w:sz w:val="20"/>
                      <w:szCs w:val="20"/>
                    </w:rPr>
                  </m:ctrlPr>
                </m:sSubPr>
                <m:e>
                  <m:r>
                    <w:rPr>
                      <w:rFonts w:ascii="Cambria Math" w:hAnsi="Cambria Math" w:cstheme="minorHAnsi"/>
                      <w:sz w:val="20"/>
                      <w:szCs w:val="20"/>
                    </w:rPr>
                    <m:t>MS</m:t>
                  </m:r>
                  <m:r>
                    <w:rPr>
                      <w:rFonts w:ascii="Calibri" w:hAnsi="Calibri" w:cstheme="minorHAnsi"/>
                      <w:sz w:val="20"/>
                      <w:szCs w:val="20"/>
                    </w:rPr>
                    <m:t>W</m:t>
                  </m:r>
                  <m:r>
                    <w:rPr>
                      <w:rFonts w:ascii="Cambria Math" w:hAnsi="Cambria Math" w:cstheme="minorHAnsi"/>
                      <w:sz w:val="20"/>
                      <w:szCs w:val="20"/>
                    </w:rPr>
                    <m:t xml:space="preserve"> generated</m:t>
                  </m:r>
                </m:e>
                <m:sub>
                  <m:r>
                    <w:rPr>
                      <w:rFonts w:ascii="Cambria Math" w:hAnsi="Cambria Math" w:cstheme="minorHAnsi"/>
                      <w:sz w:val="20"/>
                      <w:szCs w:val="20"/>
                    </w:rPr>
                    <m:t>t</m:t>
                  </m:r>
                </m:sub>
              </m:sSub>
              <m:r>
                <w:rPr>
                  <w:rFonts w:ascii="Cambria Math" w:hAnsi="Cambria Math" w:cstheme="minorHAnsi"/>
                  <w:sz w:val="20"/>
                  <w:szCs w:val="20"/>
                </w:rPr>
                <m:t xml:space="preserve"> × </m:t>
              </m:r>
              <m:sSub>
                <m:sSubPr>
                  <m:ctrlPr>
                    <w:rPr>
                      <w:rFonts w:ascii="Cambria Math" w:hAnsi="Cambria Math" w:cstheme="minorHAnsi"/>
                      <w:i/>
                      <w:sz w:val="20"/>
                      <w:szCs w:val="20"/>
                    </w:rPr>
                  </m:ctrlPr>
                </m:sSubPr>
                <m:e>
                  <m:r>
                    <w:rPr>
                      <w:rFonts w:ascii="Cambria Math" w:hAnsi="Cambria Math" w:cstheme="minorHAnsi"/>
                      <w:sz w:val="20"/>
                      <w:szCs w:val="20"/>
                    </w:rPr>
                    <m:t>Share of food waste</m:t>
                  </m:r>
                </m:e>
                <m:sub>
                  <m:r>
                    <w:rPr>
                      <w:rFonts w:ascii="Cambria Math" w:hAnsi="Cambria Math" w:cstheme="minorHAnsi"/>
                      <w:sz w:val="20"/>
                      <w:szCs w:val="20"/>
                    </w:rPr>
                    <m:t>t</m:t>
                  </m:r>
                </m:sub>
              </m:sSub>
            </m:num>
            <m:den>
              <m:sSub>
                <m:sSubPr>
                  <m:ctrlPr>
                    <w:rPr>
                      <w:rFonts w:ascii="Cambria Math" w:hAnsi="Cambria Math" w:cstheme="minorHAnsi"/>
                      <w:i/>
                      <w:sz w:val="20"/>
                      <w:szCs w:val="20"/>
                    </w:rPr>
                  </m:ctrlPr>
                </m:sSubPr>
                <m:e>
                  <m:r>
                    <w:rPr>
                      <w:rFonts w:ascii="Cambria Math" w:hAnsi="Cambria Math" w:cstheme="minorHAnsi"/>
                      <w:sz w:val="20"/>
                      <w:szCs w:val="20"/>
                    </w:rPr>
                    <m:t>Population</m:t>
                  </m:r>
                </m:e>
                <m:sub>
                  <m:r>
                    <w:rPr>
                      <w:rFonts w:ascii="Cambria Math" w:hAnsi="Cambria Math" w:cstheme="minorHAnsi"/>
                      <w:sz w:val="20"/>
                      <w:szCs w:val="20"/>
                    </w:rPr>
                    <m:t>t</m:t>
                  </m:r>
                </m:sub>
              </m:sSub>
            </m:den>
          </m:f>
        </m:oMath>
      </m:oMathPara>
    </w:p>
    <w:p w14:paraId="2956F843" w14:textId="3A277E98" w:rsidR="006749DD" w:rsidRPr="006749DD" w:rsidRDefault="006749DD" w:rsidP="00F827EB">
      <w:pPr>
        <w:spacing w:after="0" w:line="240" w:lineRule="auto"/>
        <w:ind w:left="360"/>
        <w:rPr>
          <w:rFonts w:ascii="Calibri" w:hAnsi="Calibri" w:cstheme="minorHAnsi"/>
          <w:sz w:val="20"/>
          <w:szCs w:val="20"/>
        </w:rPr>
      </w:pPr>
      <w:r w:rsidRPr="006749DD">
        <w:rPr>
          <w:rFonts w:ascii="Calibri" w:hAnsi="Calibri" w:cstheme="minorHAnsi"/>
          <w:sz w:val="20"/>
          <w:szCs w:val="20"/>
        </w:rPr>
        <w:lastRenderedPageBreak/>
        <w:t>where:</w:t>
      </w:r>
    </w:p>
    <w:p w14:paraId="087EEA20" w14:textId="77777777" w:rsidR="006749DD" w:rsidRPr="006749DD" w:rsidRDefault="006749DD" w:rsidP="00F827EB">
      <w:pPr>
        <w:spacing w:after="0" w:line="240" w:lineRule="auto"/>
        <w:ind w:left="360" w:firstLine="360"/>
        <w:rPr>
          <w:rFonts w:ascii="Calibri" w:hAnsi="Calibri" w:cstheme="minorHAnsi"/>
          <w:sz w:val="20"/>
          <w:szCs w:val="20"/>
        </w:rPr>
      </w:pPr>
      <w:r w:rsidRPr="006749DD">
        <w:rPr>
          <w:rFonts w:ascii="Calibri" w:hAnsi="Calibri" w:cstheme="minorHAnsi"/>
          <w:i/>
          <w:iCs/>
          <w:sz w:val="20"/>
          <w:szCs w:val="20"/>
        </w:rPr>
        <w:t>t</w:t>
      </w:r>
      <w:r w:rsidRPr="006749DD">
        <w:rPr>
          <w:rFonts w:ascii="Calibri" w:hAnsi="Calibri" w:cstheme="minorHAnsi"/>
          <w:sz w:val="20"/>
          <w:szCs w:val="20"/>
        </w:rPr>
        <w:t xml:space="preserve"> = year</w:t>
      </w:r>
    </w:p>
    <w:p w14:paraId="07E8818E" w14:textId="77777777" w:rsidR="006749DD" w:rsidRPr="006749DD" w:rsidRDefault="00F827EB" w:rsidP="00F827EB">
      <w:pPr>
        <w:spacing w:after="0" w:line="240" w:lineRule="auto"/>
        <w:ind w:left="720"/>
        <w:rPr>
          <w:rFonts w:ascii="Calibri" w:hAnsi="Calibri" w:cstheme="minorHAnsi"/>
          <w:sz w:val="20"/>
          <w:szCs w:val="20"/>
        </w:rPr>
      </w:pPr>
      <m:oMath>
        <m:sSub>
          <m:sSubPr>
            <m:ctrlPr>
              <w:rPr>
                <w:rFonts w:ascii="Cambria Math" w:hAnsi="Cambria Math" w:cstheme="minorHAnsi"/>
                <w:i/>
                <w:sz w:val="20"/>
                <w:szCs w:val="20"/>
              </w:rPr>
            </m:ctrlPr>
          </m:sSubPr>
          <m:e>
            <m:r>
              <w:rPr>
                <w:rFonts w:ascii="Cambria Math" w:hAnsi="Cambria Math" w:cstheme="minorHAnsi"/>
                <w:sz w:val="20"/>
                <w:szCs w:val="20"/>
              </w:rPr>
              <m:t>MSW generated</m:t>
            </m:r>
          </m:e>
          <m:sub>
            <m:r>
              <w:rPr>
                <w:rFonts w:ascii="Cambria Math" w:hAnsi="Cambria Math" w:cstheme="minorHAnsi"/>
                <w:sz w:val="20"/>
                <w:szCs w:val="20"/>
              </w:rPr>
              <m:t>t</m:t>
            </m:r>
          </m:sub>
        </m:sSub>
      </m:oMath>
      <w:r w:rsidR="006749DD" w:rsidRPr="006749DD">
        <w:rPr>
          <w:rFonts w:ascii="Calibri" w:hAnsi="Calibri" w:cstheme="minorHAnsi"/>
          <w:sz w:val="20"/>
          <w:szCs w:val="20"/>
        </w:rPr>
        <w:t xml:space="preserve"> is total municipal solid waste generated </w:t>
      </w:r>
      <w:proofErr w:type="gramStart"/>
      <w:r w:rsidR="006749DD" w:rsidRPr="006749DD">
        <w:rPr>
          <w:rFonts w:ascii="Calibri" w:hAnsi="Calibri" w:cstheme="minorHAnsi"/>
          <w:sz w:val="20"/>
          <w:szCs w:val="20"/>
        </w:rPr>
        <w:t>in a given year</w:t>
      </w:r>
      <w:proofErr w:type="gramEnd"/>
      <w:r w:rsidR="006749DD" w:rsidRPr="006749DD">
        <w:rPr>
          <w:rFonts w:ascii="Calibri" w:hAnsi="Calibri" w:cstheme="minorHAnsi"/>
          <w:sz w:val="20"/>
          <w:szCs w:val="20"/>
        </w:rPr>
        <w:t xml:space="preserve"> (as calculated for Indicator 11.6.1)</w:t>
      </w:r>
    </w:p>
    <w:p w14:paraId="7DBED356" w14:textId="77777777" w:rsidR="006749DD" w:rsidRPr="006749DD" w:rsidRDefault="00F827EB" w:rsidP="00F827EB">
      <w:pPr>
        <w:spacing w:after="0" w:line="240" w:lineRule="auto"/>
        <w:ind w:left="720"/>
        <w:rPr>
          <w:rFonts w:ascii="Calibri" w:hAnsi="Calibri" w:cstheme="minorHAnsi"/>
          <w:sz w:val="20"/>
          <w:szCs w:val="20"/>
        </w:rPr>
      </w:pPr>
      <m:oMath>
        <m:sSub>
          <m:sSubPr>
            <m:ctrlPr>
              <w:rPr>
                <w:rFonts w:ascii="Cambria Math" w:hAnsi="Cambria Math" w:cstheme="minorHAnsi"/>
                <w:i/>
                <w:sz w:val="20"/>
                <w:szCs w:val="20"/>
              </w:rPr>
            </m:ctrlPr>
          </m:sSubPr>
          <m:e>
            <m:r>
              <w:rPr>
                <w:rFonts w:ascii="Cambria Math" w:hAnsi="Cambria Math" w:cstheme="minorHAnsi"/>
                <w:sz w:val="20"/>
                <w:szCs w:val="20"/>
              </w:rPr>
              <m:t>Share of food waste</m:t>
            </m:r>
          </m:e>
          <m:sub>
            <m:r>
              <w:rPr>
                <w:rFonts w:ascii="Cambria Math" w:hAnsi="Cambria Math" w:cstheme="minorHAnsi"/>
                <w:sz w:val="20"/>
                <w:szCs w:val="20"/>
              </w:rPr>
              <m:t>t</m:t>
            </m:r>
          </m:sub>
        </m:sSub>
      </m:oMath>
      <w:r w:rsidR="006749DD" w:rsidRPr="006749DD">
        <w:rPr>
          <w:rFonts w:ascii="Calibri" w:hAnsi="Calibri" w:cstheme="minorHAnsi"/>
          <w:sz w:val="20"/>
          <w:szCs w:val="20"/>
        </w:rPr>
        <w:t xml:space="preserve"> is the proportion of total MSW made up of food waste in the year, which can be estimated from waste composition </w:t>
      </w:r>
      <w:proofErr w:type="gramStart"/>
      <w:r w:rsidR="006749DD" w:rsidRPr="006749DD">
        <w:rPr>
          <w:rFonts w:ascii="Calibri" w:hAnsi="Calibri" w:cstheme="minorHAnsi"/>
          <w:sz w:val="20"/>
          <w:szCs w:val="20"/>
        </w:rPr>
        <w:t>studies</w:t>
      </w:r>
      <w:proofErr w:type="gramEnd"/>
    </w:p>
    <w:p w14:paraId="1CBE97A2" w14:textId="77777777" w:rsidR="006749DD" w:rsidRPr="006749DD" w:rsidRDefault="006749DD" w:rsidP="006749DD">
      <w:pPr>
        <w:rPr>
          <w:rFonts w:ascii="Calibri" w:hAnsi="Calibri" w:cstheme="minorHAnsi"/>
          <w:sz w:val="20"/>
          <w:szCs w:val="20"/>
        </w:rPr>
      </w:pPr>
    </w:p>
    <w:p w14:paraId="56CBF266" w14:textId="77777777" w:rsidR="006749DD" w:rsidRPr="006749DD" w:rsidRDefault="006749DD" w:rsidP="006749DD">
      <w:pPr>
        <w:spacing w:after="0" w:line="240" w:lineRule="auto"/>
        <w:rPr>
          <w:rFonts w:ascii="Calibri" w:hAnsi="Calibri"/>
          <w:sz w:val="20"/>
          <w:szCs w:val="20"/>
        </w:rPr>
      </w:pPr>
      <w:r w:rsidRPr="006749DD">
        <w:rPr>
          <w:rFonts w:ascii="Calibri" w:hAnsi="Calibri"/>
          <w:sz w:val="20"/>
          <w:szCs w:val="20"/>
        </w:rPr>
        <w:t xml:space="preserve">The food waste index for the year is then calculated using the simplified estimate of food waste per capita in the same formula as above </w:t>
      </w:r>
    </w:p>
    <w:p w14:paraId="691F1702" w14:textId="77777777" w:rsidR="006749DD" w:rsidRPr="00F827EB" w:rsidRDefault="006749DD" w:rsidP="00F827EB">
      <w:pPr>
        <w:spacing w:after="0" w:line="240" w:lineRule="auto"/>
        <w:ind w:left="360" w:firstLine="360"/>
        <w:rPr>
          <w:rFonts w:ascii="Calibri" w:hAnsi="Calibri" w:cstheme="minorHAnsi"/>
          <w:i/>
          <w:iCs/>
          <w:sz w:val="20"/>
          <w:szCs w:val="20"/>
        </w:rPr>
      </w:pPr>
    </w:p>
    <w:p w14:paraId="68C28D67" w14:textId="77777777" w:rsidR="006749DD" w:rsidRPr="006749DD" w:rsidRDefault="00F827EB" w:rsidP="006749DD">
      <w:pPr>
        <w:ind w:left="360"/>
        <w:rPr>
          <w:rFonts w:ascii="Calibri" w:hAnsi="Calibri" w:cstheme="minorHAnsi"/>
          <w:sz w:val="20"/>
          <w:szCs w:val="20"/>
        </w:rPr>
      </w:pPr>
      <m:oMathPara>
        <m:oMath>
          <m:sSub>
            <m:sSubPr>
              <m:ctrlPr>
                <w:rPr>
                  <w:rFonts w:ascii="Cambria Math" w:hAnsi="Cambria Math" w:cstheme="minorHAnsi"/>
                  <w:i/>
                  <w:sz w:val="20"/>
                  <w:szCs w:val="20"/>
                </w:rPr>
              </m:ctrlPr>
            </m:sSubPr>
            <m:e>
              <m:r>
                <w:rPr>
                  <w:rFonts w:ascii="Cambria Math" w:hAnsi="Cambria Math" w:cstheme="minorHAnsi"/>
                  <w:sz w:val="20"/>
                  <w:szCs w:val="20"/>
                </w:rPr>
                <m:t>Food Waste Index</m:t>
              </m:r>
            </m:e>
            <m:sub>
              <m:sSub>
                <m:sSubPr>
                  <m:ctrlPr>
                    <w:rPr>
                      <w:rFonts w:ascii="Cambria Math" w:hAnsi="Cambria Math" w:cstheme="minorHAnsi"/>
                      <w:i/>
                      <w:sz w:val="20"/>
                      <w:szCs w:val="20"/>
                    </w:rPr>
                  </m:ctrlPr>
                </m:sSubPr>
                <m:e>
                  <m:r>
                    <w:rPr>
                      <w:rFonts w:ascii="Cambria Math" w:hAnsi="Cambria Math" w:cstheme="minorHAnsi"/>
                      <w:sz w:val="20"/>
                      <w:szCs w:val="20"/>
                    </w:rPr>
                    <m:t>t</m:t>
                  </m:r>
                </m:e>
                <m:sub>
                  <m:r>
                    <w:rPr>
                      <w:rFonts w:ascii="Cambria Math" w:hAnsi="Cambria Math" w:cstheme="minorHAnsi"/>
                      <w:sz w:val="20"/>
                      <w:szCs w:val="20"/>
                    </w:rPr>
                    <m:t>simp</m:t>
                  </m:r>
                </m:sub>
              </m:sSub>
            </m:sub>
          </m:sSub>
          <m:r>
            <w:rPr>
              <w:rFonts w:ascii="Cambria Math" w:hAnsi="Cambria Math" w:cstheme="minorHAnsi"/>
              <w:sz w:val="20"/>
              <w:szCs w:val="20"/>
            </w:rPr>
            <m:t xml:space="preserve">= </m:t>
          </m:r>
          <m:f>
            <m:fPr>
              <m:ctrlPr>
                <w:rPr>
                  <w:rFonts w:ascii="Cambria Math" w:hAnsi="Cambria Math" w:cstheme="minorHAnsi"/>
                  <w:i/>
                  <w:sz w:val="20"/>
                  <w:szCs w:val="20"/>
                </w:rPr>
              </m:ctrlPr>
            </m:fPr>
            <m:num>
              <m:sSub>
                <m:sSubPr>
                  <m:ctrlPr>
                    <w:rPr>
                      <w:rFonts w:ascii="Cambria Math" w:hAnsi="Cambria Math" w:cstheme="minorHAnsi"/>
                      <w:i/>
                      <w:sz w:val="20"/>
                      <w:szCs w:val="20"/>
                    </w:rPr>
                  </m:ctrlPr>
                </m:sSubPr>
                <m:e>
                  <m:r>
                    <w:rPr>
                      <w:rFonts w:ascii="Cambria Math" w:hAnsi="Cambria Math" w:cstheme="minorHAnsi"/>
                      <w:sz w:val="20"/>
                      <w:szCs w:val="20"/>
                    </w:rPr>
                    <m:t>Food waste per capita</m:t>
                  </m:r>
                </m:e>
                <m:sub>
                  <m:sSub>
                    <m:sSubPr>
                      <m:ctrlPr>
                        <w:rPr>
                          <w:rFonts w:ascii="Cambria Math" w:hAnsi="Cambria Math" w:cstheme="minorHAnsi"/>
                          <w:i/>
                          <w:sz w:val="20"/>
                          <w:szCs w:val="20"/>
                        </w:rPr>
                      </m:ctrlPr>
                    </m:sSubPr>
                    <m:e>
                      <m:r>
                        <w:rPr>
                          <w:rFonts w:ascii="Cambria Math" w:hAnsi="Cambria Math" w:cstheme="minorHAnsi"/>
                          <w:sz w:val="20"/>
                          <w:szCs w:val="20"/>
                        </w:rPr>
                        <m:t>t</m:t>
                      </m:r>
                    </m:e>
                    <m:sub>
                      <m:r>
                        <w:rPr>
                          <w:rFonts w:ascii="Cambria Math" w:hAnsi="Cambria Math" w:cstheme="minorHAnsi"/>
                          <w:sz w:val="20"/>
                          <w:szCs w:val="20"/>
                        </w:rPr>
                        <m:t>simp</m:t>
                      </m:r>
                    </m:sub>
                  </m:sSub>
                </m:sub>
              </m:sSub>
              <m:r>
                <w:rPr>
                  <w:rFonts w:ascii="Cambria Math" w:hAnsi="Cambria Math" w:cstheme="minorHAnsi"/>
                  <w:sz w:val="20"/>
                  <w:szCs w:val="20"/>
                </w:rPr>
                <m:t xml:space="preserve"> </m:t>
              </m:r>
            </m:num>
            <m:den>
              <m:sSub>
                <m:sSubPr>
                  <m:ctrlPr>
                    <w:rPr>
                      <w:rFonts w:ascii="Cambria Math" w:hAnsi="Cambria Math" w:cstheme="minorHAnsi"/>
                      <w:i/>
                      <w:sz w:val="20"/>
                      <w:szCs w:val="20"/>
                    </w:rPr>
                  </m:ctrlPr>
                </m:sSubPr>
                <m:e>
                  <m:r>
                    <w:rPr>
                      <w:rFonts w:ascii="Cambria Math" w:hAnsi="Cambria Math" w:cstheme="minorHAnsi"/>
                      <w:sz w:val="20"/>
                      <w:szCs w:val="20"/>
                    </w:rPr>
                    <m:t>Food waste pe</m:t>
                  </m:r>
                  <m:r>
                    <w:rPr>
                      <w:rFonts w:ascii="Calibri" w:hAnsi="Calibri" w:cstheme="minorHAnsi"/>
                      <w:sz w:val="20"/>
                      <w:szCs w:val="20"/>
                    </w:rPr>
                    <m:t>r</m:t>
                  </m:r>
                  <m:r>
                    <w:rPr>
                      <w:rFonts w:ascii="Cambria Math" w:hAnsi="Cambria Math" w:cstheme="minorHAnsi"/>
                      <w:sz w:val="20"/>
                      <w:szCs w:val="20"/>
                    </w:rPr>
                    <m:t xml:space="preserve"> capita</m:t>
                  </m:r>
                </m:e>
                <m:sub>
                  <m:sSub>
                    <m:sSubPr>
                      <m:ctrlPr>
                        <w:rPr>
                          <w:rFonts w:ascii="Cambria Math" w:hAnsi="Cambria Math" w:cstheme="minorHAnsi"/>
                          <w:i/>
                          <w:sz w:val="20"/>
                          <w:szCs w:val="20"/>
                        </w:rPr>
                      </m:ctrlPr>
                    </m:sSubPr>
                    <m:e>
                      <m:sSub>
                        <m:sSubPr>
                          <m:ctrlPr>
                            <w:rPr>
                              <w:rFonts w:ascii="Cambria Math" w:hAnsi="Cambria Math" w:cstheme="minorHAnsi"/>
                              <w:i/>
                              <w:sz w:val="20"/>
                              <w:szCs w:val="20"/>
                            </w:rPr>
                          </m:ctrlPr>
                        </m:sSubPr>
                        <m:e>
                          <m:r>
                            <w:rPr>
                              <w:rFonts w:ascii="Cambria Math" w:hAnsi="Cambria Math" w:cstheme="minorHAnsi"/>
                              <w:sz w:val="20"/>
                              <w:szCs w:val="20"/>
                            </w:rPr>
                            <m:t>t</m:t>
                          </m:r>
                        </m:e>
                        <m:sub>
                          <m:r>
                            <w:rPr>
                              <w:rFonts w:ascii="Cambria Math" w:hAnsi="Cambria Math" w:cstheme="minorHAnsi"/>
                              <w:sz w:val="20"/>
                              <w:szCs w:val="20"/>
                            </w:rPr>
                            <m:t>0</m:t>
                          </m:r>
                        </m:sub>
                      </m:sSub>
                    </m:e>
                    <m:sub>
                      <m:r>
                        <w:rPr>
                          <w:rFonts w:ascii="Cambria Math" w:hAnsi="Cambria Math" w:cstheme="minorHAnsi"/>
                          <w:sz w:val="20"/>
                          <w:szCs w:val="20"/>
                        </w:rPr>
                        <m:t>simp</m:t>
                      </m:r>
                    </m:sub>
                  </m:sSub>
                </m:sub>
              </m:sSub>
            </m:den>
          </m:f>
          <m:r>
            <w:rPr>
              <w:rFonts w:ascii="Cambria Math" w:hAnsi="Cambria Math" w:cstheme="minorHAnsi"/>
              <w:sz w:val="20"/>
              <w:szCs w:val="20"/>
            </w:rPr>
            <m:t xml:space="preserve"> × 100</m:t>
          </m:r>
        </m:oMath>
      </m:oMathPara>
    </w:p>
    <w:p w14:paraId="514CE3C0" w14:textId="3F3F7A53" w:rsidR="00E1050F" w:rsidRPr="00A96255" w:rsidRDefault="00576CFA" w:rsidP="00F719A8">
      <w:pPr>
        <w:pStyle w:val="MHeader2"/>
      </w:pPr>
      <w:r w:rsidRPr="00A96255">
        <w:t>4.d. Validation</w:t>
      </w:r>
    </w:p>
    <w:p w14:paraId="3071B1AA" w14:textId="6CAC7FE1" w:rsidR="00620198" w:rsidRPr="00A96255" w:rsidRDefault="00620198" w:rsidP="00576CFA">
      <w:pPr>
        <w:pStyle w:val="MText"/>
      </w:pPr>
      <w:r w:rsidRPr="00833B26">
        <w:rPr>
          <w:rFonts w:ascii="Calibri" w:hAnsi="Calibri"/>
          <w:color w:val="595959" w:themeColor="text1" w:themeTint="A6"/>
        </w:rPr>
        <w:t>UNSD carries out extensive data validation procedures that include built-in automated procedures, manual checks and cross-references to national sources of data. Communication is carried out with countries for clarification and validation of data. Only data that are considered accurate or those confirmed by countries during the validation process are included in UNSD’s environment statistics database and disseminated on UNSD’s website</w:t>
      </w:r>
    </w:p>
    <w:p w14:paraId="49CB8337" w14:textId="195BDE66" w:rsidR="00EC2915" w:rsidRDefault="00EC2915" w:rsidP="00576CFA">
      <w:pPr>
        <w:pStyle w:val="MText"/>
      </w:pPr>
    </w:p>
    <w:p w14:paraId="2CF2A343" w14:textId="0A7F0CBE" w:rsidR="00E1050F" w:rsidRPr="00A96255" w:rsidRDefault="00E1050F" w:rsidP="00F719A8">
      <w:pPr>
        <w:pStyle w:val="MHeader2"/>
      </w:pPr>
      <w:r w:rsidRPr="00A96255">
        <w:t>4.e. Adjustments</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p>
    <w:p w14:paraId="60607A0C" w14:textId="1952188A" w:rsidR="00415D71" w:rsidRPr="00331D4D" w:rsidRDefault="00415D71" w:rsidP="00415D7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M</w:t>
      </w:r>
      <w:r w:rsidRPr="00331D4D">
        <w:rPr>
          <w:rFonts w:eastAsia="Times New Roman" w:cs="Times New Roman"/>
          <w:color w:val="4A4A4A"/>
          <w:sz w:val="21"/>
          <w:szCs w:val="21"/>
          <w:lang w:eastAsia="en-GB"/>
        </w:rPr>
        <w:t>issing values are not imputed</w:t>
      </w:r>
      <w:r>
        <w:rPr>
          <w:rFonts w:eastAsia="Times New Roman" w:cs="Times New Roman"/>
          <w:color w:val="4A4A4A"/>
          <w:sz w:val="21"/>
          <w:szCs w:val="21"/>
          <w:lang w:eastAsia="en-GB"/>
        </w:rPr>
        <w:t xml:space="preserve"> for national figures</w:t>
      </w:r>
      <w:r w:rsidRPr="00331D4D">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However, UNEP is using a global </w:t>
      </w:r>
      <w:r w:rsidR="00AB7104">
        <w:rPr>
          <w:rFonts w:eastAsia="Times New Roman" w:cs="Times New Roman"/>
          <w:color w:val="4A4A4A"/>
          <w:sz w:val="21"/>
          <w:szCs w:val="21"/>
          <w:lang w:eastAsia="en-GB"/>
        </w:rPr>
        <w:t>modelling</w:t>
      </w:r>
      <w:r>
        <w:rPr>
          <w:rFonts w:eastAsia="Times New Roman" w:cs="Times New Roman"/>
          <w:color w:val="4A4A4A"/>
          <w:sz w:val="21"/>
          <w:szCs w:val="21"/>
          <w:lang w:eastAsia="en-GB"/>
        </w:rPr>
        <w:t xml:space="preserve"> approach for level 1 (this is due to the lack of data on this topic and the interest in having data that can be used for high-level tracking).</w:t>
      </w:r>
    </w:p>
    <w:p w14:paraId="67043C18" w14:textId="288244DA" w:rsidR="00D51E7C" w:rsidRDefault="00D51E7C" w:rsidP="00DA615C">
      <w:pPr>
        <w:pStyle w:val="MText"/>
      </w:pPr>
    </w:p>
    <w:p w14:paraId="51FCD280" w14:textId="0DAB30E3" w:rsidR="00E1050F" w:rsidRPr="00A96255" w:rsidRDefault="00E1050F" w:rsidP="00F719A8">
      <w:pPr>
        <w:pStyle w:val="MHeader2"/>
      </w:pPr>
      <w:r w:rsidRPr="00A96255">
        <w:t>4.g. Regional aggregations</w:t>
      </w:r>
    </w:p>
    <w:p w14:paraId="223691F8" w14:textId="053141C4" w:rsidR="00463D56" w:rsidRPr="00331D4D" w:rsidRDefault="00463D56" w:rsidP="00463D56">
      <w:pPr>
        <w:rPr>
          <w:rFonts w:eastAsia="Times New Roman" w:cs="Times New Roman"/>
          <w:bCs/>
          <w:color w:val="4A4A4A"/>
          <w:sz w:val="21"/>
          <w:szCs w:val="21"/>
          <w:lang w:eastAsia="en-GB"/>
        </w:rPr>
      </w:pPr>
      <w:r>
        <w:rPr>
          <w:rFonts w:eastAsia="Times New Roman" w:cs="Times New Roman"/>
          <w:bCs/>
          <w:color w:val="4A4A4A"/>
          <w:sz w:val="21"/>
          <w:szCs w:val="21"/>
          <w:lang w:eastAsia="en-GB"/>
        </w:rPr>
        <w:t xml:space="preserve">The </w:t>
      </w:r>
      <w:r w:rsidRPr="006931AC">
        <w:rPr>
          <w:rFonts w:eastAsia="Times New Roman" w:cs="Times New Roman"/>
          <w:bCs/>
          <w:color w:val="4A4A4A"/>
          <w:sz w:val="21"/>
          <w:szCs w:val="21"/>
          <w:lang w:eastAsia="en-GB"/>
        </w:rPr>
        <w:t xml:space="preserve">data </w:t>
      </w:r>
      <w:r>
        <w:rPr>
          <w:rFonts w:eastAsia="Times New Roman" w:cs="Times New Roman"/>
          <w:bCs/>
          <w:color w:val="4A4A4A"/>
          <w:sz w:val="21"/>
          <w:szCs w:val="21"/>
          <w:lang w:eastAsia="en-GB"/>
        </w:rPr>
        <w:t>will be</w:t>
      </w:r>
      <w:r w:rsidRPr="006931AC">
        <w:rPr>
          <w:rFonts w:eastAsia="Times New Roman" w:cs="Times New Roman"/>
          <w:bCs/>
          <w:color w:val="4A4A4A"/>
          <w:sz w:val="21"/>
          <w:szCs w:val="21"/>
          <w:lang w:eastAsia="en-GB"/>
        </w:rPr>
        <w:t xml:space="preserve"> aggregated at the sub-regional, regional and global levels</w:t>
      </w:r>
      <w:r>
        <w:rPr>
          <w:rFonts w:eastAsia="Times New Roman" w:cs="Times New Roman"/>
          <w:bCs/>
          <w:color w:val="4A4A4A"/>
          <w:sz w:val="21"/>
          <w:szCs w:val="21"/>
          <w:lang w:eastAsia="en-GB"/>
        </w:rPr>
        <w:t xml:space="preserve">. </w:t>
      </w:r>
      <w:r w:rsidRPr="00331D4D">
        <w:rPr>
          <w:rFonts w:eastAsia="Times New Roman" w:cs="Times New Roman"/>
          <w:bCs/>
          <w:color w:val="4A4A4A"/>
          <w:sz w:val="21"/>
          <w:szCs w:val="21"/>
          <w:lang w:eastAsia="en-GB"/>
        </w:rPr>
        <w:t>For the aggregation methods, please see</w:t>
      </w:r>
      <w:r w:rsidR="00AF54B9">
        <w:rPr>
          <w:rFonts w:eastAsia="Times New Roman" w:cs="Times New Roman"/>
          <w:bCs/>
          <w:color w:val="4A4A4A"/>
          <w:sz w:val="21"/>
          <w:szCs w:val="21"/>
          <w:lang w:eastAsia="en-GB"/>
        </w:rPr>
        <w:t>:</w:t>
      </w:r>
      <w:r w:rsidRPr="00331D4D">
        <w:rPr>
          <w:rFonts w:eastAsia="Times New Roman" w:cs="Times New Roman"/>
          <w:bCs/>
          <w:color w:val="4A4A4A"/>
          <w:sz w:val="21"/>
          <w:szCs w:val="21"/>
          <w:lang w:eastAsia="en-GB"/>
        </w:rPr>
        <w:t xml:space="preserve"> </w:t>
      </w:r>
      <w:hyperlink r:id="rId11" w:history="1">
        <w:r w:rsidR="00AB7104" w:rsidRPr="00AB7104">
          <w:rPr>
            <w:rStyle w:val="Hyperlink"/>
            <w:rFonts w:eastAsia="Times New Roman" w:cs="Times New Roman"/>
            <w:bCs/>
            <w:sz w:val="21"/>
            <w:szCs w:val="21"/>
            <w:lang w:eastAsia="en-GB"/>
          </w:rPr>
          <w:t>http://</w:t>
        </w:r>
        <w:r w:rsidR="00AB7104" w:rsidRPr="00F218CA">
          <w:rPr>
            <w:rStyle w:val="Hyperlink"/>
            <w:rFonts w:eastAsia="Times New Roman" w:cs="Times New Roman"/>
            <w:bCs/>
            <w:sz w:val="21"/>
            <w:szCs w:val="21"/>
            <w:lang w:eastAsia="en-GB"/>
          </w:rPr>
          <w:t>wesr.unep.org/media/docs/graphs/aggregation_methods.pdf</w:t>
        </w:r>
      </w:hyperlink>
      <w:r w:rsidRPr="00331D4D">
        <w:rPr>
          <w:rFonts w:eastAsia="Times New Roman" w:cs="Times New Roman"/>
          <w:bCs/>
          <w:color w:val="4A4A4A"/>
          <w:sz w:val="21"/>
          <w:szCs w:val="21"/>
          <w:lang w:eastAsia="en-GB"/>
        </w:rPr>
        <w:t>.</w:t>
      </w:r>
      <w:r>
        <w:rPr>
          <w:rFonts w:eastAsia="Times New Roman" w:cs="Times New Roman"/>
          <w:bCs/>
          <w:color w:val="4A4A4A"/>
          <w:sz w:val="21"/>
          <w:szCs w:val="21"/>
          <w:lang w:eastAsia="en-GB"/>
        </w:rPr>
        <w:t xml:space="preserve"> </w:t>
      </w:r>
      <w:r w:rsidRPr="00331D4D">
        <w:rPr>
          <w:rFonts w:eastAsia="Times New Roman" w:cs="Times New Roman"/>
          <w:bCs/>
          <w:color w:val="4A4A4A"/>
          <w:sz w:val="21"/>
          <w:szCs w:val="21"/>
          <w:lang w:eastAsia="en-GB"/>
        </w:rPr>
        <w:t xml:space="preserve"> </w:t>
      </w:r>
      <w:r>
        <w:rPr>
          <w:rFonts w:eastAsia="Times New Roman" w:cs="Times New Roman"/>
          <w:bCs/>
          <w:color w:val="4A4A4A"/>
          <w:sz w:val="21"/>
          <w:szCs w:val="21"/>
          <w:lang w:eastAsia="en-GB"/>
        </w:rPr>
        <w:t xml:space="preserve"> </w:t>
      </w:r>
      <w:r w:rsidRPr="00331D4D">
        <w:rPr>
          <w:rFonts w:eastAsia="Times New Roman" w:cs="Times New Roman"/>
          <w:bCs/>
          <w:color w:val="4A4A4A"/>
          <w:sz w:val="21"/>
          <w:szCs w:val="21"/>
          <w:lang w:eastAsia="en-GB"/>
        </w:rPr>
        <w:t xml:space="preserve"> </w:t>
      </w: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02011E0A" w14:textId="540E4A9F" w:rsidR="00B678EF" w:rsidRDefault="00B678EF" w:rsidP="00576CFA">
      <w:pPr>
        <w:pStyle w:val="MText"/>
        <w:rPr>
          <w:color w:val="595959" w:themeColor="text1" w:themeTint="A6"/>
        </w:rPr>
      </w:pPr>
      <w:r w:rsidRPr="0097758D">
        <w:rPr>
          <w:color w:val="595959" w:themeColor="text1" w:themeTint="A6"/>
        </w:rPr>
        <w:t>Global Chemicals and Waste Indicator Review Document</w:t>
      </w:r>
      <w:r>
        <w:rPr>
          <w:color w:val="595959" w:themeColor="text1" w:themeTint="A6"/>
        </w:rPr>
        <w:t xml:space="preserve"> (UNEP, forthcoming)</w:t>
      </w:r>
    </w:p>
    <w:p w14:paraId="435186E9" w14:textId="77777777" w:rsidR="00B678EF" w:rsidRPr="00A96255" w:rsidRDefault="00B678EF"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lastRenderedPageBreak/>
        <w:t>5. Data availability and disaggregation</w:t>
      </w:r>
    </w:p>
    <w:p w14:paraId="08178EA1" w14:textId="77777777" w:rsidR="00955B3D" w:rsidRPr="00955B3D" w:rsidRDefault="00D51E7C" w:rsidP="00955B3D">
      <w:pPr>
        <w:pStyle w:val="MText"/>
      </w:pPr>
      <w:r w:rsidRPr="00955B3D">
        <w:t>Data availability:</w:t>
      </w:r>
    </w:p>
    <w:p w14:paraId="2E5A9DB8" w14:textId="7A6B7940" w:rsidR="001D56E7" w:rsidRPr="00955B3D" w:rsidRDefault="001D56E7" w:rsidP="00955B3D">
      <w:pPr>
        <w:pStyle w:val="MText"/>
      </w:pPr>
      <w:r w:rsidRPr="00955B3D">
        <w:t xml:space="preserve">All countries that reply to the questionnaire. </w:t>
      </w:r>
    </w:p>
    <w:p w14:paraId="2D0542F7" w14:textId="67540797" w:rsidR="00D51E7C" w:rsidRPr="00955B3D" w:rsidRDefault="00D51E7C" w:rsidP="00955B3D">
      <w:pPr>
        <w:pStyle w:val="MText"/>
      </w:pPr>
    </w:p>
    <w:p w14:paraId="1DC90B1B" w14:textId="77777777" w:rsidR="00955B3D" w:rsidRPr="00955B3D" w:rsidRDefault="00D51E7C" w:rsidP="00955B3D">
      <w:pPr>
        <w:pStyle w:val="MText"/>
      </w:pPr>
      <w:r w:rsidRPr="00955B3D">
        <w:t>Time series:</w:t>
      </w:r>
    </w:p>
    <w:p w14:paraId="5853D6F7" w14:textId="779EAFBE" w:rsidR="00D51E7C" w:rsidRPr="00955B3D" w:rsidRDefault="00E65862" w:rsidP="00955B3D">
      <w:pPr>
        <w:pStyle w:val="MText"/>
      </w:pPr>
      <w:r w:rsidRPr="00955B3D">
        <w:t>The UNSD/UNEP Questionnaire is sent to countries every 2 years requesting annual data.</w:t>
      </w:r>
    </w:p>
    <w:p w14:paraId="760C013A" w14:textId="4597FCBD" w:rsidR="00D51E7C" w:rsidRPr="00955B3D" w:rsidRDefault="00D51E7C" w:rsidP="00955B3D">
      <w:pPr>
        <w:pStyle w:val="MText"/>
      </w:pPr>
    </w:p>
    <w:p w14:paraId="06360198" w14:textId="77777777" w:rsidR="00955B3D" w:rsidRPr="00955B3D" w:rsidRDefault="00D51E7C" w:rsidP="00955B3D">
      <w:pPr>
        <w:pStyle w:val="MText"/>
        <w:rPr>
          <w:rFonts w:ascii="Calibri" w:eastAsia="MS PGothic" w:hAnsi="Calibri"/>
          <w:bCs/>
          <w:color w:val="595959" w:themeColor="text1" w:themeTint="A6"/>
          <w:szCs w:val="24"/>
          <w:lang w:eastAsia="en-US"/>
        </w:rPr>
      </w:pPr>
      <w:r w:rsidRPr="00955B3D">
        <w:t>Disaggregation:</w:t>
      </w:r>
    </w:p>
    <w:p w14:paraId="27EF23F1" w14:textId="16FD15B2" w:rsidR="00C83AD2" w:rsidRPr="00D41B24" w:rsidRDefault="00C83AD2" w:rsidP="00955B3D">
      <w:pPr>
        <w:pStyle w:val="MText"/>
        <w:rPr>
          <w:rFonts w:ascii="Calibri" w:eastAsia="MS PGothic" w:hAnsi="Calibri"/>
          <w:bCs/>
          <w:color w:val="595959" w:themeColor="text1" w:themeTint="A6"/>
          <w:szCs w:val="24"/>
          <w:lang w:eastAsia="en-US"/>
        </w:rPr>
      </w:pPr>
      <w:r w:rsidRPr="00955B3D">
        <w:rPr>
          <w:rFonts w:ascii="Calibri" w:eastAsia="MS PGothic" w:hAnsi="Calibri"/>
          <w:bCs/>
          <w:color w:val="595959" w:themeColor="text1" w:themeTint="A6"/>
          <w:szCs w:val="24"/>
          <w:lang w:eastAsia="en-US"/>
        </w:rPr>
        <w:t>Ideally, food waste would</w:t>
      </w:r>
      <w:r w:rsidRPr="00D41B24">
        <w:rPr>
          <w:rFonts w:ascii="Calibri" w:eastAsia="MS PGothic" w:hAnsi="Calibri"/>
          <w:bCs/>
          <w:color w:val="595959" w:themeColor="text1" w:themeTint="A6"/>
          <w:szCs w:val="24"/>
          <w:lang w:eastAsia="en-US"/>
        </w:rPr>
        <w:t xml:space="preserve"> be disaggregated by edible and inedible parts (Note that it is important to </w:t>
      </w:r>
      <w:proofErr w:type="gramStart"/>
      <w:r w:rsidRPr="00D41B24">
        <w:rPr>
          <w:rFonts w:ascii="Calibri" w:eastAsia="MS PGothic" w:hAnsi="Calibri"/>
          <w:bCs/>
          <w:color w:val="595959" w:themeColor="text1" w:themeTint="A6"/>
          <w:szCs w:val="24"/>
          <w:lang w:eastAsia="en-US"/>
        </w:rPr>
        <w:t>take into account</w:t>
      </w:r>
      <w:proofErr w:type="gramEnd"/>
      <w:r w:rsidRPr="00D41B24">
        <w:rPr>
          <w:rFonts w:ascii="Calibri" w:eastAsia="MS PGothic" w:hAnsi="Calibri"/>
          <w:bCs/>
          <w:color w:val="595959" w:themeColor="text1" w:themeTint="A6"/>
          <w:szCs w:val="24"/>
          <w:lang w:eastAsia="en-US"/>
        </w:rPr>
        <w:t xml:space="preserve"> </w:t>
      </w:r>
      <w:r>
        <w:rPr>
          <w:rFonts w:ascii="Calibri" w:eastAsia="MS PGothic" w:hAnsi="Calibri"/>
          <w:bCs/>
          <w:color w:val="595959" w:themeColor="text1" w:themeTint="A6"/>
          <w:szCs w:val="24"/>
          <w:lang w:eastAsia="en-US"/>
        </w:rPr>
        <w:t xml:space="preserve">the </w:t>
      </w:r>
      <w:r w:rsidRPr="00D41B24">
        <w:rPr>
          <w:rFonts w:ascii="Calibri" w:eastAsia="MS PGothic" w:hAnsi="Calibri"/>
          <w:bCs/>
          <w:color w:val="595959" w:themeColor="text1" w:themeTint="A6"/>
          <w:szCs w:val="24"/>
          <w:lang w:eastAsia="en-US"/>
        </w:rPr>
        <w:t xml:space="preserve">difference between countries in terms of inedible parts. </w:t>
      </w:r>
      <w:proofErr w:type="spellStart"/>
      <w:r w:rsidRPr="00D41B24">
        <w:rPr>
          <w:rFonts w:ascii="Calibri" w:eastAsia="MS PGothic" w:hAnsi="Calibri"/>
          <w:bCs/>
          <w:color w:val="595959" w:themeColor="text1" w:themeTint="A6"/>
          <w:szCs w:val="24"/>
          <w:lang w:eastAsia="en-US"/>
        </w:rPr>
        <w:t>Nicholes</w:t>
      </w:r>
      <w:proofErr w:type="spellEnd"/>
      <w:r w:rsidRPr="00D41B24">
        <w:rPr>
          <w:rFonts w:ascii="Calibri" w:eastAsia="MS PGothic" w:hAnsi="Calibri"/>
          <w:bCs/>
          <w:color w:val="595959" w:themeColor="text1" w:themeTint="A6"/>
          <w:szCs w:val="24"/>
          <w:lang w:eastAsia="en-US"/>
        </w:rPr>
        <w:t xml:space="preserve"> et al. provides some insight into differences between countries. </w:t>
      </w:r>
    </w:p>
    <w:p w14:paraId="1C428AF4" w14:textId="77777777" w:rsidR="00C83AD2" w:rsidRPr="00D41B24" w:rsidRDefault="00C83AD2" w:rsidP="00C83AD2">
      <w:pPr>
        <w:shd w:val="clear" w:color="auto" w:fill="FFFFFF"/>
        <w:spacing w:after="0"/>
        <w:rPr>
          <w:rFonts w:ascii="Calibri" w:eastAsia="MS PGothic" w:hAnsi="Calibri" w:cs="Times New Roman"/>
          <w:bCs/>
          <w:color w:val="595959" w:themeColor="text1" w:themeTint="A6"/>
          <w:sz w:val="21"/>
          <w:szCs w:val="24"/>
          <w:lang w:eastAsia="en-US"/>
        </w:rPr>
      </w:pPr>
      <w:r w:rsidRPr="00D41B24">
        <w:rPr>
          <w:rFonts w:ascii="Calibri" w:eastAsia="MS PGothic" w:hAnsi="Calibri" w:cs="Times New Roman"/>
          <w:bCs/>
          <w:color w:val="595959" w:themeColor="text1" w:themeTint="A6"/>
          <w:sz w:val="21"/>
          <w:szCs w:val="24"/>
          <w:lang w:eastAsia="en-US"/>
        </w:rPr>
        <w:t xml:space="preserve">Disaggregation of food waste by destination is important for understanding the best way to optimize the use of food waste for fertilizer. This includes: </w:t>
      </w:r>
    </w:p>
    <w:p w14:paraId="3FD9612C" w14:textId="77777777" w:rsidR="00C83AD2" w:rsidRPr="00D41B24" w:rsidRDefault="00C83AD2" w:rsidP="00C83AD2">
      <w:pPr>
        <w:pStyle w:val="ListParagraph"/>
        <w:numPr>
          <w:ilvl w:val="0"/>
          <w:numId w:val="5"/>
        </w:numPr>
        <w:shd w:val="clear" w:color="auto" w:fill="FFFFFF"/>
        <w:spacing w:after="0"/>
        <w:rPr>
          <w:rFonts w:ascii="Calibri" w:eastAsia="MS PGothic" w:hAnsi="Calibri" w:cs="Times New Roman"/>
          <w:bCs/>
          <w:color w:val="595959" w:themeColor="text1" w:themeTint="A6"/>
          <w:sz w:val="21"/>
          <w:szCs w:val="24"/>
          <w:lang w:eastAsia="en-US"/>
        </w:rPr>
      </w:pPr>
      <w:r w:rsidRPr="00D41B24">
        <w:rPr>
          <w:rFonts w:ascii="Calibri" w:eastAsia="MS PGothic" w:hAnsi="Calibri" w:cs="Times New Roman"/>
          <w:bCs/>
          <w:color w:val="595959" w:themeColor="text1" w:themeTint="A6"/>
          <w:sz w:val="21"/>
          <w:szCs w:val="24"/>
          <w:lang w:eastAsia="en-US"/>
        </w:rPr>
        <w:t>Co</w:t>
      </w:r>
      <w:r>
        <w:rPr>
          <w:rFonts w:ascii="Calibri" w:eastAsia="MS PGothic" w:hAnsi="Calibri" w:cs="Times New Roman"/>
          <w:bCs/>
          <w:color w:val="595959" w:themeColor="text1" w:themeTint="A6"/>
          <w:sz w:val="21"/>
          <w:szCs w:val="24"/>
          <w:lang w:eastAsia="en-US"/>
        </w:rPr>
        <w:t>-</w:t>
      </w:r>
      <w:r w:rsidRPr="00D41B24">
        <w:rPr>
          <w:rFonts w:ascii="Calibri" w:eastAsia="MS PGothic" w:hAnsi="Calibri" w:cs="Times New Roman"/>
          <w:bCs/>
          <w:color w:val="595959" w:themeColor="text1" w:themeTint="A6"/>
          <w:sz w:val="21"/>
          <w:szCs w:val="24"/>
          <w:lang w:eastAsia="en-US"/>
        </w:rPr>
        <w:t>digestion/anaerobic digestion,</w:t>
      </w:r>
    </w:p>
    <w:p w14:paraId="1171A71C" w14:textId="77777777" w:rsidR="00C83AD2" w:rsidRPr="00D41B24" w:rsidRDefault="00C83AD2" w:rsidP="00C83AD2">
      <w:pPr>
        <w:pStyle w:val="ListParagraph"/>
        <w:numPr>
          <w:ilvl w:val="0"/>
          <w:numId w:val="5"/>
        </w:numPr>
        <w:shd w:val="clear" w:color="auto" w:fill="FFFFFF"/>
        <w:spacing w:after="0"/>
        <w:rPr>
          <w:rFonts w:ascii="Calibri" w:eastAsia="MS PGothic" w:hAnsi="Calibri" w:cs="Times New Roman"/>
          <w:bCs/>
          <w:color w:val="595959" w:themeColor="text1" w:themeTint="A6"/>
          <w:sz w:val="21"/>
          <w:szCs w:val="24"/>
          <w:lang w:eastAsia="en-US"/>
        </w:rPr>
      </w:pPr>
      <w:r w:rsidRPr="00D41B24">
        <w:rPr>
          <w:rFonts w:ascii="Calibri" w:eastAsia="MS PGothic" w:hAnsi="Calibri" w:cs="Times New Roman"/>
          <w:bCs/>
          <w:color w:val="595959" w:themeColor="text1" w:themeTint="A6"/>
          <w:sz w:val="21"/>
          <w:szCs w:val="24"/>
          <w:lang w:eastAsia="en-US"/>
        </w:rPr>
        <w:t>Composting/aerobic process,</w:t>
      </w:r>
    </w:p>
    <w:p w14:paraId="502493A5" w14:textId="77777777" w:rsidR="00C83AD2" w:rsidRPr="00D41B24" w:rsidRDefault="00C83AD2" w:rsidP="00C83AD2">
      <w:pPr>
        <w:pStyle w:val="ListParagraph"/>
        <w:numPr>
          <w:ilvl w:val="0"/>
          <w:numId w:val="5"/>
        </w:numPr>
        <w:shd w:val="clear" w:color="auto" w:fill="FFFFFF"/>
        <w:spacing w:after="0"/>
        <w:rPr>
          <w:rFonts w:ascii="Calibri" w:eastAsia="MS PGothic" w:hAnsi="Calibri" w:cs="Times New Roman"/>
          <w:bCs/>
          <w:color w:val="595959" w:themeColor="text1" w:themeTint="A6"/>
          <w:sz w:val="21"/>
          <w:szCs w:val="24"/>
          <w:lang w:eastAsia="en-US"/>
        </w:rPr>
      </w:pPr>
      <w:r w:rsidRPr="00D41B24">
        <w:rPr>
          <w:rFonts w:ascii="Calibri" w:eastAsia="MS PGothic" w:hAnsi="Calibri" w:cs="Times New Roman"/>
          <w:bCs/>
          <w:color w:val="595959" w:themeColor="text1" w:themeTint="A6"/>
          <w:sz w:val="21"/>
          <w:szCs w:val="24"/>
          <w:lang w:eastAsia="en-US"/>
        </w:rPr>
        <w:t>Controlled combustion,</w:t>
      </w:r>
    </w:p>
    <w:p w14:paraId="2640FCCE" w14:textId="77777777" w:rsidR="00C83AD2" w:rsidRPr="00D41B24" w:rsidRDefault="00C83AD2" w:rsidP="00C83AD2">
      <w:pPr>
        <w:pStyle w:val="ListParagraph"/>
        <w:numPr>
          <w:ilvl w:val="0"/>
          <w:numId w:val="5"/>
        </w:numPr>
        <w:shd w:val="clear" w:color="auto" w:fill="FFFFFF"/>
        <w:spacing w:after="0"/>
        <w:rPr>
          <w:rFonts w:ascii="Calibri" w:eastAsia="MS PGothic" w:hAnsi="Calibri" w:cs="Times New Roman"/>
          <w:bCs/>
          <w:color w:val="595959" w:themeColor="text1" w:themeTint="A6"/>
          <w:sz w:val="21"/>
          <w:szCs w:val="24"/>
          <w:lang w:eastAsia="en-US"/>
        </w:rPr>
      </w:pPr>
      <w:r w:rsidRPr="00D41B24">
        <w:rPr>
          <w:rFonts w:ascii="Calibri" w:eastAsia="MS PGothic" w:hAnsi="Calibri" w:cs="Times New Roman"/>
          <w:bCs/>
          <w:color w:val="595959" w:themeColor="text1" w:themeTint="A6"/>
          <w:sz w:val="21"/>
          <w:szCs w:val="24"/>
          <w:lang w:eastAsia="en-US"/>
        </w:rPr>
        <w:t>Land application,</w:t>
      </w:r>
    </w:p>
    <w:p w14:paraId="262F38D7" w14:textId="77777777" w:rsidR="00C83AD2" w:rsidRPr="00D41B24" w:rsidRDefault="00C83AD2" w:rsidP="00C83AD2">
      <w:pPr>
        <w:pStyle w:val="ListParagraph"/>
        <w:numPr>
          <w:ilvl w:val="0"/>
          <w:numId w:val="5"/>
        </w:numPr>
        <w:shd w:val="clear" w:color="auto" w:fill="FFFFFF"/>
        <w:spacing w:after="0"/>
        <w:rPr>
          <w:rFonts w:ascii="Calibri" w:eastAsia="MS PGothic" w:hAnsi="Calibri" w:cs="Times New Roman"/>
          <w:bCs/>
          <w:color w:val="595959" w:themeColor="text1" w:themeTint="A6"/>
          <w:sz w:val="21"/>
          <w:szCs w:val="24"/>
          <w:lang w:eastAsia="en-US"/>
        </w:rPr>
      </w:pPr>
      <w:r w:rsidRPr="00D41B24">
        <w:rPr>
          <w:rFonts w:ascii="Calibri" w:eastAsia="MS PGothic" w:hAnsi="Calibri" w:cs="Times New Roman"/>
          <w:bCs/>
          <w:color w:val="595959" w:themeColor="text1" w:themeTint="A6"/>
          <w:sz w:val="21"/>
          <w:szCs w:val="24"/>
          <w:lang w:eastAsia="en-US"/>
        </w:rPr>
        <w:t>Landfill,</w:t>
      </w:r>
    </w:p>
    <w:p w14:paraId="7CA446F3" w14:textId="77777777" w:rsidR="00C83AD2" w:rsidRPr="00D41B24" w:rsidRDefault="00C83AD2" w:rsidP="00C83AD2">
      <w:pPr>
        <w:pStyle w:val="ListParagraph"/>
        <w:numPr>
          <w:ilvl w:val="0"/>
          <w:numId w:val="5"/>
        </w:numPr>
        <w:shd w:val="clear" w:color="auto" w:fill="FFFFFF"/>
        <w:spacing w:after="0"/>
        <w:rPr>
          <w:rFonts w:ascii="Calibri" w:eastAsia="MS PGothic" w:hAnsi="Calibri" w:cs="Times New Roman"/>
          <w:bCs/>
          <w:color w:val="595959" w:themeColor="text1" w:themeTint="A6"/>
          <w:sz w:val="21"/>
          <w:szCs w:val="24"/>
          <w:lang w:eastAsia="en-US"/>
        </w:rPr>
      </w:pPr>
      <w:r w:rsidRPr="00D41B24">
        <w:rPr>
          <w:rFonts w:ascii="Calibri" w:eastAsia="MS PGothic" w:hAnsi="Calibri" w:cs="Times New Roman"/>
          <w:bCs/>
          <w:color w:val="595959" w:themeColor="text1" w:themeTint="A6"/>
          <w:sz w:val="21"/>
          <w:szCs w:val="24"/>
          <w:lang w:eastAsia="en-US"/>
        </w:rPr>
        <w:t>Refuse/discards/litter,</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3AA93EDA" w14:textId="77777777" w:rsidR="00955B3D" w:rsidRPr="00955B3D" w:rsidRDefault="00D51E7C" w:rsidP="001372B5">
      <w:pPr>
        <w:shd w:val="clear" w:color="auto" w:fill="FFFFFF"/>
        <w:spacing w:after="0"/>
        <w:rPr>
          <w:rFonts w:eastAsia="Times New Roman" w:cs="Times New Roman"/>
          <w:color w:val="4A4A4A"/>
          <w:sz w:val="21"/>
          <w:szCs w:val="21"/>
          <w:lang w:eastAsia="en-GB"/>
        </w:rPr>
      </w:pPr>
      <w:r w:rsidRPr="00955B3D">
        <w:rPr>
          <w:color w:val="4A4A4A"/>
        </w:rPr>
        <w:t>Sources of discrepancies:</w:t>
      </w:r>
    </w:p>
    <w:p w14:paraId="116C3372" w14:textId="1F166EE6" w:rsidR="001372B5" w:rsidRPr="00C27990" w:rsidRDefault="001372B5" w:rsidP="001372B5">
      <w:pPr>
        <w:shd w:val="clear" w:color="auto" w:fill="FFFFFF"/>
        <w:spacing w:after="0"/>
        <w:rPr>
          <w:rFonts w:eastAsia="Times New Roman" w:cs="Times New Roman"/>
          <w:color w:val="4A4A4A"/>
          <w:sz w:val="21"/>
          <w:szCs w:val="21"/>
          <w:lang w:eastAsia="en-GB"/>
        </w:rPr>
      </w:pPr>
      <w:r w:rsidRPr="00955B3D">
        <w:rPr>
          <w:rFonts w:eastAsia="Times New Roman" w:cs="Times New Roman"/>
          <w:color w:val="4A4A4A"/>
          <w:sz w:val="21"/>
          <w:szCs w:val="21"/>
          <w:lang w:eastAsia="en-GB"/>
        </w:rPr>
        <w:t xml:space="preserve">As mentioned, waste statistics </w:t>
      </w:r>
      <w:r>
        <w:rPr>
          <w:rFonts w:eastAsia="Times New Roman" w:cs="Times New Roman"/>
          <w:color w:val="4A4A4A"/>
          <w:sz w:val="21"/>
          <w:szCs w:val="21"/>
          <w:lang w:eastAsia="en-GB"/>
        </w:rPr>
        <w:t xml:space="preserve">involve </w:t>
      </w:r>
      <w:proofErr w:type="gramStart"/>
      <w:r>
        <w:rPr>
          <w:rFonts w:eastAsia="Times New Roman" w:cs="Times New Roman"/>
          <w:color w:val="4A4A4A"/>
          <w:sz w:val="21"/>
          <w:szCs w:val="21"/>
          <w:lang w:eastAsia="en-GB"/>
        </w:rPr>
        <w:t>a large number of</w:t>
      </w:r>
      <w:proofErr w:type="gramEnd"/>
      <w:r>
        <w:rPr>
          <w:rFonts w:eastAsia="Times New Roman" w:cs="Times New Roman"/>
          <w:color w:val="4A4A4A"/>
          <w:sz w:val="21"/>
          <w:szCs w:val="21"/>
          <w:lang w:eastAsia="en-GB"/>
        </w:rPr>
        <w:t xml:space="preserve"> national and sub-national stakeholders which may create discrepancies. </w:t>
      </w:r>
      <w:r w:rsidRPr="00C27990">
        <w:rPr>
          <w:rFonts w:eastAsia="Times New Roman" w:cs="Times New Roman"/>
          <w:color w:val="4A4A4A"/>
          <w:sz w:val="21"/>
          <w:szCs w:val="21"/>
          <w:lang w:eastAsia="en-GB"/>
        </w:rPr>
        <w:t xml:space="preserve">Additionally, there are </w:t>
      </w:r>
      <w:proofErr w:type="gramStart"/>
      <w:r w:rsidRPr="00C27990">
        <w:rPr>
          <w:rFonts w:eastAsia="Times New Roman" w:cs="Times New Roman"/>
          <w:color w:val="4A4A4A"/>
          <w:sz w:val="21"/>
          <w:szCs w:val="21"/>
          <w:lang w:eastAsia="en-GB"/>
        </w:rPr>
        <w:t>a number of</w:t>
      </w:r>
      <w:proofErr w:type="gramEnd"/>
      <w:r w:rsidRPr="00C27990">
        <w:rPr>
          <w:rFonts w:eastAsia="Times New Roman" w:cs="Times New Roman"/>
          <w:color w:val="4A4A4A"/>
          <w:sz w:val="21"/>
          <w:szCs w:val="21"/>
          <w:lang w:eastAsia="en-GB"/>
        </w:rPr>
        <w:t xml:space="preserve"> challenges related to the following:</w:t>
      </w:r>
    </w:p>
    <w:p w14:paraId="7EFE45D9" w14:textId="77777777" w:rsidR="001372B5" w:rsidRPr="00D41B24" w:rsidRDefault="001372B5" w:rsidP="001372B5">
      <w:pPr>
        <w:pStyle w:val="ListParagraph"/>
        <w:numPr>
          <w:ilvl w:val="0"/>
          <w:numId w:val="6"/>
        </w:numPr>
        <w:shd w:val="clear" w:color="auto" w:fill="FFFFFF"/>
        <w:spacing w:after="0"/>
        <w:rPr>
          <w:rFonts w:eastAsia="Times New Roman" w:cs="Times New Roman"/>
          <w:color w:val="4A4A4A"/>
          <w:sz w:val="21"/>
          <w:szCs w:val="21"/>
          <w:lang w:eastAsia="en-GB"/>
        </w:rPr>
      </w:pPr>
      <w:r w:rsidRPr="00D41B24">
        <w:rPr>
          <w:rFonts w:eastAsia="Times New Roman" w:cs="Times New Roman"/>
          <w:color w:val="4A4A4A"/>
          <w:sz w:val="21"/>
          <w:szCs w:val="21"/>
          <w:lang w:eastAsia="en-GB"/>
        </w:rPr>
        <w:t>Variations in waste over time can have a significant impact on estimated quantities of waste when short studies (e.g. a week) are used to represent a longer time period (a year)</w:t>
      </w:r>
    </w:p>
    <w:p w14:paraId="7BCA80D4" w14:textId="77777777" w:rsidR="001372B5" w:rsidRPr="00D41B24" w:rsidRDefault="001372B5" w:rsidP="001372B5">
      <w:pPr>
        <w:pStyle w:val="ListParagraph"/>
        <w:numPr>
          <w:ilvl w:val="0"/>
          <w:numId w:val="6"/>
        </w:numPr>
        <w:shd w:val="clear" w:color="auto" w:fill="FFFFFF"/>
        <w:spacing w:after="0"/>
        <w:rPr>
          <w:rFonts w:eastAsia="Times New Roman" w:cs="Times New Roman"/>
          <w:color w:val="4A4A4A"/>
          <w:sz w:val="21"/>
          <w:szCs w:val="21"/>
          <w:lang w:eastAsia="en-GB"/>
        </w:rPr>
      </w:pPr>
      <w:r w:rsidRPr="00D41B24">
        <w:rPr>
          <w:rFonts w:eastAsia="Times New Roman" w:cs="Times New Roman"/>
          <w:color w:val="4A4A4A"/>
          <w:sz w:val="21"/>
          <w:szCs w:val="21"/>
          <w:lang w:eastAsia="en-GB"/>
        </w:rPr>
        <w:t>The specific time of year when a study takes place which may affect the waste produced;</w:t>
      </w:r>
    </w:p>
    <w:p w14:paraId="22BD2D8B" w14:textId="77777777" w:rsidR="001372B5" w:rsidRPr="00D41B24" w:rsidRDefault="001372B5" w:rsidP="001372B5">
      <w:pPr>
        <w:pStyle w:val="ListParagraph"/>
        <w:numPr>
          <w:ilvl w:val="0"/>
          <w:numId w:val="6"/>
        </w:numPr>
        <w:shd w:val="clear" w:color="auto" w:fill="FFFFFF"/>
        <w:spacing w:after="0"/>
        <w:rPr>
          <w:rFonts w:eastAsia="Times New Roman" w:cs="Times New Roman"/>
          <w:color w:val="4A4A4A"/>
          <w:sz w:val="21"/>
          <w:szCs w:val="21"/>
          <w:lang w:eastAsia="en-GB"/>
        </w:rPr>
      </w:pPr>
      <w:r w:rsidRPr="00D41B24">
        <w:rPr>
          <w:rFonts w:eastAsia="Times New Roman" w:cs="Times New Roman"/>
          <w:color w:val="4A4A4A"/>
          <w:sz w:val="21"/>
          <w:szCs w:val="21"/>
          <w:lang w:eastAsia="en-GB"/>
        </w:rPr>
        <w:t xml:space="preserve">Natural variation over time in amounts of waste generated by single entities (e.g. households or restaurants). </w:t>
      </w:r>
    </w:p>
    <w:p w14:paraId="4E88EFF5" w14:textId="77777777" w:rsidR="001372B5" w:rsidRPr="00D41B24" w:rsidRDefault="001372B5" w:rsidP="001372B5">
      <w:pPr>
        <w:pStyle w:val="ListParagraph"/>
        <w:numPr>
          <w:ilvl w:val="0"/>
          <w:numId w:val="6"/>
        </w:numPr>
        <w:shd w:val="clear" w:color="auto" w:fill="FFFFFF"/>
        <w:spacing w:after="0"/>
        <w:rPr>
          <w:rFonts w:eastAsia="Times New Roman" w:cs="Times New Roman"/>
          <w:color w:val="4A4A4A"/>
          <w:sz w:val="21"/>
          <w:szCs w:val="21"/>
          <w:lang w:eastAsia="en-GB"/>
        </w:rPr>
      </w:pPr>
      <w:r w:rsidRPr="00D41B24">
        <w:rPr>
          <w:rFonts w:eastAsia="Times New Roman" w:cs="Times New Roman"/>
          <w:color w:val="4A4A4A"/>
          <w:sz w:val="21"/>
          <w:szCs w:val="21"/>
          <w:lang w:eastAsia="en-GB"/>
        </w:rPr>
        <w:t xml:space="preserve">At a national level, countries may have to rely on other entities to measure their own waste and report to the government, which would then be collated and analysed to estimate the total amount. How the data is collected would vary by </w:t>
      </w:r>
      <w:r>
        <w:rPr>
          <w:rFonts w:eastAsia="Times New Roman" w:cs="Times New Roman"/>
          <w:color w:val="4A4A4A"/>
          <w:sz w:val="21"/>
          <w:szCs w:val="21"/>
          <w:lang w:eastAsia="en-GB"/>
        </w:rPr>
        <w:t xml:space="preserve">the </w:t>
      </w:r>
      <w:r w:rsidRPr="00D41B24">
        <w:rPr>
          <w:rFonts w:eastAsia="Times New Roman" w:cs="Times New Roman"/>
          <w:color w:val="4A4A4A"/>
          <w:sz w:val="21"/>
          <w:szCs w:val="21"/>
          <w:lang w:eastAsia="en-GB"/>
        </w:rPr>
        <w:t>food chain stage as the way food waste is generated in each stage varies. For example, a large formal retailer (supermarket chain) may keep records of stock unsold and discarded which could be reported. On the other hand, a government requesting reporting from households may have to issue guidance to local municipalities and prescribe a quantification method e.g. a food waste diary. The reported quantities may require scaling if a government cannot obtain reports from the entire population of the food chain stage i.e. it is unlikely that every household in the country would report.</w:t>
      </w:r>
    </w:p>
    <w:p w14:paraId="3C2D4870" w14:textId="766A6843" w:rsidR="00D51E7C" w:rsidRDefault="00D51E7C"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2939E9BE" w14:textId="6231D35F" w:rsidR="00916442" w:rsidRPr="00E9011B" w:rsidRDefault="00092E8C" w:rsidP="00E9011B">
      <w:pPr>
        <w:spacing w:after="0" w:line="240" w:lineRule="auto"/>
        <w:rPr>
          <w:rFonts w:ascii="Times New Roman" w:eastAsia="Times New Roman" w:hAnsi="Times New Roman" w:cs="Times New Roman"/>
          <w:sz w:val="24"/>
          <w:szCs w:val="24"/>
          <w:lang w:val="en-US" w:eastAsia="en-US"/>
        </w:rPr>
      </w:pPr>
      <w:r w:rsidRPr="00E9011B">
        <w:rPr>
          <w:rFonts w:eastAsia="Times New Roman" w:cs="Times New Roman"/>
          <w:color w:val="4A4A4A"/>
          <w:sz w:val="21"/>
          <w:szCs w:val="21"/>
          <w:lang w:eastAsia="en-GB"/>
        </w:rPr>
        <w:t>Global Chemicals and Waste Indicator Review Document</w:t>
      </w:r>
      <w:r w:rsidR="00916442">
        <w:rPr>
          <w:rFonts w:eastAsia="Times New Roman" w:cs="Times New Roman"/>
          <w:color w:val="4A4A4A"/>
          <w:sz w:val="21"/>
          <w:szCs w:val="21"/>
          <w:lang w:eastAsia="en-GB"/>
        </w:rPr>
        <w:t xml:space="preserve"> (UNEP, forthcoming)</w:t>
      </w:r>
    </w:p>
    <w:sectPr w:rsidR="00916442" w:rsidRPr="00E9011B">
      <w:head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CB6004" w14:textId="77777777" w:rsidR="004F5752" w:rsidRDefault="004F5752" w:rsidP="00573C0B">
      <w:pPr>
        <w:spacing w:after="0" w:line="240" w:lineRule="auto"/>
      </w:pPr>
      <w:r>
        <w:separator/>
      </w:r>
    </w:p>
  </w:endnote>
  <w:endnote w:type="continuationSeparator" w:id="0">
    <w:p w14:paraId="4849891E" w14:textId="77777777" w:rsidR="004F5752" w:rsidRDefault="004F5752" w:rsidP="00573C0B">
      <w:pPr>
        <w:spacing w:after="0" w:line="240" w:lineRule="auto"/>
      </w:pPr>
      <w:r>
        <w:continuationSeparator/>
      </w:r>
    </w:p>
  </w:endnote>
  <w:endnote w:type="continuationNotice" w:id="1">
    <w:p w14:paraId="48E8B07E" w14:textId="77777777" w:rsidR="004F5752" w:rsidRDefault="004F575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4F94DF" w14:textId="77777777" w:rsidR="004F5752" w:rsidRDefault="004F5752" w:rsidP="00573C0B">
      <w:pPr>
        <w:spacing w:after="0" w:line="240" w:lineRule="auto"/>
      </w:pPr>
      <w:r>
        <w:separator/>
      </w:r>
    </w:p>
  </w:footnote>
  <w:footnote w:type="continuationSeparator" w:id="0">
    <w:p w14:paraId="5DC2FF31" w14:textId="77777777" w:rsidR="004F5752" w:rsidRDefault="004F5752" w:rsidP="00573C0B">
      <w:pPr>
        <w:spacing w:after="0" w:line="240" w:lineRule="auto"/>
      </w:pPr>
      <w:r>
        <w:continuationSeparator/>
      </w:r>
    </w:p>
  </w:footnote>
  <w:footnote w:type="continuationNotice" w:id="1">
    <w:p w14:paraId="489F6C69" w14:textId="77777777" w:rsidR="004F5752" w:rsidRDefault="004F575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4C1A4954" w:rsidR="00077F46" w:rsidRPr="00757E8A" w:rsidRDefault="00077F46" w:rsidP="00077F46">
    <w:pPr>
      <w:pStyle w:val="Header"/>
      <w:jc w:val="right"/>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Last updated:</w:t>
    </w:r>
    <w:bookmarkEnd w:id="7"/>
    <w:bookmarkEnd w:id="8"/>
    <w:bookmarkEnd w:id="9"/>
    <w:bookmarkEnd w:id="10"/>
    <w:bookmarkEnd w:id="11"/>
    <w:bookmarkEnd w:id="12"/>
    <w:r w:rsidR="00AF5552">
      <w:rPr>
        <w:color w:val="404040" w:themeColor="text1" w:themeTint="BF"/>
        <w:sz w:val="18"/>
        <w:szCs w:val="18"/>
      </w:rPr>
      <w:t xml:space="preserve"> </w:t>
    </w:r>
    <w:r w:rsidR="00620198">
      <w:rPr>
        <w:color w:val="404040" w:themeColor="text1" w:themeTint="BF"/>
        <w:sz w:val="18"/>
        <w:szCs w:val="18"/>
      </w:rPr>
      <w:t>5 February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8.25pt;height:8.25pt" o:bullet="t">
        <v:imagedata r:id="rId1" o:title="Featured listfin"/>
      </v:shape>
    </w:pict>
  </w:numPicBullet>
  <w:abstractNum w:abstractNumId="0" w15:restartNumberingAfterBreak="0">
    <w:nsid w:val="01332701"/>
    <w:multiLevelType w:val="hybridMultilevel"/>
    <w:tmpl w:val="2B9C4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BD15F2"/>
    <w:multiLevelType w:val="hybridMultilevel"/>
    <w:tmpl w:val="13C00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5F3C86"/>
    <w:multiLevelType w:val="hybridMultilevel"/>
    <w:tmpl w:val="673268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A72AF5"/>
    <w:multiLevelType w:val="hybridMultilevel"/>
    <w:tmpl w:val="7BD8899C"/>
    <w:lvl w:ilvl="0" w:tplc="07A46364">
      <w:numFmt w:val="bullet"/>
      <w:lvlText w:val="•"/>
      <w:lvlJc w:val="left"/>
      <w:pPr>
        <w:ind w:left="1440" w:hanging="72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C4A2BD4"/>
    <w:multiLevelType w:val="hybridMultilevel"/>
    <w:tmpl w:val="6520FC9A"/>
    <w:lvl w:ilvl="0" w:tplc="14C6F776">
      <w:start w:val="1"/>
      <w:numFmt w:val="bullet"/>
      <w:pStyle w:val="GHFeaturedlist"/>
      <w:lvlText w:val=""/>
      <w:lvlPicBulletId w:val="0"/>
      <w:lvlJc w:val="left"/>
      <w:pPr>
        <w:tabs>
          <w:tab w:val="num" w:pos="5105"/>
        </w:tabs>
        <w:ind w:left="5105" w:hanging="284"/>
      </w:pPr>
      <w:rPr>
        <w:rFonts w:ascii="Symbol" w:hAnsi="Symbol" w:hint="default"/>
      </w:rPr>
    </w:lvl>
    <w:lvl w:ilvl="1" w:tplc="B25268BA">
      <w:start w:val="1"/>
      <w:numFmt w:val="bullet"/>
      <w:lvlText w:val="o"/>
      <w:lvlJc w:val="left"/>
      <w:pPr>
        <w:ind w:left="1440" w:hanging="360"/>
      </w:pPr>
      <w:rPr>
        <w:rFonts w:ascii="Courier New" w:hAnsi="Courier New" w:hint="default"/>
      </w:rPr>
    </w:lvl>
    <w:lvl w:ilvl="2" w:tplc="04464938" w:tentative="1">
      <w:start w:val="1"/>
      <w:numFmt w:val="bullet"/>
      <w:lvlText w:val=""/>
      <w:lvlJc w:val="left"/>
      <w:pPr>
        <w:ind w:left="2160" w:hanging="360"/>
      </w:pPr>
      <w:rPr>
        <w:rFonts w:ascii="Wingdings" w:hAnsi="Wingdings" w:hint="default"/>
      </w:rPr>
    </w:lvl>
    <w:lvl w:ilvl="3" w:tplc="56149B08" w:tentative="1">
      <w:start w:val="1"/>
      <w:numFmt w:val="bullet"/>
      <w:lvlText w:val=""/>
      <w:lvlJc w:val="left"/>
      <w:pPr>
        <w:ind w:left="2880" w:hanging="360"/>
      </w:pPr>
      <w:rPr>
        <w:rFonts w:ascii="Symbol" w:hAnsi="Symbol" w:hint="default"/>
      </w:rPr>
    </w:lvl>
    <w:lvl w:ilvl="4" w:tplc="EBCC9F9E" w:tentative="1">
      <w:start w:val="1"/>
      <w:numFmt w:val="bullet"/>
      <w:lvlText w:val="o"/>
      <w:lvlJc w:val="left"/>
      <w:pPr>
        <w:ind w:left="3600" w:hanging="360"/>
      </w:pPr>
      <w:rPr>
        <w:rFonts w:ascii="Courier New" w:hAnsi="Courier New" w:hint="default"/>
      </w:rPr>
    </w:lvl>
    <w:lvl w:ilvl="5" w:tplc="EC041288" w:tentative="1">
      <w:start w:val="1"/>
      <w:numFmt w:val="bullet"/>
      <w:lvlText w:val=""/>
      <w:lvlJc w:val="left"/>
      <w:pPr>
        <w:ind w:left="4320" w:hanging="360"/>
      </w:pPr>
      <w:rPr>
        <w:rFonts w:ascii="Wingdings" w:hAnsi="Wingdings" w:hint="default"/>
      </w:rPr>
    </w:lvl>
    <w:lvl w:ilvl="6" w:tplc="6818DA3C" w:tentative="1">
      <w:start w:val="1"/>
      <w:numFmt w:val="bullet"/>
      <w:lvlText w:val=""/>
      <w:lvlJc w:val="left"/>
      <w:pPr>
        <w:ind w:left="5040" w:hanging="360"/>
      </w:pPr>
      <w:rPr>
        <w:rFonts w:ascii="Symbol" w:hAnsi="Symbol" w:hint="default"/>
      </w:rPr>
    </w:lvl>
    <w:lvl w:ilvl="7" w:tplc="EA80E482" w:tentative="1">
      <w:start w:val="1"/>
      <w:numFmt w:val="bullet"/>
      <w:lvlText w:val="o"/>
      <w:lvlJc w:val="left"/>
      <w:pPr>
        <w:ind w:left="5760" w:hanging="360"/>
      </w:pPr>
      <w:rPr>
        <w:rFonts w:ascii="Courier New" w:hAnsi="Courier New" w:hint="default"/>
      </w:rPr>
    </w:lvl>
    <w:lvl w:ilvl="8" w:tplc="E25216FC" w:tentative="1">
      <w:start w:val="1"/>
      <w:numFmt w:val="bullet"/>
      <w:lvlText w:val=""/>
      <w:lvlJc w:val="left"/>
      <w:pPr>
        <w:ind w:left="6480" w:hanging="360"/>
      </w:pPr>
      <w:rPr>
        <w:rFonts w:ascii="Wingdings" w:hAnsi="Wingdings" w:hint="default"/>
      </w:rPr>
    </w:lvl>
  </w:abstractNum>
  <w:abstractNum w:abstractNumId="7" w15:restartNumberingAfterBreak="0">
    <w:nsid w:val="50B746F5"/>
    <w:multiLevelType w:val="hybridMultilevel"/>
    <w:tmpl w:val="366C34D6"/>
    <w:lvl w:ilvl="0" w:tplc="07A46364">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7E0D0D"/>
    <w:multiLevelType w:val="hybridMultilevel"/>
    <w:tmpl w:val="1D9072E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6860887"/>
    <w:multiLevelType w:val="hybridMultilevel"/>
    <w:tmpl w:val="28C6A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CB6C46"/>
    <w:multiLevelType w:val="hybridMultilevel"/>
    <w:tmpl w:val="CBEE06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2023367"/>
    <w:multiLevelType w:val="hybridMultilevel"/>
    <w:tmpl w:val="6DFA9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A1D76C9"/>
    <w:multiLevelType w:val="hybridMultilevel"/>
    <w:tmpl w:val="BBB6A9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3"/>
  </w:num>
  <w:num w:numId="4">
    <w:abstractNumId w:val="4"/>
  </w:num>
  <w:num w:numId="5">
    <w:abstractNumId w:val="5"/>
  </w:num>
  <w:num w:numId="6">
    <w:abstractNumId w:val="7"/>
  </w:num>
  <w:num w:numId="7">
    <w:abstractNumId w:val="9"/>
  </w:num>
  <w:num w:numId="8">
    <w:abstractNumId w:val="6"/>
  </w:num>
  <w:num w:numId="9">
    <w:abstractNumId w:val="11"/>
  </w:num>
  <w:num w:numId="10">
    <w:abstractNumId w:val="3"/>
  </w:num>
  <w:num w:numId="11">
    <w:abstractNumId w:val="0"/>
  </w:num>
  <w:num w:numId="12">
    <w:abstractNumId w:val="10"/>
  </w:num>
  <w:num w:numId="13">
    <w:abstractNumId w:val="14"/>
  </w:num>
  <w:num w:numId="14">
    <w:abstractNumId w:val="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455A"/>
    <w:rsid w:val="00071F07"/>
    <w:rsid w:val="0007759D"/>
    <w:rsid w:val="000777AB"/>
    <w:rsid w:val="00077F46"/>
    <w:rsid w:val="00090FB1"/>
    <w:rsid w:val="00092E8C"/>
    <w:rsid w:val="00093A7C"/>
    <w:rsid w:val="00096186"/>
    <w:rsid w:val="000A72E4"/>
    <w:rsid w:val="000B0072"/>
    <w:rsid w:val="000B0E2F"/>
    <w:rsid w:val="000B2430"/>
    <w:rsid w:val="000D0B30"/>
    <w:rsid w:val="000E21F1"/>
    <w:rsid w:val="000E75C0"/>
    <w:rsid w:val="000F703E"/>
    <w:rsid w:val="00110A0F"/>
    <w:rsid w:val="00120E86"/>
    <w:rsid w:val="00125DE9"/>
    <w:rsid w:val="001332E0"/>
    <w:rsid w:val="00134DE7"/>
    <w:rsid w:val="001372B5"/>
    <w:rsid w:val="001374FB"/>
    <w:rsid w:val="00185354"/>
    <w:rsid w:val="001854DC"/>
    <w:rsid w:val="00186795"/>
    <w:rsid w:val="00194D09"/>
    <w:rsid w:val="001A7D5C"/>
    <w:rsid w:val="001B60AA"/>
    <w:rsid w:val="001B63C8"/>
    <w:rsid w:val="001C1972"/>
    <w:rsid w:val="001C421F"/>
    <w:rsid w:val="001D360D"/>
    <w:rsid w:val="001D56E7"/>
    <w:rsid w:val="00261A8D"/>
    <w:rsid w:val="00283C1C"/>
    <w:rsid w:val="00291A00"/>
    <w:rsid w:val="00291A11"/>
    <w:rsid w:val="00292A1D"/>
    <w:rsid w:val="002A315C"/>
    <w:rsid w:val="002A3342"/>
    <w:rsid w:val="002A64BA"/>
    <w:rsid w:val="002B4989"/>
    <w:rsid w:val="002C2510"/>
    <w:rsid w:val="002D714E"/>
    <w:rsid w:val="002E53C3"/>
    <w:rsid w:val="002F1468"/>
    <w:rsid w:val="002F5F0C"/>
    <w:rsid w:val="00324E8C"/>
    <w:rsid w:val="003265EB"/>
    <w:rsid w:val="0034329E"/>
    <w:rsid w:val="00343FAA"/>
    <w:rsid w:val="00347F5E"/>
    <w:rsid w:val="00353C98"/>
    <w:rsid w:val="003714FA"/>
    <w:rsid w:val="00371A20"/>
    <w:rsid w:val="003821B4"/>
    <w:rsid w:val="00382CF3"/>
    <w:rsid w:val="00387D52"/>
    <w:rsid w:val="003A7CEA"/>
    <w:rsid w:val="003F0BD3"/>
    <w:rsid w:val="003F278A"/>
    <w:rsid w:val="003F7A02"/>
    <w:rsid w:val="00415D71"/>
    <w:rsid w:val="00422EA5"/>
    <w:rsid w:val="00422EFA"/>
    <w:rsid w:val="0042791F"/>
    <w:rsid w:val="004456ED"/>
    <w:rsid w:val="00457A1B"/>
    <w:rsid w:val="00463D56"/>
    <w:rsid w:val="0048045A"/>
    <w:rsid w:val="004841B8"/>
    <w:rsid w:val="004930F2"/>
    <w:rsid w:val="00493F8B"/>
    <w:rsid w:val="004B0F1C"/>
    <w:rsid w:val="004F2EE6"/>
    <w:rsid w:val="004F5752"/>
    <w:rsid w:val="00502DBA"/>
    <w:rsid w:val="005040C4"/>
    <w:rsid w:val="00507637"/>
    <w:rsid w:val="00507852"/>
    <w:rsid w:val="00514DBF"/>
    <w:rsid w:val="00526EB4"/>
    <w:rsid w:val="00550921"/>
    <w:rsid w:val="00563712"/>
    <w:rsid w:val="00573631"/>
    <w:rsid w:val="00573C0B"/>
    <w:rsid w:val="00576CFA"/>
    <w:rsid w:val="0058556D"/>
    <w:rsid w:val="00585A92"/>
    <w:rsid w:val="00592AF2"/>
    <w:rsid w:val="005947AD"/>
    <w:rsid w:val="00597748"/>
    <w:rsid w:val="005979E8"/>
    <w:rsid w:val="005A0EFF"/>
    <w:rsid w:val="005D0AF4"/>
    <w:rsid w:val="005E54BD"/>
    <w:rsid w:val="005F6CCA"/>
    <w:rsid w:val="005F7447"/>
    <w:rsid w:val="006104AF"/>
    <w:rsid w:val="00620198"/>
    <w:rsid w:val="00621893"/>
    <w:rsid w:val="006351E1"/>
    <w:rsid w:val="006447B1"/>
    <w:rsid w:val="00662775"/>
    <w:rsid w:val="006749DD"/>
    <w:rsid w:val="006852FC"/>
    <w:rsid w:val="006B40AB"/>
    <w:rsid w:val="006B5DC5"/>
    <w:rsid w:val="006C4BFD"/>
    <w:rsid w:val="006C7D30"/>
    <w:rsid w:val="006D20CF"/>
    <w:rsid w:val="006E3C08"/>
    <w:rsid w:val="00700ACF"/>
    <w:rsid w:val="00712487"/>
    <w:rsid w:val="007530CA"/>
    <w:rsid w:val="00756D68"/>
    <w:rsid w:val="007578D9"/>
    <w:rsid w:val="00757B96"/>
    <w:rsid w:val="00757E8A"/>
    <w:rsid w:val="00762973"/>
    <w:rsid w:val="00763E43"/>
    <w:rsid w:val="00764EB5"/>
    <w:rsid w:val="00777A95"/>
    <w:rsid w:val="00782416"/>
    <w:rsid w:val="007850BC"/>
    <w:rsid w:val="007B0364"/>
    <w:rsid w:val="007C60EB"/>
    <w:rsid w:val="007D0981"/>
    <w:rsid w:val="007D1929"/>
    <w:rsid w:val="00801B8C"/>
    <w:rsid w:val="00803CF1"/>
    <w:rsid w:val="008104BB"/>
    <w:rsid w:val="008249C5"/>
    <w:rsid w:val="008526F9"/>
    <w:rsid w:val="0085285E"/>
    <w:rsid w:val="00853023"/>
    <w:rsid w:val="008534D4"/>
    <w:rsid w:val="00862C3C"/>
    <w:rsid w:val="00881E28"/>
    <w:rsid w:val="008838A3"/>
    <w:rsid w:val="00894C4B"/>
    <w:rsid w:val="008A12E3"/>
    <w:rsid w:val="008A42FA"/>
    <w:rsid w:val="008B0AC7"/>
    <w:rsid w:val="008C2335"/>
    <w:rsid w:val="008C67C1"/>
    <w:rsid w:val="008D1D39"/>
    <w:rsid w:val="008F07D2"/>
    <w:rsid w:val="008F37C6"/>
    <w:rsid w:val="00916442"/>
    <w:rsid w:val="00917230"/>
    <w:rsid w:val="00917851"/>
    <w:rsid w:val="00917F65"/>
    <w:rsid w:val="009311E7"/>
    <w:rsid w:val="00942694"/>
    <w:rsid w:val="00955B3D"/>
    <w:rsid w:val="0097758D"/>
    <w:rsid w:val="00982D93"/>
    <w:rsid w:val="009A7E3A"/>
    <w:rsid w:val="009B1265"/>
    <w:rsid w:val="009B4A15"/>
    <w:rsid w:val="009B5693"/>
    <w:rsid w:val="009C61A2"/>
    <w:rsid w:val="009C78E4"/>
    <w:rsid w:val="009D687E"/>
    <w:rsid w:val="009F6DE7"/>
    <w:rsid w:val="00A10583"/>
    <w:rsid w:val="00A37FCB"/>
    <w:rsid w:val="00A54863"/>
    <w:rsid w:val="00A61D74"/>
    <w:rsid w:val="00A8688B"/>
    <w:rsid w:val="00A91163"/>
    <w:rsid w:val="00A9286F"/>
    <w:rsid w:val="00A96255"/>
    <w:rsid w:val="00AB285B"/>
    <w:rsid w:val="00AB7104"/>
    <w:rsid w:val="00AF54B9"/>
    <w:rsid w:val="00AF5552"/>
    <w:rsid w:val="00AF5CB4"/>
    <w:rsid w:val="00AF5ED1"/>
    <w:rsid w:val="00AF71D6"/>
    <w:rsid w:val="00B216EE"/>
    <w:rsid w:val="00B3175F"/>
    <w:rsid w:val="00B31E2C"/>
    <w:rsid w:val="00B329B0"/>
    <w:rsid w:val="00B402D8"/>
    <w:rsid w:val="00B4237C"/>
    <w:rsid w:val="00B42FE8"/>
    <w:rsid w:val="00B52AFD"/>
    <w:rsid w:val="00B54077"/>
    <w:rsid w:val="00B678EF"/>
    <w:rsid w:val="00B8087E"/>
    <w:rsid w:val="00B90252"/>
    <w:rsid w:val="00BB646E"/>
    <w:rsid w:val="00BD1BA1"/>
    <w:rsid w:val="00C00FA2"/>
    <w:rsid w:val="00C019E5"/>
    <w:rsid w:val="00C35BC4"/>
    <w:rsid w:val="00C43F5B"/>
    <w:rsid w:val="00C52EA4"/>
    <w:rsid w:val="00C8353C"/>
    <w:rsid w:val="00C83AD2"/>
    <w:rsid w:val="00CB4371"/>
    <w:rsid w:val="00CC516D"/>
    <w:rsid w:val="00D23179"/>
    <w:rsid w:val="00D24330"/>
    <w:rsid w:val="00D40056"/>
    <w:rsid w:val="00D51E7C"/>
    <w:rsid w:val="00D54F29"/>
    <w:rsid w:val="00D7020C"/>
    <w:rsid w:val="00D70AD9"/>
    <w:rsid w:val="00D72152"/>
    <w:rsid w:val="00D76537"/>
    <w:rsid w:val="00D94BA5"/>
    <w:rsid w:val="00D9510F"/>
    <w:rsid w:val="00DA5BFC"/>
    <w:rsid w:val="00DA615C"/>
    <w:rsid w:val="00DD1BC6"/>
    <w:rsid w:val="00DE5DC3"/>
    <w:rsid w:val="00E00D8A"/>
    <w:rsid w:val="00E1050F"/>
    <w:rsid w:val="00E11604"/>
    <w:rsid w:val="00E11D92"/>
    <w:rsid w:val="00E130A0"/>
    <w:rsid w:val="00E210C4"/>
    <w:rsid w:val="00E23DB7"/>
    <w:rsid w:val="00E46D96"/>
    <w:rsid w:val="00E52CCA"/>
    <w:rsid w:val="00E65862"/>
    <w:rsid w:val="00E66409"/>
    <w:rsid w:val="00E7001E"/>
    <w:rsid w:val="00E81D5B"/>
    <w:rsid w:val="00E9011B"/>
    <w:rsid w:val="00E976B9"/>
    <w:rsid w:val="00EA05D3"/>
    <w:rsid w:val="00EB19AD"/>
    <w:rsid w:val="00EB2F31"/>
    <w:rsid w:val="00EB6493"/>
    <w:rsid w:val="00EC2915"/>
    <w:rsid w:val="00ED05A9"/>
    <w:rsid w:val="00ED1BA0"/>
    <w:rsid w:val="00F17257"/>
    <w:rsid w:val="00F34D24"/>
    <w:rsid w:val="00F34E7F"/>
    <w:rsid w:val="00F4130B"/>
    <w:rsid w:val="00F556A2"/>
    <w:rsid w:val="00F719A8"/>
    <w:rsid w:val="00F827EB"/>
    <w:rsid w:val="00F878B9"/>
    <w:rsid w:val="00FB24E8"/>
    <w:rsid w:val="00FB3B2B"/>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Error"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aliases w:val="heading 2,List Paragraph 1,Heading 2_sj,Dot pt,No Spacing1,List Paragraph Char Char Char,Indicator Text,List Paragraph1,Numbered Para 1,Colorful List - Accent 11,Bullet 1,List Paragraph12,Bullet Points,Bullet Style,WB Para,MAIN CONTENT"/>
    <w:basedOn w:val="Normal"/>
    <w:link w:val="ListParagraphChar"/>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ListParagraphChar">
    <w:name w:val="List Paragraph Char"/>
    <w:aliases w:val="heading 2 Char,List Paragraph 1 Char,Heading 2_sj Char,Dot pt Char,No Spacing1 Char,List Paragraph Char Char Char Char,Indicator Text Char,List Paragraph1 Char,Numbered Para 1 Char,Colorful List - Accent 11 Char,Bullet 1 Char"/>
    <w:link w:val="ListParagraph"/>
    <w:uiPriority w:val="34"/>
    <w:qFormat/>
    <w:rsid w:val="00C83AD2"/>
  </w:style>
  <w:style w:type="paragraph" w:customStyle="1" w:styleId="GHFeaturedlist">
    <w:name w:val="GH_Featured list"/>
    <w:basedOn w:val="Normal"/>
    <w:qFormat/>
    <w:rsid w:val="000B0072"/>
    <w:pPr>
      <w:numPr>
        <w:numId w:val="8"/>
      </w:numPr>
      <w:spacing w:after="180" w:line="360" w:lineRule="auto"/>
      <w:contextualSpacing/>
      <w:jc w:val="both"/>
    </w:pPr>
    <w:rPr>
      <w:rFonts w:ascii="Arial" w:eastAsia="MS PGothic" w:hAnsi="Arial" w:cs="Times New Roman"/>
      <w:sz w:val="18"/>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58129">
      <w:bodyDiv w:val="1"/>
      <w:marLeft w:val="0"/>
      <w:marRight w:val="0"/>
      <w:marTop w:val="0"/>
      <w:marBottom w:val="0"/>
      <w:divBdr>
        <w:top w:val="none" w:sz="0" w:space="0" w:color="auto"/>
        <w:left w:val="none" w:sz="0" w:space="0" w:color="auto"/>
        <w:bottom w:val="none" w:sz="0" w:space="0" w:color="auto"/>
        <w:right w:val="none" w:sz="0" w:space="0" w:color="auto"/>
      </w:divBdr>
    </w:div>
    <w:div w:id="232551645">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07584570">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esr.unep.org/media/docs/graphs/aggregation_methods.pdf"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6597A22-7BCB-4E17-AD05-698BA4F6D47D}">
  <ds:schemaRefs>
    <ds:schemaRef ds:uri="http://purl.org/dc/dcmitype/"/>
    <ds:schemaRef ds:uri="http://schemas.microsoft.com/office/2006/metadata/properties"/>
    <ds:schemaRef ds:uri="d114b01d-ae01-4749-b845-9d88e7ef5c0e"/>
    <ds:schemaRef ds:uri="http://purl.org/dc/elements/1.1/"/>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 ds:uri="f2d2d782-0088-4826-96df-71eba56e6d2e"/>
    <ds:schemaRef ds:uri="http://purl.org/dc/terms/"/>
  </ds:schemaRefs>
</ds:datastoreItem>
</file>

<file path=customXml/itemProps4.xml><?xml version="1.0" encoding="utf-8"?>
<ds:datastoreItem xmlns:ds="http://schemas.openxmlformats.org/officeDocument/2006/customXml" ds:itemID="{195F6B34-F854-495C-9082-AEB789F04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1976</Words>
  <Characters>11265</Characters>
  <Application>Microsoft Office Word</Application>
  <DocSecurity>4</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Kebebush Welkema</cp:lastModifiedBy>
  <cp:revision>2</cp:revision>
  <cp:lastPrinted>2016-07-16T14:25:00Z</cp:lastPrinted>
  <dcterms:created xsi:type="dcterms:W3CDTF">2021-03-29T13:58:00Z</dcterms:created>
  <dcterms:modified xsi:type="dcterms:W3CDTF">2021-03-29T13:58:00Z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